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05EB5">
      <w:pPr>
        <w:keepNext w:val="0"/>
        <w:keepLines w:val="0"/>
        <w:pageBreakBefore w:val="0"/>
        <w:widowControl w:val="0"/>
        <w:kinsoku/>
        <w:wordWrap/>
        <w:overflowPunct/>
        <w:topLinePunct w:val="0"/>
        <w:autoSpaceDE/>
        <w:autoSpaceDN/>
        <w:bidi w:val="0"/>
        <w:adjustRightInd/>
        <w:snapToGrid/>
        <w:spacing w:beforeAutospacing="0" w:line="560" w:lineRule="exact"/>
        <w:jc w:val="center"/>
        <w:textAlignment w:val="auto"/>
        <w:rPr>
          <w:rFonts w:hint="eastAsia" w:ascii="宋体" w:hAnsi="宋体"/>
          <w:sz w:val="32"/>
          <w:szCs w:val="32"/>
        </w:rPr>
      </w:pPr>
      <w:bookmarkStart w:id="0" w:name="_Toc23025"/>
    </w:p>
    <w:p w14:paraId="24C71404">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1A60FD19">
      <w:pPr>
        <w:keepNext w:val="0"/>
        <w:keepLines w:val="0"/>
        <w:pageBreakBefore w:val="0"/>
        <w:widowControl w:val="0"/>
        <w:kinsoku/>
        <w:wordWrap/>
        <w:overflowPunct/>
        <w:topLinePunct w:val="0"/>
        <w:autoSpaceDE/>
        <w:autoSpaceDN/>
        <w:bidi w:val="0"/>
        <w:adjustRightInd/>
        <w:snapToGrid/>
        <w:spacing w:beforeAutospacing="0" w:line="560" w:lineRule="exact"/>
        <w:jc w:val="center"/>
        <w:textAlignment w:val="auto"/>
        <w:rPr>
          <w:rFonts w:hint="eastAsia" w:ascii="宋体" w:hAnsi="宋体"/>
          <w:sz w:val="32"/>
          <w:szCs w:val="32"/>
        </w:rPr>
      </w:pPr>
    </w:p>
    <w:p w14:paraId="79BDF048">
      <w:pPr>
        <w:keepNext w:val="0"/>
        <w:keepLines w:val="0"/>
        <w:pageBreakBefore w:val="0"/>
        <w:widowControl w:val="0"/>
        <w:kinsoku/>
        <w:wordWrap/>
        <w:overflowPunct/>
        <w:topLinePunct w:val="0"/>
        <w:autoSpaceDE/>
        <w:autoSpaceDN/>
        <w:bidi w:val="0"/>
        <w:adjustRightInd/>
        <w:snapToGrid/>
        <w:spacing w:beforeAutospacing="0" w:line="560" w:lineRule="exact"/>
        <w:jc w:val="center"/>
        <w:textAlignment w:val="auto"/>
        <w:rPr>
          <w:rFonts w:hint="eastAsia" w:ascii="宋体" w:hAnsi="宋体"/>
          <w:sz w:val="32"/>
          <w:szCs w:val="32"/>
        </w:rPr>
      </w:pPr>
    </w:p>
    <w:p w14:paraId="1CE136CB">
      <w:pPr>
        <w:keepNext w:val="0"/>
        <w:keepLines w:val="0"/>
        <w:pageBreakBefore w:val="0"/>
        <w:widowControl w:val="0"/>
        <w:kinsoku/>
        <w:wordWrap/>
        <w:overflowPunct/>
        <w:topLinePunct w:val="0"/>
        <w:autoSpaceDE/>
        <w:autoSpaceDN/>
        <w:bidi w:val="0"/>
        <w:adjustRightInd/>
        <w:snapToGrid/>
        <w:spacing w:beforeAutospacing="0" w:line="560" w:lineRule="exact"/>
        <w:jc w:val="center"/>
        <w:textAlignment w:val="auto"/>
        <w:rPr>
          <w:rFonts w:hint="eastAsia" w:ascii="宋体" w:hAnsi="宋体"/>
          <w:sz w:val="32"/>
          <w:szCs w:val="32"/>
        </w:rPr>
      </w:pPr>
    </w:p>
    <w:p w14:paraId="71C78495">
      <w:pPr>
        <w:pStyle w:val="2"/>
        <w:keepNext w:val="0"/>
        <w:keepLines w:val="0"/>
        <w:pageBreakBefore w:val="0"/>
        <w:widowControl w:val="0"/>
        <w:kinsoku/>
        <w:wordWrap/>
        <w:overflowPunct/>
        <w:topLinePunct w:val="0"/>
        <w:autoSpaceDE/>
        <w:autoSpaceDN/>
        <w:bidi w:val="0"/>
        <w:adjustRightInd/>
        <w:snapToGrid/>
        <w:spacing w:after="324" w:afterLines="100" w:line="560" w:lineRule="exact"/>
        <w:textAlignment w:val="auto"/>
        <w:rPr>
          <w:rFonts w:hint="eastAsia"/>
        </w:rPr>
      </w:pPr>
    </w:p>
    <w:p w14:paraId="45BC5171">
      <w:pPr>
        <w:keepNext w:val="0"/>
        <w:keepLines w:val="0"/>
        <w:pageBreakBefore w:val="0"/>
        <w:widowControl w:val="0"/>
        <w:kinsoku/>
        <w:wordWrap/>
        <w:overflowPunct/>
        <w:topLinePunct w:val="0"/>
        <w:autoSpaceDE/>
        <w:autoSpaceDN/>
        <w:bidi w:val="0"/>
        <w:adjustRightInd/>
        <w:snapToGrid/>
        <w:spacing w:beforeAutospacing="0" w:line="580" w:lineRule="exact"/>
        <w:jc w:val="center"/>
        <w:textAlignment w:val="auto"/>
        <w:rPr>
          <w:rFonts w:hint="eastAsia" w:ascii="仿宋_GB2312" w:hAnsi="宋体" w:eastAsia="仿宋_GB2312" w:cs="仿宋_GB2312"/>
          <w:sz w:val="32"/>
          <w:szCs w:val="32"/>
        </w:rPr>
      </w:pPr>
      <w:r>
        <w:rPr>
          <w:rFonts w:hint="eastAsia" w:ascii="仿宋_GB2312" w:hAnsi="宋体" w:eastAsia="仿宋_GB2312" w:cs="仿宋_GB2312"/>
          <w:sz w:val="32"/>
          <w:szCs w:val="32"/>
        </w:rPr>
        <w:t>赤政办发〔202</w:t>
      </w:r>
      <w:r>
        <w:rPr>
          <w:rFonts w:hint="eastAsia" w:ascii="仿宋_GB2312" w:hAnsi="宋体" w:eastAsia="仿宋_GB2312" w:cs="仿宋_GB2312"/>
          <w:sz w:val="32"/>
          <w:szCs w:val="32"/>
          <w:lang w:val="en-US" w:eastAsia="zh-CN"/>
        </w:rPr>
        <w:t>1</w:t>
      </w:r>
      <w:r>
        <w:rPr>
          <w:rFonts w:hint="eastAsia" w:ascii="仿宋_GB2312" w:hAnsi="宋体" w:eastAsia="仿宋_GB2312" w:cs="仿宋_GB2312"/>
          <w:sz w:val="32"/>
          <w:szCs w:val="32"/>
        </w:rPr>
        <w:t>〕</w:t>
      </w:r>
      <w:r>
        <w:rPr>
          <w:rFonts w:hint="eastAsia" w:ascii="仿宋_GB2312" w:eastAsia="仿宋_GB2312" w:cs="仿宋_GB2312"/>
          <w:sz w:val="32"/>
          <w:szCs w:val="32"/>
          <w:lang w:val="en-US" w:eastAsia="zh-CN"/>
        </w:rPr>
        <w:t>33</w:t>
      </w:r>
      <w:r>
        <w:rPr>
          <w:rFonts w:hint="eastAsia" w:ascii="仿宋_GB2312" w:hAnsi="宋体" w:eastAsia="仿宋_GB2312" w:cs="仿宋_GB2312"/>
          <w:sz w:val="32"/>
          <w:szCs w:val="32"/>
        </w:rPr>
        <w:t>号</w:t>
      </w:r>
    </w:p>
    <w:p w14:paraId="54387D0A">
      <w:pPr>
        <w:keepNext w:val="0"/>
        <w:keepLines w:val="0"/>
        <w:pageBreakBefore w:val="0"/>
        <w:widowControl w:val="0"/>
        <w:kinsoku/>
        <w:wordWrap/>
        <w:overflowPunct/>
        <w:topLinePunct w:val="0"/>
        <w:autoSpaceDE/>
        <w:autoSpaceDN/>
        <w:bidi w:val="0"/>
        <w:adjustRightInd/>
        <w:snapToGrid/>
        <w:spacing w:beforeAutospacing="0" w:line="580" w:lineRule="exact"/>
        <w:jc w:val="center"/>
        <w:textAlignment w:val="auto"/>
        <w:rPr>
          <w:rFonts w:hint="eastAsia" w:ascii="仿宋_GB2312" w:hAnsi="宋体" w:eastAsia="仿宋_GB2312" w:cs="仿宋_GB2312"/>
          <w:sz w:val="32"/>
          <w:szCs w:val="32"/>
        </w:rPr>
      </w:pPr>
    </w:p>
    <w:p w14:paraId="63426D6F">
      <w:pPr>
        <w:keepNext w:val="0"/>
        <w:keepLines w:val="0"/>
        <w:pageBreakBefore w:val="0"/>
        <w:widowControl w:val="0"/>
        <w:kinsoku/>
        <w:wordWrap/>
        <w:overflowPunct/>
        <w:topLinePunct w:val="0"/>
        <w:autoSpaceDE/>
        <w:autoSpaceDN/>
        <w:bidi w:val="0"/>
        <w:adjustRightInd/>
        <w:snapToGrid/>
        <w:spacing w:beforeAutospacing="0" w:line="580" w:lineRule="exact"/>
        <w:jc w:val="center"/>
        <w:textAlignment w:val="auto"/>
        <w:rPr>
          <w:rFonts w:hint="eastAsia" w:ascii="仿宋_GB2312" w:hAnsi="宋体" w:eastAsia="仿宋_GB2312" w:cs="仿宋_GB2312"/>
          <w:sz w:val="32"/>
          <w:szCs w:val="32"/>
        </w:rPr>
      </w:pPr>
    </w:p>
    <w:p w14:paraId="1745C345">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firstLine="0" w:firstLineChars="0"/>
        <w:jc w:val="center"/>
        <w:textAlignment w:val="auto"/>
        <w:outlineLvl w:val="0"/>
        <w:rPr>
          <w:rFonts w:hint="eastAsia" w:ascii="方正小标宋_GBK" w:hAnsi="方正小标宋_GBK" w:eastAsia="方正小标宋_GBK" w:cs="方正小标宋_GBK"/>
          <w:b w:val="0"/>
          <w:bCs w:val="0"/>
          <w:caps w:val="0"/>
          <w:color w:val="auto"/>
          <w:spacing w:val="0"/>
          <w:sz w:val="44"/>
          <w:szCs w:val="44"/>
          <w:lang w:val="en-US" w:eastAsia="zh-CN"/>
        </w:rPr>
      </w:pPr>
      <w:r>
        <w:rPr>
          <w:rFonts w:hint="eastAsia" w:ascii="方正小标宋_GBK" w:hAnsi="方正小标宋_GBK" w:eastAsia="方正小标宋_GBK" w:cs="方正小标宋_GBK"/>
          <w:b w:val="0"/>
          <w:bCs w:val="0"/>
          <w:caps w:val="0"/>
          <w:color w:val="auto"/>
          <w:spacing w:val="0"/>
          <w:sz w:val="44"/>
          <w:szCs w:val="44"/>
          <w:lang w:val="en-US" w:eastAsia="zh-CN"/>
        </w:rPr>
        <w:t>市人民政府办公室关于</w:t>
      </w:r>
      <w:bookmarkEnd w:id="0"/>
    </w:p>
    <w:p w14:paraId="082FB276">
      <w:pPr>
        <w:keepNext w:val="0"/>
        <w:keepLines w:val="0"/>
        <w:pageBreakBefore w:val="0"/>
        <w:widowControl w:val="0"/>
        <w:kinsoku w:val="0"/>
        <w:wordWrap/>
        <w:overflowPunct w:val="0"/>
        <w:topLinePunct w:val="0"/>
        <w:autoSpaceDE w:val="0"/>
        <w:autoSpaceDN w:val="0"/>
        <w:bidi w:val="0"/>
        <w:adjustRightInd w:val="0"/>
        <w:snapToGrid w:val="0"/>
        <w:spacing w:line="560" w:lineRule="exact"/>
        <w:jc w:val="center"/>
        <w:textAlignment w:val="auto"/>
        <w:rPr>
          <w:rFonts w:hint="eastAsia" w:ascii="方正小标宋_GBK" w:hAnsi="方正小标宋_GBK" w:eastAsia="方正小标宋_GBK" w:cs="方正小标宋_GBK"/>
          <w:b w:val="0"/>
          <w:bCs w:val="0"/>
          <w:caps w:val="0"/>
          <w:color w:val="auto"/>
          <w:spacing w:val="0"/>
          <w:sz w:val="44"/>
          <w:szCs w:val="44"/>
          <w:lang w:val="en-US" w:eastAsia="zh-CN"/>
        </w:rPr>
      </w:pPr>
      <w:bookmarkStart w:id="1" w:name="_Toc21070"/>
      <w:r>
        <w:rPr>
          <w:rFonts w:hint="eastAsia" w:ascii="方正小标宋_GBK" w:hAnsi="方正小标宋_GBK" w:eastAsia="方正小标宋_GBK" w:cs="方正小标宋_GBK"/>
          <w:b w:val="0"/>
          <w:bCs w:val="0"/>
          <w:caps w:val="0"/>
          <w:color w:val="auto"/>
          <w:spacing w:val="0"/>
          <w:sz w:val="44"/>
          <w:szCs w:val="44"/>
          <w:lang w:val="en-US" w:eastAsia="zh-CN"/>
        </w:rPr>
        <w:t>印发</w:t>
      </w:r>
      <w:bookmarkEnd w:id="1"/>
      <w:bookmarkStart w:id="2" w:name="_Toc12457"/>
      <w:r>
        <w:rPr>
          <w:rFonts w:hint="eastAsia" w:ascii="方正小标宋_GBK" w:hAnsi="方正小标宋_GBK" w:eastAsia="方正小标宋_GBK" w:cs="方正小标宋_GBK"/>
          <w:b w:val="0"/>
          <w:bCs w:val="0"/>
          <w:caps w:val="0"/>
          <w:color w:val="auto"/>
          <w:spacing w:val="0"/>
          <w:sz w:val="44"/>
          <w:szCs w:val="44"/>
          <w:lang w:val="en-US" w:eastAsia="zh-CN"/>
        </w:rPr>
        <w:t>赤壁市集中式地表水饮用水水源地</w:t>
      </w:r>
    </w:p>
    <w:p w14:paraId="4C102345">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firstLine="0" w:firstLineChars="0"/>
        <w:jc w:val="center"/>
        <w:textAlignment w:val="auto"/>
        <w:outlineLvl w:val="0"/>
        <w:rPr>
          <w:rFonts w:hint="eastAsia" w:ascii="方正小标宋_GBK" w:hAnsi="方正小标宋_GBK" w:eastAsia="方正小标宋_GBK" w:cs="方正小标宋_GBK"/>
          <w:b w:val="0"/>
          <w:bCs w:val="0"/>
          <w:color w:val="auto"/>
          <w:sz w:val="44"/>
          <w:szCs w:val="44"/>
        </w:rPr>
      </w:pPr>
      <w:r>
        <w:rPr>
          <w:rFonts w:hint="eastAsia" w:ascii="方正小标宋_GBK" w:hAnsi="方正小标宋_GBK" w:eastAsia="方正小标宋_GBK" w:cs="方正小标宋_GBK"/>
          <w:b w:val="0"/>
          <w:bCs w:val="0"/>
          <w:caps w:val="0"/>
          <w:color w:val="auto"/>
          <w:spacing w:val="0"/>
          <w:sz w:val="44"/>
          <w:szCs w:val="44"/>
          <w:lang w:val="en-US" w:eastAsia="zh-CN"/>
        </w:rPr>
        <w:t>突发环境事件应急预案</w:t>
      </w:r>
      <w:r>
        <w:rPr>
          <w:rFonts w:hint="eastAsia" w:ascii="方正小标宋_GBK" w:hAnsi="方正小标宋_GBK" w:eastAsia="方正小标宋_GBK" w:cs="方正小标宋_GBK"/>
          <w:b w:val="0"/>
          <w:bCs w:val="0"/>
          <w:color w:val="auto"/>
          <w:sz w:val="44"/>
          <w:szCs w:val="44"/>
          <w:lang w:eastAsia="zh-CN"/>
        </w:rPr>
        <w:t>的通知</w:t>
      </w:r>
      <w:bookmarkEnd w:id="2"/>
    </w:p>
    <w:p w14:paraId="6F3CCF7A">
      <w:pPr>
        <w:pStyle w:val="25"/>
        <w:keepNext w:val="0"/>
        <w:keepLines w:val="0"/>
        <w:pageBreakBefore w:val="0"/>
        <w:widowControl w:val="0"/>
        <w:kinsoku/>
        <w:wordWrap/>
        <w:overflowPunct/>
        <w:topLinePunct w:val="0"/>
        <w:autoSpaceDE w:val="0"/>
        <w:autoSpaceDN w:val="0"/>
        <w:bidi w:val="0"/>
        <w:adjustRightInd w:val="0"/>
        <w:spacing w:line="560" w:lineRule="exact"/>
        <w:jc w:val="both"/>
        <w:textAlignment w:val="auto"/>
        <w:rPr>
          <w:rFonts w:hint="eastAsia" w:ascii="仿宋_GB2312" w:hAnsi="仿宋_GB2312" w:eastAsia="仿宋_GB2312" w:cs="仿宋_GB2312"/>
          <w:b w:val="0"/>
          <w:bCs w:val="0"/>
          <w:color w:val="auto"/>
          <w:sz w:val="32"/>
          <w:szCs w:val="32"/>
          <w:lang w:eastAsia="zh-CN"/>
        </w:rPr>
      </w:pPr>
    </w:p>
    <w:p w14:paraId="16E91093">
      <w:pPr>
        <w:pStyle w:val="25"/>
        <w:keepNext w:val="0"/>
        <w:keepLines w:val="0"/>
        <w:pageBreakBefore w:val="0"/>
        <w:widowControl w:val="0"/>
        <w:kinsoku/>
        <w:wordWrap/>
        <w:overflowPunct/>
        <w:topLinePunct w:val="0"/>
        <w:autoSpaceDE w:val="0"/>
        <w:autoSpaceDN w:val="0"/>
        <w:bidi w:val="0"/>
        <w:adjustRightInd w:val="0"/>
        <w:spacing w:line="560" w:lineRule="exact"/>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各乡镇人民政府、街道办事处，市政府各部门：</w:t>
      </w:r>
    </w:p>
    <w:p w14:paraId="5D1FFB11">
      <w:pPr>
        <w:keepNext w:val="0"/>
        <w:keepLines w:val="0"/>
        <w:pageBreakBefore w:val="0"/>
        <w:widowControl w:val="0"/>
        <w:kinsoku w:val="0"/>
        <w:wordWrap/>
        <w:overflowPunct w:val="0"/>
        <w:topLinePunct w:val="0"/>
        <w:autoSpaceDE w:val="0"/>
        <w:autoSpaceDN w:val="0"/>
        <w:bidi w:val="0"/>
        <w:adjustRightInd w:val="0"/>
        <w:snapToGrid w:val="0"/>
        <w:spacing w:line="560" w:lineRule="exact"/>
        <w:ind w:firstLine="640"/>
        <w:jc w:val="center"/>
        <w:textAlignment w:val="auto"/>
        <w:rPr>
          <w:rFonts w:hint="eastAsia" w:ascii="仿宋_GB2312" w:hAnsi="仿宋_GB2312" w:eastAsia="仿宋_GB2312" w:cs="仿宋_GB2312"/>
          <w:b w:val="0"/>
          <w:bCs w:val="0"/>
          <w:caps w:val="0"/>
          <w:color w:val="auto"/>
          <w:spacing w:val="0"/>
          <w:sz w:val="32"/>
          <w:szCs w:val="32"/>
          <w:lang w:val="en-US" w:eastAsia="zh-CN"/>
        </w:rPr>
      </w:pPr>
      <w:r>
        <w:rPr>
          <w:rFonts w:hint="eastAsia" w:ascii="仿宋_GB2312" w:hAnsi="仿宋_GB2312" w:eastAsia="仿宋_GB2312" w:cs="仿宋_GB2312"/>
          <w:b w:val="0"/>
          <w:bCs w:val="0"/>
          <w:color w:val="auto"/>
          <w:sz w:val="32"/>
          <w:szCs w:val="32"/>
          <w:lang w:val="en-US" w:eastAsia="zh-CN" w:bidi="ar-SA"/>
        </w:rPr>
        <w:t>《赤壁市集中式地表水饮用水水源地突发环境事件应急预案》</w:t>
      </w:r>
      <w:r>
        <w:rPr>
          <w:rFonts w:hint="eastAsia" w:ascii="仿宋_GB2312" w:hAnsi="仿宋_GB2312" w:eastAsia="仿宋_GB2312" w:cs="仿宋_GB2312"/>
          <w:b w:val="0"/>
          <w:bCs w:val="0"/>
          <w:caps w:val="0"/>
          <w:color w:val="auto"/>
          <w:spacing w:val="0"/>
          <w:sz w:val="32"/>
          <w:szCs w:val="32"/>
          <w:lang w:val="en-US" w:eastAsia="zh-CN"/>
        </w:rPr>
        <w:t>已经市人民政府同意，现印发给你们，请结合实际，认真</w:t>
      </w:r>
    </w:p>
    <w:p w14:paraId="2E51A90A">
      <w:pPr>
        <w:keepNext w:val="0"/>
        <w:keepLines w:val="0"/>
        <w:pageBreakBefore w:val="0"/>
        <w:widowControl w:val="0"/>
        <w:kinsoku w:val="0"/>
        <w:wordWrap/>
        <w:overflowPunct w:val="0"/>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b w:val="0"/>
          <w:bCs w:val="0"/>
          <w:caps w:val="0"/>
          <w:color w:val="auto"/>
          <w:spacing w:val="0"/>
          <w:sz w:val="32"/>
          <w:szCs w:val="32"/>
          <w:lang w:val="en-US" w:eastAsia="zh-CN"/>
        </w:rPr>
      </w:pPr>
      <w:r>
        <w:rPr>
          <w:rFonts w:hint="eastAsia" w:ascii="仿宋_GB2312" w:hAnsi="仿宋_GB2312" w:eastAsia="仿宋_GB2312" w:cs="仿宋_GB2312"/>
          <w:b w:val="0"/>
          <w:bCs w:val="0"/>
          <w:caps w:val="0"/>
          <w:color w:val="auto"/>
          <w:spacing w:val="0"/>
          <w:sz w:val="32"/>
          <w:szCs w:val="32"/>
          <w:lang w:val="en-US" w:eastAsia="zh-CN"/>
        </w:rPr>
        <w:t>组织实施。</w:t>
      </w:r>
    </w:p>
    <w:p w14:paraId="5EC4A6E3">
      <w:pPr>
        <w:pStyle w:val="25"/>
        <w:keepNext w:val="0"/>
        <w:keepLines w:val="0"/>
        <w:pageBreakBefore w:val="0"/>
        <w:widowControl w:val="0"/>
        <w:kinsoku/>
        <w:wordWrap/>
        <w:overflowPunct/>
        <w:topLinePunct w:val="0"/>
        <w:autoSpaceDE w:val="0"/>
        <w:autoSpaceDN w:val="0"/>
        <w:bidi w:val="0"/>
        <w:adjustRightInd w:val="0"/>
        <w:spacing w:line="560" w:lineRule="exact"/>
        <w:ind w:firstLine="5120" w:firstLineChars="1600"/>
        <w:textAlignment w:val="auto"/>
        <w:rPr>
          <w:rFonts w:hint="eastAsia" w:ascii="仿宋_GB2312" w:hAnsi="仿宋_GB2312" w:eastAsia="仿宋_GB2312" w:cs="仿宋_GB2312"/>
          <w:b w:val="0"/>
          <w:bCs w:val="0"/>
          <w:caps w:val="0"/>
          <w:color w:val="auto"/>
          <w:spacing w:val="0"/>
          <w:sz w:val="32"/>
          <w:szCs w:val="32"/>
          <w:lang w:val="en-US" w:eastAsia="zh-CN"/>
        </w:rPr>
      </w:pPr>
    </w:p>
    <w:p w14:paraId="19E54A8C">
      <w:pPr>
        <w:pStyle w:val="11"/>
        <w:rPr>
          <w:rFonts w:hint="eastAsia" w:ascii="仿宋_GB2312" w:hAnsi="仿宋_GB2312" w:eastAsia="仿宋_GB2312" w:cs="仿宋_GB2312"/>
          <w:b w:val="0"/>
          <w:bCs w:val="0"/>
          <w:caps w:val="0"/>
          <w:color w:val="auto"/>
          <w:spacing w:val="0"/>
          <w:sz w:val="32"/>
          <w:szCs w:val="32"/>
          <w:lang w:val="en-US" w:eastAsia="zh-CN"/>
        </w:rPr>
      </w:pPr>
    </w:p>
    <w:p w14:paraId="5179B111">
      <w:pPr>
        <w:pStyle w:val="11"/>
        <w:rPr>
          <w:rFonts w:hint="eastAsia" w:ascii="仿宋_GB2312" w:hAnsi="仿宋_GB2312" w:eastAsia="仿宋_GB2312" w:cs="仿宋_GB2312"/>
          <w:b w:val="0"/>
          <w:bCs w:val="0"/>
          <w:caps w:val="0"/>
          <w:color w:val="auto"/>
          <w:spacing w:val="0"/>
          <w:sz w:val="32"/>
          <w:szCs w:val="32"/>
          <w:lang w:val="en-US" w:eastAsia="zh-CN"/>
        </w:rPr>
      </w:pPr>
    </w:p>
    <w:p w14:paraId="1EC77133">
      <w:pPr>
        <w:pStyle w:val="25"/>
        <w:keepNext w:val="0"/>
        <w:keepLines w:val="0"/>
        <w:pageBreakBefore w:val="0"/>
        <w:widowControl w:val="0"/>
        <w:kinsoku/>
        <w:wordWrap/>
        <w:overflowPunct/>
        <w:topLinePunct w:val="0"/>
        <w:autoSpaceDE w:val="0"/>
        <w:autoSpaceDN w:val="0"/>
        <w:bidi w:val="0"/>
        <w:adjustRightInd w:val="0"/>
        <w:spacing w:line="560" w:lineRule="exact"/>
        <w:ind w:firstLine="4480" w:firstLineChars="1400"/>
        <w:textAlignment w:val="auto"/>
        <w:rPr>
          <w:rFonts w:hint="eastAsia" w:ascii="仿宋_GB2312" w:hAnsi="仿宋_GB2312" w:eastAsia="仿宋_GB2312" w:cs="仿宋_GB2312"/>
          <w:b w:val="0"/>
          <w:bCs w:val="0"/>
          <w:caps w:val="0"/>
          <w:color w:val="auto"/>
          <w:spacing w:val="0"/>
          <w:sz w:val="32"/>
          <w:szCs w:val="32"/>
          <w:lang w:val="en-US" w:eastAsia="zh-CN"/>
        </w:rPr>
      </w:pPr>
      <w:r>
        <w:rPr>
          <w:rFonts w:hint="eastAsia" w:ascii="仿宋_GB2312" w:hAnsi="仿宋_GB2312" w:eastAsia="仿宋_GB2312" w:cs="仿宋_GB2312"/>
          <w:b w:val="0"/>
          <w:bCs w:val="0"/>
          <w:caps w:val="0"/>
          <w:color w:val="auto"/>
          <w:spacing w:val="0"/>
          <w:sz w:val="32"/>
          <w:szCs w:val="32"/>
          <w:lang w:val="en-US" w:eastAsia="zh-CN"/>
        </w:rPr>
        <w:t>赤壁市人民政府办公室</w:t>
      </w:r>
    </w:p>
    <w:p w14:paraId="14EEF38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color w:val="000000"/>
          <w:sz w:val="32"/>
          <w:szCs w:val="32"/>
        </w:rPr>
        <w:t>202</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30</w:t>
      </w:r>
      <w:r>
        <w:rPr>
          <w:rFonts w:hint="eastAsia" w:ascii="仿宋_GB2312" w:hAnsi="仿宋_GB2312" w:eastAsia="仿宋_GB2312" w:cs="仿宋_GB2312"/>
          <w:color w:val="000000"/>
          <w:sz w:val="32"/>
          <w:szCs w:val="32"/>
        </w:rPr>
        <w:t>日</w:t>
      </w:r>
    </w:p>
    <w:p w14:paraId="7A384794">
      <w:pPr>
        <w:pStyle w:val="8"/>
        <w:ind w:firstLine="640" w:firstLineChars="200"/>
        <w:rPr>
          <w:rFonts w:hint="eastAsia" w:ascii="仿宋_GB2312" w:hAnsi="仿宋_GB2312" w:eastAsia="仿宋_GB2312" w:cs="仿宋_GB2312"/>
          <w:color w:val="000000"/>
          <w:sz w:val="32"/>
          <w:szCs w:val="32"/>
          <w:lang w:val="en-US" w:eastAsia="zh-CN"/>
        </w:rPr>
        <w:sectPr>
          <w:footerReference r:id="rId5" w:type="default"/>
          <w:pgSz w:w="11906" w:h="16838"/>
          <w:pgMar w:top="2041" w:right="1587" w:bottom="1587" w:left="1587" w:header="851" w:footer="1117" w:gutter="0"/>
          <w:pgBorders>
            <w:top w:val="none" w:sz="0" w:space="0"/>
            <w:left w:val="none" w:sz="0" w:space="0"/>
            <w:bottom w:val="none" w:sz="0" w:space="0"/>
            <w:right w:val="none" w:sz="0" w:space="0"/>
          </w:pgBorders>
          <w:pgNumType w:fmt="numberInDash"/>
          <w:cols w:space="720" w:num="1"/>
          <w:rtlGutter w:val="0"/>
          <w:docGrid w:type="lines" w:linePitch="330" w:charSpace="0"/>
        </w:sectPr>
      </w:pPr>
      <w:r>
        <w:rPr>
          <w:rFonts w:hint="eastAsia" w:ascii="仿宋_GB2312" w:hAnsi="仿宋_GB2312" w:eastAsia="仿宋_GB2312" w:cs="仿宋_GB2312"/>
          <w:color w:val="000000"/>
          <w:sz w:val="32"/>
          <w:szCs w:val="32"/>
          <w:lang w:eastAsia="zh-CN"/>
        </w:rPr>
        <w:t>（此件公开发布）</w:t>
      </w:r>
    </w:p>
    <w:p w14:paraId="2A88739D">
      <w:pPr>
        <w:keepNext w:val="0"/>
        <w:keepLines w:val="0"/>
        <w:pageBreakBefore w:val="0"/>
        <w:widowControl w:val="0"/>
        <w:kinsoku w:val="0"/>
        <w:wordWrap/>
        <w:overflowPunct w:val="0"/>
        <w:topLinePunct w:val="0"/>
        <w:autoSpaceDE w:val="0"/>
        <w:autoSpaceDN w:val="0"/>
        <w:bidi w:val="0"/>
        <w:adjustRightInd w:val="0"/>
        <w:snapToGrid w:val="0"/>
        <w:spacing w:line="560" w:lineRule="exact"/>
        <w:jc w:val="center"/>
        <w:textAlignment w:val="auto"/>
        <w:rPr>
          <w:rFonts w:hint="eastAsia" w:ascii="方正小标宋_GBK" w:hAnsi="方正小标宋_GBK" w:eastAsia="方正小标宋_GBK" w:cs="方正小标宋_GBK"/>
          <w:b w:val="0"/>
          <w:bCs w:val="0"/>
          <w:caps w:val="0"/>
          <w:color w:val="auto"/>
          <w:spacing w:val="0"/>
          <w:sz w:val="44"/>
          <w:szCs w:val="44"/>
          <w:lang w:val="en-US" w:eastAsia="zh-CN"/>
        </w:rPr>
      </w:pPr>
      <w:r>
        <w:rPr>
          <w:rFonts w:hint="eastAsia" w:ascii="方正小标宋_GBK" w:hAnsi="方正小标宋_GBK" w:eastAsia="方正小标宋_GBK" w:cs="方正小标宋_GBK"/>
          <w:b w:val="0"/>
          <w:bCs w:val="0"/>
          <w:caps w:val="0"/>
          <w:color w:val="auto"/>
          <w:spacing w:val="0"/>
          <w:sz w:val="44"/>
          <w:szCs w:val="44"/>
          <w:lang w:val="en-US" w:eastAsia="zh-CN"/>
        </w:rPr>
        <w:t>赤壁市集中式地表水饮用水水源地</w:t>
      </w:r>
    </w:p>
    <w:p w14:paraId="7995F0BF">
      <w:pPr>
        <w:keepNext w:val="0"/>
        <w:keepLines w:val="0"/>
        <w:pageBreakBefore w:val="0"/>
        <w:widowControl w:val="0"/>
        <w:kinsoku w:val="0"/>
        <w:wordWrap/>
        <w:overflowPunct w:val="0"/>
        <w:topLinePunct w:val="0"/>
        <w:autoSpaceDE w:val="0"/>
        <w:autoSpaceDN w:val="0"/>
        <w:bidi w:val="0"/>
        <w:adjustRightInd w:val="0"/>
        <w:snapToGrid w:val="0"/>
        <w:spacing w:line="360" w:lineRule="auto"/>
        <w:jc w:val="center"/>
        <w:textAlignment w:val="auto"/>
        <w:rPr>
          <w:rFonts w:hint="eastAsia" w:ascii="方正小标宋_GBK" w:hAnsi="方正小标宋_GBK" w:eastAsia="方正小标宋_GBK" w:cs="方正小标宋_GBK"/>
          <w:b/>
          <w:bCs/>
          <w:color w:val="auto"/>
          <w:sz w:val="44"/>
          <w:szCs w:val="44"/>
          <w:lang w:eastAsia="zh-CN"/>
        </w:rPr>
      </w:pPr>
      <w:r>
        <w:rPr>
          <w:rFonts w:hint="eastAsia" w:ascii="方正小标宋_GBK" w:hAnsi="方正小标宋_GBK" w:eastAsia="方正小标宋_GBK" w:cs="方正小标宋_GBK"/>
          <w:b w:val="0"/>
          <w:bCs w:val="0"/>
          <w:caps w:val="0"/>
          <w:color w:val="auto"/>
          <w:spacing w:val="0"/>
          <w:sz w:val="44"/>
          <w:szCs w:val="44"/>
          <w:lang w:val="en-US" w:eastAsia="zh-CN"/>
        </w:rPr>
        <w:t>突发环境事件应急预案</w:t>
      </w:r>
    </w:p>
    <w:p w14:paraId="62F755B7">
      <w:pPr>
        <w:keepNext w:val="0"/>
        <w:keepLines w:val="0"/>
        <w:pageBreakBefore w:val="0"/>
        <w:widowControl w:val="0"/>
        <w:kinsoku w:val="0"/>
        <w:wordWrap/>
        <w:overflowPunct w:val="0"/>
        <w:topLinePunct w:val="0"/>
        <w:autoSpaceDE w:val="0"/>
        <w:autoSpaceDN w:val="0"/>
        <w:bidi w:val="0"/>
        <w:snapToGrid/>
        <w:spacing w:before="0" w:after="0"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rPr>
        <w:t>录</w:t>
      </w:r>
    </w:p>
    <w:p w14:paraId="26D0CD7D">
      <w:pPr>
        <w:bidi w:val="0"/>
        <w:rPr>
          <w:rFonts w:hint="default" w:ascii="Times New Roman" w:hAnsi="Times New Roman" w:eastAsia="仿宋_GB2312" w:cs="Times New Roman"/>
          <w:b w:val="0"/>
          <w:bCs/>
          <w:sz w:val="32"/>
          <w:szCs w:val="32"/>
        </w:rPr>
      </w:pPr>
      <w:r>
        <w:rPr>
          <w:rFonts w:hint="eastAsia" w:ascii="仿宋_GB2312" w:hAnsi="仿宋_GB2312" w:eastAsia="仿宋_GB2312" w:cs="仿宋_GB2312"/>
          <w:b w:val="0"/>
          <w:bCs/>
          <w:color w:val="auto"/>
          <w:sz w:val="32"/>
          <w:szCs w:val="32"/>
          <w:lang w:val="en-US" w:eastAsia="zh-CN"/>
        </w:rPr>
        <w:fldChar w:fldCharType="begin"/>
      </w:r>
      <w:r>
        <w:rPr>
          <w:rFonts w:hint="eastAsia" w:ascii="仿宋_GB2312" w:hAnsi="仿宋_GB2312" w:eastAsia="仿宋_GB2312" w:cs="仿宋_GB2312"/>
          <w:b w:val="0"/>
          <w:bCs/>
          <w:color w:val="auto"/>
          <w:sz w:val="32"/>
          <w:szCs w:val="32"/>
          <w:lang w:val="en-US" w:eastAsia="zh-CN"/>
        </w:rPr>
        <w:instrText xml:space="preserve">TOC \o "1-3" \h \u </w:instrText>
      </w:r>
      <w:r>
        <w:rPr>
          <w:rFonts w:hint="eastAsia" w:ascii="仿宋_GB2312" w:hAnsi="仿宋_GB2312" w:eastAsia="仿宋_GB2312" w:cs="仿宋_GB2312"/>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sz w:val="32"/>
          <w:szCs w:val="32"/>
          <w:lang w:val="en-US" w:eastAsia="zh-CN"/>
        </w:rPr>
        <w:instrText xml:space="preserve"> HYPERLINK \l _Toc15150 </w:instrText>
      </w:r>
      <w:r>
        <w:rPr>
          <w:rFonts w:hint="default" w:ascii="Times New Roman" w:hAnsi="Times New Roman" w:eastAsia="黑体" w:cs="Times New Roman"/>
          <w:b w:val="0"/>
          <w:bCs/>
          <w:sz w:val="32"/>
          <w:szCs w:val="32"/>
          <w:lang w:val="en-US" w:eastAsia="zh-CN"/>
        </w:rPr>
        <w:fldChar w:fldCharType="separate"/>
      </w:r>
      <w:r>
        <w:rPr>
          <w:rFonts w:hint="default" w:ascii="Times New Roman" w:hAnsi="Times New Roman" w:eastAsia="黑体" w:cs="Times New Roman"/>
          <w:b w:val="0"/>
          <w:bCs/>
          <w:kern w:val="44"/>
          <w:sz w:val="32"/>
          <w:szCs w:val="32"/>
          <w:lang w:val="en-US" w:eastAsia="zh-CN" w:bidi="ar-SA"/>
        </w:rPr>
        <w:t>1 预案总则</w:t>
      </w:r>
      <w:r>
        <w:rPr>
          <w:rFonts w:hint="default" w:ascii="Times New Roman" w:hAnsi="Times New Roman" w:eastAsia="黑体" w:cs="Times New Roman"/>
          <w:b w:val="0"/>
          <w:bCs/>
          <w:color w:val="auto"/>
          <w:sz w:val="32"/>
          <w:szCs w:val="32"/>
          <w:lang w:val="en-US" w:eastAsia="zh-CN"/>
        </w:rPr>
        <w:fldChar w:fldCharType="end"/>
      </w:r>
    </w:p>
    <w:p w14:paraId="4FE157CF">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_Toc12367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1.1 编制目的</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_Toc8851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xml:space="preserve">- </w:t>
      </w:r>
      <w:r>
        <w:rPr>
          <w:rFonts w:hint="eastAsia" w:ascii="Times New Roman" w:hAnsi="Times New Roman" w:eastAsia="仿宋_GB2312" w:cs="Times New Roman"/>
          <w:b w:val="0"/>
          <w:bCs/>
          <w:sz w:val="32"/>
          <w:szCs w:val="32"/>
          <w:lang w:val="en-US" w:eastAsia="zh-CN"/>
        </w:rPr>
        <w:t>5</w:t>
      </w:r>
      <w:r>
        <w:rPr>
          <w:rFonts w:hint="default" w:ascii="Times New Roman" w:hAnsi="Times New Roman" w:eastAsia="仿宋_GB2312" w:cs="Times New Roman"/>
          <w:b w:val="0"/>
          <w:bCs/>
          <w:sz w:val="32"/>
          <w:szCs w:val="32"/>
        </w:rPr>
        <w:t xml:space="preserve">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32E8B103">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_Toc1762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1.2 编制依据</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_Toc8851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xml:space="preserve">- </w:t>
      </w:r>
      <w:r>
        <w:rPr>
          <w:rFonts w:hint="eastAsia" w:ascii="Times New Roman" w:hAnsi="Times New Roman" w:eastAsia="仿宋_GB2312" w:cs="Times New Roman"/>
          <w:b w:val="0"/>
          <w:bCs/>
          <w:sz w:val="32"/>
          <w:szCs w:val="32"/>
          <w:lang w:val="en-US" w:eastAsia="zh-CN"/>
        </w:rPr>
        <w:t>5</w:t>
      </w:r>
      <w:r>
        <w:rPr>
          <w:rFonts w:hint="default" w:ascii="Times New Roman" w:hAnsi="Times New Roman" w:eastAsia="仿宋_GB2312" w:cs="Times New Roman"/>
          <w:b w:val="0"/>
          <w:bCs/>
          <w:sz w:val="32"/>
          <w:szCs w:val="32"/>
        </w:rPr>
        <w:t xml:space="preserve">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6FFF26D1">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lang w:val="en-US" w:eastAsia="zh-CN" w:bidi="ar-SA"/>
        </w:rPr>
      </w:pPr>
      <w:r>
        <w:rPr>
          <w:rFonts w:hint="default" w:ascii="Times New Roman" w:hAnsi="Times New Roman" w:eastAsia="仿宋_GB2312" w:cs="Times New Roman"/>
          <w:b w:val="0"/>
          <w:bCs/>
          <w:sz w:val="32"/>
          <w:szCs w:val="32"/>
          <w:lang w:val="en-US" w:eastAsia="zh-CN" w:bidi="ar-SA"/>
        </w:rPr>
        <w:fldChar w:fldCharType="begin"/>
      </w:r>
      <w:r>
        <w:rPr>
          <w:rFonts w:hint="default" w:ascii="Times New Roman" w:hAnsi="Times New Roman" w:eastAsia="仿宋_GB2312" w:cs="Times New Roman"/>
          <w:b w:val="0"/>
          <w:bCs/>
          <w:sz w:val="32"/>
          <w:szCs w:val="32"/>
          <w:lang w:val="en-US" w:eastAsia="zh-CN" w:bidi="ar-SA"/>
        </w:rPr>
        <w:instrText xml:space="preserve"> HYPERLINK \l _Toc4660 </w:instrText>
      </w:r>
      <w:r>
        <w:rPr>
          <w:rFonts w:hint="default" w:ascii="Times New Roman" w:hAnsi="Times New Roman" w:eastAsia="仿宋_GB2312" w:cs="Times New Roman"/>
          <w:b w:val="0"/>
          <w:bCs/>
          <w:sz w:val="32"/>
          <w:szCs w:val="32"/>
          <w:lang w:val="en-US" w:eastAsia="zh-CN" w:bidi="ar-SA"/>
        </w:rPr>
        <w:fldChar w:fldCharType="separate"/>
      </w:r>
      <w:r>
        <w:rPr>
          <w:rFonts w:hint="default" w:ascii="Times New Roman" w:hAnsi="Times New Roman" w:eastAsia="仿宋_GB2312" w:cs="Times New Roman"/>
          <w:b w:val="0"/>
          <w:bCs/>
          <w:sz w:val="32"/>
          <w:szCs w:val="32"/>
          <w:lang w:val="en-US" w:eastAsia="zh-CN" w:bidi="ar-SA"/>
        </w:rPr>
        <w:t>1.2.1 法律、法规和规章</w:t>
      </w:r>
      <w:r>
        <w:rPr>
          <w:rFonts w:hint="default" w:ascii="Times New Roman" w:hAnsi="Times New Roman" w:eastAsia="仿宋_GB2312" w:cs="Times New Roman"/>
          <w:b w:val="0"/>
          <w:bCs/>
          <w:sz w:val="32"/>
          <w:szCs w:val="32"/>
          <w:lang w:val="en-US" w:eastAsia="zh-CN" w:bidi="ar-SA"/>
        </w:rPr>
        <w:tab/>
      </w:r>
      <w:r>
        <w:rPr>
          <w:rFonts w:hint="default" w:ascii="Times New Roman" w:hAnsi="Times New Roman" w:eastAsia="仿宋_GB2312" w:cs="Times New Roman"/>
          <w:b w:val="0"/>
          <w:bCs/>
          <w:sz w:val="32"/>
          <w:szCs w:val="32"/>
          <w:lang w:val="en-US" w:eastAsia="zh-CN" w:bidi="ar-SA"/>
        </w:rPr>
        <w:fldChar w:fldCharType="begin"/>
      </w:r>
      <w:r>
        <w:rPr>
          <w:rFonts w:hint="default" w:ascii="Times New Roman" w:hAnsi="Times New Roman" w:eastAsia="仿宋_GB2312" w:cs="Times New Roman"/>
          <w:b w:val="0"/>
          <w:bCs/>
          <w:sz w:val="32"/>
          <w:szCs w:val="32"/>
          <w:lang w:val="en-US" w:eastAsia="zh-CN" w:bidi="ar-SA"/>
        </w:rPr>
        <w:instrText xml:space="preserve"> PAGEREF _Toc8851 \h </w:instrText>
      </w:r>
      <w:r>
        <w:rPr>
          <w:rFonts w:hint="default" w:ascii="Times New Roman" w:hAnsi="Times New Roman" w:eastAsia="仿宋_GB2312" w:cs="Times New Roman"/>
          <w:b w:val="0"/>
          <w:bCs/>
          <w:sz w:val="32"/>
          <w:szCs w:val="32"/>
          <w:lang w:val="en-US" w:eastAsia="zh-CN" w:bidi="ar-SA"/>
        </w:rPr>
        <w:fldChar w:fldCharType="separate"/>
      </w:r>
      <w:r>
        <w:rPr>
          <w:rFonts w:hint="default" w:ascii="Times New Roman" w:hAnsi="Times New Roman" w:eastAsia="仿宋_GB2312" w:cs="Times New Roman"/>
          <w:b w:val="0"/>
          <w:bCs/>
          <w:sz w:val="32"/>
          <w:szCs w:val="32"/>
          <w:lang w:val="en-US" w:eastAsia="zh-CN" w:bidi="ar-SA"/>
        </w:rPr>
        <w:t xml:space="preserve">- </w:t>
      </w:r>
      <w:r>
        <w:rPr>
          <w:rFonts w:hint="eastAsia" w:ascii="Times New Roman" w:hAnsi="Times New Roman" w:eastAsia="仿宋_GB2312" w:cs="Times New Roman"/>
          <w:b w:val="0"/>
          <w:bCs/>
          <w:sz w:val="32"/>
          <w:szCs w:val="32"/>
          <w:lang w:val="en-US" w:eastAsia="zh-CN" w:bidi="ar-SA"/>
        </w:rPr>
        <w:t>5</w:t>
      </w:r>
      <w:r>
        <w:rPr>
          <w:rFonts w:hint="default" w:ascii="Times New Roman" w:hAnsi="Times New Roman" w:eastAsia="仿宋_GB2312" w:cs="Times New Roman"/>
          <w:b w:val="0"/>
          <w:bCs/>
          <w:sz w:val="32"/>
          <w:szCs w:val="32"/>
          <w:lang w:val="en-US" w:eastAsia="zh-CN" w:bidi="ar-SA"/>
        </w:rPr>
        <w:t xml:space="preserve"> -</w:t>
      </w:r>
      <w:r>
        <w:rPr>
          <w:rFonts w:hint="default" w:ascii="Times New Roman" w:hAnsi="Times New Roman" w:eastAsia="仿宋_GB2312" w:cs="Times New Roman"/>
          <w:b w:val="0"/>
          <w:bCs/>
          <w:sz w:val="32"/>
          <w:szCs w:val="32"/>
          <w:lang w:val="en-US" w:eastAsia="zh-CN" w:bidi="ar-SA"/>
        </w:rPr>
        <w:fldChar w:fldCharType="end"/>
      </w:r>
      <w:r>
        <w:rPr>
          <w:rFonts w:hint="default" w:ascii="Times New Roman" w:hAnsi="Times New Roman" w:eastAsia="仿宋_GB2312" w:cs="Times New Roman"/>
          <w:b w:val="0"/>
          <w:bCs/>
          <w:sz w:val="32"/>
          <w:szCs w:val="32"/>
          <w:lang w:val="en-US" w:eastAsia="zh-CN" w:bidi="ar-SA"/>
        </w:rPr>
        <w:fldChar w:fldCharType="end"/>
      </w:r>
    </w:p>
    <w:p w14:paraId="78EFDDAB">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_Toc28751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1.2.2 有关预案、标准规范和规范性文件</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color w:val="auto"/>
          <w:sz w:val="32"/>
          <w:szCs w:val="32"/>
          <w:lang w:val="en-US" w:eastAsia="zh-CN"/>
        </w:rPr>
        <w:fldChar w:fldCharType="end"/>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_Toc8851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xml:space="preserve">- </w:t>
      </w:r>
      <w:r>
        <w:rPr>
          <w:rFonts w:hint="eastAsia" w:ascii="Times New Roman" w:hAnsi="Times New Roman" w:eastAsia="仿宋_GB2312" w:cs="Times New Roman"/>
          <w:b w:val="0"/>
          <w:bCs/>
          <w:sz w:val="32"/>
          <w:szCs w:val="32"/>
          <w:lang w:val="en-US" w:eastAsia="zh-CN"/>
        </w:rPr>
        <w:t>6</w:t>
      </w:r>
      <w:r>
        <w:rPr>
          <w:rFonts w:hint="default" w:ascii="Times New Roman" w:hAnsi="Times New Roman" w:eastAsia="仿宋_GB2312" w:cs="Times New Roman"/>
          <w:b w:val="0"/>
          <w:bCs/>
          <w:sz w:val="32"/>
          <w:szCs w:val="32"/>
        </w:rPr>
        <w:t xml:space="preserve"> -</w:t>
      </w:r>
      <w:r>
        <w:rPr>
          <w:rFonts w:hint="default" w:ascii="Times New Roman" w:hAnsi="Times New Roman" w:eastAsia="仿宋_GB2312" w:cs="Times New Roman"/>
          <w:b w:val="0"/>
          <w:bCs/>
          <w:sz w:val="32"/>
          <w:szCs w:val="32"/>
        </w:rPr>
        <w:fldChar w:fldCharType="end"/>
      </w:r>
    </w:p>
    <w:p w14:paraId="6FA8DEBD">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_Toc3637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1.3 适用范围</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color w:val="auto"/>
          <w:sz w:val="32"/>
          <w:szCs w:val="32"/>
          <w:lang w:val="en-US" w:eastAsia="zh-CN"/>
        </w:rPr>
        <w:fldChar w:fldCharType="end"/>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_Toc8851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- 8 -</w:t>
      </w:r>
      <w:r>
        <w:rPr>
          <w:rFonts w:hint="default" w:ascii="Times New Roman" w:hAnsi="Times New Roman" w:eastAsia="仿宋_GB2312" w:cs="Times New Roman"/>
          <w:b w:val="0"/>
          <w:bCs/>
          <w:sz w:val="32"/>
          <w:szCs w:val="32"/>
        </w:rPr>
        <w:fldChar w:fldCharType="end"/>
      </w:r>
    </w:p>
    <w:p w14:paraId="72A638AF">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_Toc8851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1.4 预案衔接</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_Toc8851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- 8 -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70D0B65F">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lang w:val="en-US" w:eastAsia="zh-CN" w:bidi="ar-SA"/>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_Toc5949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1.5 工作原则</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_Toc5949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- 10 -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72E2FF94">
      <w:pPr>
        <w:pStyle w:val="13"/>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textAlignment w:val="auto"/>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color w:val="auto"/>
          <w:sz w:val="32"/>
          <w:szCs w:val="32"/>
          <w:lang w:val="en-US" w:eastAsia="zh-CN"/>
        </w:rPr>
        <w:instrText xml:space="preserve"> HYPERLINK \l _Toc28702 </w:instrText>
      </w:r>
      <w:r>
        <w:rPr>
          <w:rFonts w:hint="default" w:ascii="Times New Roman" w:hAnsi="Times New Roman" w:eastAsia="黑体" w:cs="Times New Roman"/>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t>2 应急组织指挥体系</w:t>
      </w:r>
      <w:r>
        <w:rPr>
          <w:rFonts w:hint="default" w:ascii="Times New Roman" w:hAnsi="Times New Roman" w:eastAsia="黑体" w:cs="Times New Roman"/>
          <w:b w:val="0"/>
          <w:bCs/>
          <w:color w:val="auto"/>
          <w:sz w:val="32"/>
          <w:szCs w:val="32"/>
          <w:lang w:val="en-US" w:eastAsia="zh-CN"/>
        </w:rPr>
        <w:tab/>
      </w: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color w:val="auto"/>
          <w:sz w:val="32"/>
          <w:szCs w:val="32"/>
          <w:lang w:val="en-US" w:eastAsia="zh-CN"/>
        </w:rPr>
        <w:instrText xml:space="preserve"> PAGEREF _Toc28702 \h </w:instrText>
      </w:r>
      <w:r>
        <w:rPr>
          <w:rFonts w:hint="default" w:ascii="Times New Roman" w:hAnsi="Times New Roman" w:eastAsia="黑体" w:cs="Times New Roman"/>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t>- 12 -</w:t>
      </w:r>
      <w:r>
        <w:rPr>
          <w:rFonts w:hint="default" w:ascii="Times New Roman" w:hAnsi="Times New Roman" w:eastAsia="黑体" w:cs="Times New Roman"/>
          <w:b w:val="0"/>
          <w:bCs/>
          <w:color w:val="auto"/>
          <w:sz w:val="32"/>
          <w:szCs w:val="32"/>
          <w:lang w:val="en-US" w:eastAsia="zh-CN"/>
        </w:rPr>
        <w:fldChar w:fldCharType="end"/>
      </w:r>
      <w:r>
        <w:rPr>
          <w:rFonts w:hint="default" w:ascii="Times New Roman" w:hAnsi="Times New Roman" w:eastAsia="黑体" w:cs="Times New Roman"/>
          <w:b w:val="0"/>
          <w:bCs/>
          <w:color w:val="auto"/>
          <w:sz w:val="32"/>
          <w:szCs w:val="32"/>
          <w:lang w:val="en-US" w:eastAsia="zh-CN"/>
        </w:rPr>
        <w:fldChar w:fldCharType="end"/>
      </w:r>
    </w:p>
    <w:p w14:paraId="3438C5C9">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_Toc7245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2.1 应急组织指挥机构</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lang w:val="en-US" w:eastAsia="zh-CN" w:bidi="ar-SA"/>
        </w:rPr>
        <w:fldChar w:fldCharType="begin"/>
      </w:r>
      <w:r>
        <w:rPr>
          <w:rFonts w:hint="default" w:ascii="Times New Roman" w:hAnsi="Times New Roman" w:eastAsia="仿宋_GB2312" w:cs="Times New Roman"/>
          <w:b w:val="0"/>
          <w:bCs/>
          <w:sz w:val="32"/>
          <w:szCs w:val="32"/>
          <w:lang w:val="en-US" w:eastAsia="zh-CN" w:bidi="ar-SA"/>
        </w:rPr>
        <w:instrText xml:space="preserve"> PAGEREF _Toc7245 \h </w:instrText>
      </w:r>
      <w:r>
        <w:rPr>
          <w:rFonts w:hint="default" w:ascii="Times New Roman" w:hAnsi="Times New Roman" w:eastAsia="仿宋_GB2312" w:cs="Times New Roman"/>
          <w:b w:val="0"/>
          <w:bCs/>
          <w:sz w:val="32"/>
          <w:szCs w:val="32"/>
          <w:lang w:val="en-US" w:eastAsia="zh-CN" w:bidi="ar-SA"/>
        </w:rPr>
        <w:fldChar w:fldCharType="separate"/>
      </w:r>
      <w:r>
        <w:rPr>
          <w:rFonts w:hint="default" w:ascii="Times New Roman" w:hAnsi="Times New Roman" w:eastAsia="仿宋_GB2312" w:cs="Times New Roman"/>
          <w:b w:val="0"/>
          <w:bCs/>
          <w:sz w:val="32"/>
          <w:szCs w:val="32"/>
          <w:lang w:val="en-US" w:eastAsia="zh-CN" w:bidi="ar-SA"/>
        </w:rPr>
        <w:t>- 12 -</w:t>
      </w:r>
      <w:r>
        <w:rPr>
          <w:rFonts w:hint="default" w:ascii="Times New Roman" w:hAnsi="Times New Roman" w:eastAsia="仿宋_GB2312" w:cs="Times New Roman"/>
          <w:b w:val="0"/>
          <w:bCs/>
          <w:sz w:val="32"/>
          <w:szCs w:val="32"/>
          <w:lang w:val="en-US" w:eastAsia="zh-CN" w:bidi="ar-SA"/>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046E4F89">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_Toc8449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2.2 现场应急指挥部</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_Toc8449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- 17 -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2CE15385">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_Toc11794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2.3 现场应急工作组</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_Toc11794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- 18 -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55F68EBD">
      <w:pPr>
        <w:pStyle w:val="13"/>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textAlignment w:val="auto"/>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color w:val="auto"/>
          <w:sz w:val="32"/>
          <w:szCs w:val="32"/>
          <w:lang w:val="en-US" w:eastAsia="zh-CN"/>
        </w:rPr>
        <w:instrText xml:space="preserve"> HYPERLINK \l _Toc20615 </w:instrText>
      </w:r>
      <w:r>
        <w:rPr>
          <w:rFonts w:hint="default" w:ascii="Times New Roman" w:hAnsi="Times New Roman" w:eastAsia="黑体" w:cs="Times New Roman"/>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t>3 应急响应</w:t>
      </w:r>
      <w:r>
        <w:rPr>
          <w:rFonts w:hint="default" w:ascii="Times New Roman" w:hAnsi="Times New Roman" w:eastAsia="黑体" w:cs="Times New Roman"/>
          <w:b w:val="0"/>
          <w:bCs/>
          <w:color w:val="auto"/>
          <w:sz w:val="32"/>
          <w:szCs w:val="32"/>
          <w:lang w:val="en-US" w:eastAsia="zh-CN"/>
        </w:rPr>
        <w:tab/>
      </w: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color w:val="auto"/>
          <w:sz w:val="32"/>
          <w:szCs w:val="32"/>
          <w:lang w:val="en-US" w:eastAsia="zh-CN"/>
        </w:rPr>
        <w:instrText xml:space="preserve"> PAGEREF _Toc20615 \h </w:instrText>
      </w:r>
      <w:r>
        <w:rPr>
          <w:rFonts w:hint="default" w:ascii="Times New Roman" w:hAnsi="Times New Roman" w:eastAsia="黑体" w:cs="Times New Roman"/>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t>- 22 -</w:t>
      </w:r>
      <w:r>
        <w:rPr>
          <w:rFonts w:hint="default" w:ascii="Times New Roman" w:hAnsi="Times New Roman" w:eastAsia="黑体" w:cs="Times New Roman"/>
          <w:b w:val="0"/>
          <w:bCs/>
          <w:color w:val="auto"/>
          <w:sz w:val="32"/>
          <w:szCs w:val="32"/>
          <w:lang w:val="en-US" w:eastAsia="zh-CN"/>
        </w:rPr>
        <w:fldChar w:fldCharType="end"/>
      </w:r>
      <w:r>
        <w:rPr>
          <w:rFonts w:hint="default" w:ascii="Times New Roman" w:hAnsi="Times New Roman" w:eastAsia="黑体" w:cs="Times New Roman"/>
          <w:b w:val="0"/>
          <w:bCs/>
          <w:color w:val="auto"/>
          <w:sz w:val="32"/>
          <w:szCs w:val="32"/>
          <w:lang w:val="en-US" w:eastAsia="zh-CN"/>
        </w:rPr>
        <w:fldChar w:fldCharType="end"/>
      </w:r>
    </w:p>
    <w:p w14:paraId="17C9F6FE">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_Toc31389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3.1 信息收集与研判</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_Toc31389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- 22 -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15B9D9A3">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_Toc15531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3.3.1 信息收集</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_Toc15531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- 22 -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7DD0AAF6">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_Toc6018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3.1.2 信息研判与会商</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_Toc6018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- 23 -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05EE261A">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_Toc15914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3.2 预警</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_Toc15914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- 24 -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1F88F9F2">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_Toc5658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3.2.1 预警分级</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_Toc5658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- 24 -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5C42FA83">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_Toc5699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3.2.2 预警的启动条件</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_Toc5699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- 25 -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14B67C93">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_Toc31432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3.2.3 发布预警和预警级别调整</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_Toc31432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- 27 -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3372629A">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_Toc26473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3.2.4 预警行动</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_Toc26473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- 28 -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42BE8CAB">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_Toc6243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3.2.5 预警解除</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_Toc6243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- 29 -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0F4BD191">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_Toc2667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3.3 信息报告与通报</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_Toc2667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- 30 -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69F20C2B">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_Toc7614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3.3.1 信息报告程序</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_Toc7614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- 30 -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6725FAB6">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_Toc28402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3.3.2 信息通报程序</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_Toc28402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- 31 -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2BFF7709">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_Toc17276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3.3.3 信息报告和通报内容</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_Toc17276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- 31 -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7213E3BD">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_Toc28770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3.4 事态研判</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_Toc28770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- 32 -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0D4E4FB5">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_Toc8530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3.5 应急监测</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_Toc8530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- 33 -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0119606A">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_Toc518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3.5.1 开展应急监测的程序</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_Toc518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- 33 -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04BA7A83">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_Toc30223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3.5.2 制定应急监测方案</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_Toc30223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- 33 -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2B18F4ED">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_Toc17788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3.6 污染源排查与处置</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_Toc17788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- 36 -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7A5511A5">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_Toc19148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3.6.1 明确排查对象</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_Toc19148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- 36 -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43C27512">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_Toc15746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3.6.2 切断污染源</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_Toc15746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- 37 -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3D6E9B0D">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_Toc1311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3.7 应急处置</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_Toc1311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- 39 -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686C3797">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_Toc6143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3.7.1 制定现场处置方案</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_Toc6143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- 39 -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667861AE">
      <w:pPr>
        <w:pStyle w:val="10"/>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0" w:leftChars="0" w:firstLine="1120" w:firstLineChars="3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_Toc1895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3.7.2 供水安全保障</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_Toc1895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- 41 -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75294ACC">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380"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_Toc20866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3.8 物资调集及应急设施启用</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_Toc20866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- 43 -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48AEDDB5">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_Toc14566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3.9 舆情监测与信息发布</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_Toc14566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- 44 -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28DBA473">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_Toc17807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3.10 响应中止</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_Toc17807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- 45 -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0AFF7A62">
      <w:pPr>
        <w:pStyle w:val="13"/>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textAlignment w:val="auto"/>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color w:val="auto"/>
          <w:sz w:val="32"/>
          <w:szCs w:val="32"/>
          <w:lang w:val="en-US" w:eastAsia="zh-CN"/>
        </w:rPr>
        <w:instrText xml:space="preserve"> HYPERLINK \l _Toc23368 </w:instrText>
      </w:r>
      <w:r>
        <w:rPr>
          <w:rFonts w:hint="default" w:ascii="Times New Roman" w:hAnsi="Times New Roman" w:eastAsia="黑体" w:cs="Times New Roman"/>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t>4 后期工作</w:t>
      </w:r>
      <w:r>
        <w:rPr>
          <w:rFonts w:hint="default" w:ascii="Times New Roman" w:hAnsi="Times New Roman" w:eastAsia="黑体" w:cs="Times New Roman"/>
          <w:b w:val="0"/>
          <w:bCs/>
          <w:color w:val="auto"/>
          <w:sz w:val="32"/>
          <w:szCs w:val="32"/>
          <w:lang w:val="en-US" w:eastAsia="zh-CN"/>
        </w:rPr>
        <w:tab/>
      </w: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color w:val="auto"/>
          <w:sz w:val="32"/>
          <w:szCs w:val="32"/>
          <w:lang w:val="en-US" w:eastAsia="zh-CN"/>
        </w:rPr>
        <w:instrText xml:space="preserve"> PAGEREF _Toc23368 \h </w:instrText>
      </w:r>
      <w:r>
        <w:rPr>
          <w:rFonts w:hint="default" w:ascii="Times New Roman" w:hAnsi="Times New Roman" w:eastAsia="黑体" w:cs="Times New Roman"/>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t>- 46 -</w:t>
      </w:r>
      <w:r>
        <w:rPr>
          <w:rFonts w:hint="default" w:ascii="Times New Roman" w:hAnsi="Times New Roman" w:eastAsia="黑体" w:cs="Times New Roman"/>
          <w:b w:val="0"/>
          <w:bCs/>
          <w:color w:val="auto"/>
          <w:sz w:val="32"/>
          <w:szCs w:val="32"/>
          <w:lang w:val="en-US" w:eastAsia="zh-CN"/>
        </w:rPr>
        <w:fldChar w:fldCharType="end"/>
      </w:r>
      <w:r>
        <w:rPr>
          <w:rFonts w:hint="default" w:ascii="Times New Roman" w:hAnsi="Times New Roman" w:eastAsia="黑体" w:cs="Times New Roman"/>
          <w:b w:val="0"/>
          <w:bCs/>
          <w:color w:val="auto"/>
          <w:sz w:val="32"/>
          <w:szCs w:val="32"/>
          <w:lang w:val="en-US" w:eastAsia="zh-CN"/>
        </w:rPr>
        <w:fldChar w:fldCharType="end"/>
      </w:r>
    </w:p>
    <w:p w14:paraId="413E1133">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_Toc6764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4.1 后期防控</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_Toc6764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- 46 -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39D79D2A">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_Toc455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4.2 事件调查</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_Toc455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- 47 -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51B458B9">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left="380"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_Toc11346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4.3 损害评估</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_Toc11346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- 47 -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30BDE91C">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_Toc24078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4.4 善后处置</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_Toc24078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- 48 -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66B7E96D">
      <w:pPr>
        <w:pStyle w:val="13"/>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textAlignment w:val="auto"/>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color w:val="auto"/>
          <w:sz w:val="32"/>
          <w:szCs w:val="32"/>
          <w:lang w:val="en-US" w:eastAsia="zh-CN"/>
        </w:rPr>
        <w:instrText xml:space="preserve"> HYPERLINK \l _Toc31534 </w:instrText>
      </w:r>
      <w:r>
        <w:rPr>
          <w:rFonts w:hint="default" w:ascii="Times New Roman" w:hAnsi="Times New Roman" w:eastAsia="黑体" w:cs="Times New Roman"/>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t>5 应急保障</w:t>
      </w:r>
      <w:r>
        <w:rPr>
          <w:rFonts w:hint="default" w:ascii="Times New Roman" w:hAnsi="Times New Roman" w:eastAsia="黑体" w:cs="Times New Roman"/>
          <w:b w:val="0"/>
          <w:bCs/>
          <w:color w:val="auto"/>
          <w:sz w:val="32"/>
          <w:szCs w:val="32"/>
          <w:lang w:val="en-US" w:eastAsia="zh-CN"/>
        </w:rPr>
        <w:tab/>
      </w: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color w:val="auto"/>
          <w:sz w:val="32"/>
          <w:szCs w:val="32"/>
          <w:lang w:val="en-US" w:eastAsia="zh-CN"/>
        </w:rPr>
        <w:instrText xml:space="preserve"> PAGEREF _Toc31534 \h </w:instrText>
      </w:r>
      <w:r>
        <w:rPr>
          <w:rFonts w:hint="default" w:ascii="Times New Roman" w:hAnsi="Times New Roman" w:eastAsia="黑体" w:cs="Times New Roman"/>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t>- 49 -</w:t>
      </w:r>
      <w:r>
        <w:rPr>
          <w:rFonts w:hint="default" w:ascii="Times New Roman" w:hAnsi="Times New Roman" w:eastAsia="黑体" w:cs="Times New Roman"/>
          <w:b w:val="0"/>
          <w:bCs/>
          <w:color w:val="auto"/>
          <w:sz w:val="32"/>
          <w:szCs w:val="32"/>
          <w:lang w:val="en-US" w:eastAsia="zh-CN"/>
        </w:rPr>
        <w:fldChar w:fldCharType="end"/>
      </w:r>
      <w:r>
        <w:rPr>
          <w:rFonts w:hint="default" w:ascii="Times New Roman" w:hAnsi="Times New Roman" w:eastAsia="黑体" w:cs="Times New Roman"/>
          <w:b w:val="0"/>
          <w:bCs/>
          <w:color w:val="auto"/>
          <w:sz w:val="32"/>
          <w:szCs w:val="32"/>
          <w:lang w:val="en-US" w:eastAsia="zh-CN"/>
        </w:rPr>
        <w:fldChar w:fldCharType="end"/>
      </w:r>
    </w:p>
    <w:p w14:paraId="3C71B847">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_Toc31108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5.1 通讯与信息保障</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_Toc31108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- 49 -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0AC5485A">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_Toc30546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5.2 应急队伍保障</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_Toc30546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- 50 -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3DC8D116">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_Toc26026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5.3 应急资源保障</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_Toc26026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- 50 -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258E4334">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_Toc11463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5.4 经费保障</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_Toc11463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- 51 -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756ABB5B">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_Toc1201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5.5 其他保障</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_Toc1201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- 51 -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3830189A">
      <w:pPr>
        <w:pStyle w:val="13"/>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textAlignment w:val="auto"/>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color w:val="auto"/>
          <w:sz w:val="32"/>
          <w:szCs w:val="32"/>
          <w:lang w:val="en-US" w:eastAsia="zh-CN"/>
        </w:rPr>
        <w:instrText xml:space="preserve"> HYPERLINK \l _Toc2595 </w:instrText>
      </w:r>
      <w:r>
        <w:rPr>
          <w:rFonts w:hint="default" w:ascii="Times New Roman" w:hAnsi="Times New Roman" w:eastAsia="黑体" w:cs="Times New Roman"/>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t>6 附则</w:t>
      </w:r>
      <w:r>
        <w:rPr>
          <w:rFonts w:hint="default" w:ascii="Times New Roman" w:hAnsi="Times New Roman" w:eastAsia="黑体" w:cs="Times New Roman"/>
          <w:b w:val="0"/>
          <w:bCs/>
          <w:color w:val="auto"/>
          <w:sz w:val="32"/>
          <w:szCs w:val="32"/>
          <w:lang w:val="en-US" w:eastAsia="zh-CN"/>
        </w:rPr>
        <w:tab/>
      </w: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color w:val="auto"/>
          <w:sz w:val="32"/>
          <w:szCs w:val="32"/>
          <w:lang w:val="en-US" w:eastAsia="zh-CN"/>
        </w:rPr>
        <w:instrText xml:space="preserve"> PAGEREF _Toc2595 \h </w:instrText>
      </w:r>
      <w:r>
        <w:rPr>
          <w:rFonts w:hint="default" w:ascii="Times New Roman" w:hAnsi="Times New Roman" w:eastAsia="黑体" w:cs="Times New Roman"/>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t>- 54 -</w:t>
      </w:r>
      <w:r>
        <w:rPr>
          <w:rFonts w:hint="default" w:ascii="Times New Roman" w:hAnsi="Times New Roman" w:eastAsia="黑体" w:cs="Times New Roman"/>
          <w:b w:val="0"/>
          <w:bCs/>
          <w:color w:val="auto"/>
          <w:sz w:val="32"/>
          <w:szCs w:val="32"/>
          <w:lang w:val="en-US" w:eastAsia="zh-CN"/>
        </w:rPr>
        <w:fldChar w:fldCharType="end"/>
      </w:r>
      <w:r>
        <w:rPr>
          <w:rFonts w:hint="default" w:ascii="Times New Roman" w:hAnsi="Times New Roman" w:eastAsia="黑体" w:cs="Times New Roman"/>
          <w:b w:val="0"/>
          <w:bCs/>
          <w:color w:val="auto"/>
          <w:sz w:val="32"/>
          <w:szCs w:val="32"/>
          <w:lang w:val="en-US" w:eastAsia="zh-CN"/>
        </w:rPr>
        <w:fldChar w:fldCharType="end"/>
      </w:r>
    </w:p>
    <w:p w14:paraId="0E7D716A">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_Toc21361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6.1 名称术语</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_Toc21361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- 54 -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1DE90F6F">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_Toc9993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6.2 预案解释部门</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_Toc9993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- 55 -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65D1BB8F">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_Toc10344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6.3 预案演练和修订</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_Toc10344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- 55 -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3DE8FA1E">
      <w:pPr>
        <w:pStyle w:val="13"/>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textAlignment w:val="auto"/>
        <w:rPr>
          <w:rFonts w:hint="default" w:ascii="Times New Roman" w:hAnsi="Times New Roman" w:eastAsia="仿宋_GB2312" w:cs="Times New Roman"/>
          <w:b w:val="0"/>
          <w:bCs/>
          <w:color w:val="auto"/>
          <w:sz w:val="32"/>
          <w:szCs w:val="32"/>
          <w:lang w:val="en-US" w:eastAsia="zh-CN"/>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_Toc20421 </w:instrText>
      </w:r>
      <w:r>
        <w:rPr>
          <w:rFonts w:hint="default" w:ascii="Times New Roman" w:hAnsi="Times New Roman" w:eastAsia="仿宋_GB2312" w:cs="Times New Roman"/>
          <w:b w:val="0"/>
          <w:bCs/>
          <w:sz w:val="32"/>
          <w:szCs w:val="32"/>
          <w:lang w:val="en-US" w:eastAsia="zh-CN"/>
        </w:rPr>
        <w:fldChar w:fldCharType="separate"/>
      </w:r>
      <w:r>
        <w:rPr>
          <w:rFonts w:hint="default" w:ascii="Times New Roman" w:hAnsi="Times New Roman" w:eastAsia="仿宋_GB2312" w:cs="Times New Roman"/>
          <w:b w:val="0"/>
          <w:bCs/>
          <w:sz w:val="32"/>
          <w:szCs w:val="32"/>
          <w:lang w:val="en-US" w:eastAsia="zh-CN" w:bidi="ar-SA"/>
        </w:rPr>
        <w:t>6.4 预案实施时间</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_Toc20421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- 57 -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237475AF">
      <w:pPr>
        <w:pStyle w:val="13"/>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textAlignment w:val="auto"/>
        <w:rPr>
          <w:rFonts w:hint="default" w:ascii="Times New Roman" w:hAnsi="Times New Roman" w:eastAsia="黑体" w:cs="Times New Roman"/>
          <w:b w:val="0"/>
          <w:bCs/>
          <w:color w:val="auto"/>
          <w:sz w:val="32"/>
          <w:szCs w:val="32"/>
          <w:lang w:val="en-US" w:eastAsia="zh-CN"/>
        </w:rPr>
      </w:pPr>
      <w:r>
        <w:rPr>
          <w:rFonts w:hint="eastAsia" w:ascii="Times New Roman" w:hAnsi="Times New Roman" w:eastAsia="黑体" w:cs="Times New Roman"/>
          <w:b w:val="0"/>
          <w:bCs/>
          <w:color w:val="auto"/>
          <w:sz w:val="32"/>
          <w:szCs w:val="32"/>
          <w:lang w:val="en-US" w:eastAsia="zh-CN"/>
        </w:rPr>
        <w:t>7 附图、附件</w:t>
      </w:r>
      <w:r>
        <w:rPr>
          <w:rFonts w:hint="default" w:ascii="Times New Roman" w:hAnsi="Times New Roman" w:eastAsia="黑体" w:cs="Times New Roman"/>
          <w:b w:val="0"/>
          <w:bCs/>
          <w:color w:val="auto"/>
          <w:sz w:val="32"/>
          <w:szCs w:val="32"/>
          <w:lang w:val="en-US" w:eastAsia="zh-CN"/>
        </w:rPr>
        <w:tab/>
      </w:r>
      <w:r>
        <w:rPr>
          <w:rFonts w:hint="default" w:ascii="Times New Roman" w:hAnsi="Times New Roman" w:eastAsia="黑体" w:cs="Times New Roman"/>
          <w:b w:val="0"/>
          <w:bCs/>
          <w:color w:val="auto"/>
          <w:sz w:val="32"/>
          <w:szCs w:val="32"/>
          <w:lang w:val="en-US" w:eastAsia="zh-CN"/>
        </w:rPr>
        <w:fldChar w:fldCharType="begin"/>
      </w:r>
      <w:r>
        <w:rPr>
          <w:rFonts w:hint="default" w:ascii="Times New Roman" w:hAnsi="Times New Roman" w:eastAsia="黑体" w:cs="Times New Roman"/>
          <w:b w:val="0"/>
          <w:bCs/>
          <w:color w:val="auto"/>
          <w:sz w:val="32"/>
          <w:szCs w:val="32"/>
          <w:lang w:val="en-US" w:eastAsia="zh-CN"/>
        </w:rPr>
        <w:instrText xml:space="preserve"> PAGEREF _Toc2595 \h </w:instrText>
      </w:r>
      <w:r>
        <w:rPr>
          <w:rFonts w:hint="default" w:ascii="Times New Roman" w:hAnsi="Times New Roman" w:eastAsia="黑体" w:cs="Times New Roman"/>
          <w:b w:val="0"/>
          <w:bCs/>
          <w:color w:val="auto"/>
          <w:sz w:val="32"/>
          <w:szCs w:val="32"/>
          <w:lang w:val="en-US" w:eastAsia="zh-CN"/>
        </w:rPr>
        <w:fldChar w:fldCharType="separate"/>
      </w:r>
      <w:r>
        <w:rPr>
          <w:rFonts w:hint="default" w:ascii="Times New Roman" w:hAnsi="Times New Roman" w:eastAsia="黑体" w:cs="Times New Roman"/>
          <w:b w:val="0"/>
          <w:bCs/>
          <w:color w:val="auto"/>
          <w:sz w:val="32"/>
          <w:szCs w:val="32"/>
          <w:lang w:val="en-US" w:eastAsia="zh-CN"/>
        </w:rPr>
        <w:t>- 54 -</w:t>
      </w:r>
      <w:r>
        <w:rPr>
          <w:rFonts w:hint="default" w:ascii="Times New Roman" w:hAnsi="Times New Roman" w:eastAsia="黑体" w:cs="Times New Roman"/>
          <w:b w:val="0"/>
          <w:bCs/>
          <w:color w:val="auto"/>
          <w:sz w:val="32"/>
          <w:szCs w:val="32"/>
          <w:lang w:val="en-US" w:eastAsia="zh-CN"/>
        </w:rPr>
        <w:fldChar w:fldCharType="end"/>
      </w:r>
    </w:p>
    <w:p w14:paraId="26A7D054">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_Toc21361 </w:instrText>
      </w:r>
      <w:r>
        <w:rPr>
          <w:rFonts w:hint="default" w:ascii="Times New Roman" w:hAnsi="Times New Roman" w:eastAsia="仿宋_GB2312" w:cs="Times New Roman"/>
          <w:b w:val="0"/>
          <w:bCs/>
          <w:sz w:val="32"/>
          <w:szCs w:val="32"/>
          <w:lang w:val="en-US" w:eastAsia="zh-CN"/>
        </w:rPr>
        <w:fldChar w:fldCharType="separate"/>
      </w:r>
      <w:r>
        <w:rPr>
          <w:rFonts w:hint="eastAsia" w:ascii="Times New Roman" w:hAnsi="Times New Roman" w:eastAsia="仿宋_GB2312" w:cs="Times New Roman"/>
          <w:b w:val="0"/>
          <w:bCs/>
          <w:sz w:val="32"/>
          <w:szCs w:val="32"/>
          <w:lang w:val="en-US" w:eastAsia="zh-CN" w:bidi="ar-SA"/>
        </w:rPr>
        <w:t>7</w:t>
      </w:r>
      <w:r>
        <w:rPr>
          <w:rFonts w:hint="default" w:ascii="Times New Roman" w:hAnsi="Times New Roman" w:eastAsia="仿宋_GB2312" w:cs="Times New Roman"/>
          <w:b w:val="0"/>
          <w:bCs/>
          <w:sz w:val="32"/>
          <w:szCs w:val="32"/>
          <w:lang w:val="en-US" w:eastAsia="zh-CN" w:bidi="ar-SA"/>
        </w:rPr>
        <w:t xml:space="preserve">.1 </w:t>
      </w:r>
      <w:r>
        <w:rPr>
          <w:rFonts w:hint="eastAsia" w:ascii="Times New Roman" w:hAnsi="Times New Roman" w:eastAsia="仿宋_GB2312" w:cs="Times New Roman"/>
          <w:b w:val="0"/>
          <w:bCs/>
          <w:sz w:val="32"/>
          <w:szCs w:val="32"/>
          <w:lang w:val="en-US" w:eastAsia="zh-CN" w:bidi="ar-SA"/>
        </w:rPr>
        <w:t>附图</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_Toc21361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- 54 -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11316055">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before="0" w:line="240" w:lineRule="auto"/>
        <w:ind w:firstLine="160" w:firstLineChars="50"/>
        <w:textAlignment w:val="auto"/>
        <w:rPr>
          <w:rFonts w:hint="default" w:ascii="Times New Roman" w:hAnsi="Times New Roman" w:eastAsia="仿宋_GB2312" w:cs="Times New Roman"/>
          <w:b w:val="0"/>
          <w:bCs/>
          <w:color w:val="auto"/>
          <w:sz w:val="32"/>
          <w:szCs w:val="32"/>
          <w:lang w:val="en-US" w:eastAsia="zh-CN"/>
        </w:rPr>
      </w:pPr>
      <w:r>
        <w:rPr>
          <w:rFonts w:hint="default" w:ascii="Times New Roman" w:hAnsi="Times New Roman" w:eastAsia="仿宋_GB2312" w:cs="Times New Roman"/>
          <w:b w:val="0"/>
          <w:bCs/>
          <w:color w:val="auto"/>
          <w:sz w:val="32"/>
          <w:szCs w:val="32"/>
          <w:lang w:val="en-US" w:eastAsia="zh-CN"/>
        </w:rPr>
        <w:fldChar w:fldCharType="begin"/>
      </w:r>
      <w:r>
        <w:rPr>
          <w:rFonts w:hint="default" w:ascii="Times New Roman" w:hAnsi="Times New Roman" w:eastAsia="仿宋_GB2312" w:cs="Times New Roman"/>
          <w:b w:val="0"/>
          <w:bCs/>
          <w:sz w:val="32"/>
          <w:szCs w:val="32"/>
          <w:lang w:val="en-US" w:eastAsia="zh-CN"/>
        </w:rPr>
        <w:instrText xml:space="preserve"> HYPERLINK \l _Toc9993 </w:instrText>
      </w:r>
      <w:r>
        <w:rPr>
          <w:rFonts w:hint="default" w:ascii="Times New Roman" w:hAnsi="Times New Roman" w:eastAsia="仿宋_GB2312" w:cs="Times New Roman"/>
          <w:b w:val="0"/>
          <w:bCs/>
          <w:sz w:val="32"/>
          <w:szCs w:val="32"/>
          <w:lang w:val="en-US" w:eastAsia="zh-CN"/>
        </w:rPr>
        <w:fldChar w:fldCharType="separate"/>
      </w:r>
      <w:r>
        <w:rPr>
          <w:rFonts w:hint="eastAsia" w:ascii="Times New Roman" w:hAnsi="Times New Roman" w:eastAsia="仿宋_GB2312" w:cs="Times New Roman"/>
          <w:b w:val="0"/>
          <w:bCs/>
          <w:sz w:val="32"/>
          <w:szCs w:val="32"/>
          <w:lang w:val="en-US" w:eastAsia="zh-CN"/>
        </w:rPr>
        <w:t>7</w:t>
      </w:r>
      <w:r>
        <w:rPr>
          <w:rFonts w:hint="default" w:ascii="Times New Roman" w:hAnsi="Times New Roman" w:eastAsia="仿宋_GB2312" w:cs="Times New Roman"/>
          <w:b w:val="0"/>
          <w:bCs/>
          <w:sz w:val="32"/>
          <w:szCs w:val="32"/>
          <w:lang w:val="en-US" w:eastAsia="zh-CN" w:bidi="ar-SA"/>
        </w:rPr>
        <w:t xml:space="preserve">.2 </w:t>
      </w:r>
      <w:r>
        <w:rPr>
          <w:rFonts w:hint="eastAsia" w:ascii="Times New Roman" w:hAnsi="Times New Roman" w:eastAsia="仿宋_GB2312" w:cs="Times New Roman"/>
          <w:b w:val="0"/>
          <w:bCs/>
          <w:sz w:val="32"/>
          <w:szCs w:val="32"/>
          <w:lang w:val="en-US" w:eastAsia="zh-CN" w:bidi="ar-SA"/>
        </w:rPr>
        <w:t>附件</w:t>
      </w: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PAGEREF _Toc21361 \h </w:instrText>
      </w:r>
      <w:r>
        <w:rPr>
          <w:rFonts w:hint="default" w:ascii="Times New Roman" w:hAnsi="Times New Roman" w:eastAsia="仿宋_GB2312" w:cs="Times New Roman"/>
          <w:b w:val="0"/>
          <w:bCs/>
          <w:sz w:val="32"/>
          <w:szCs w:val="32"/>
        </w:rPr>
        <w:fldChar w:fldCharType="separate"/>
      </w:r>
      <w:r>
        <w:rPr>
          <w:rFonts w:hint="default" w:ascii="Times New Roman" w:hAnsi="Times New Roman" w:eastAsia="仿宋_GB2312" w:cs="Times New Roman"/>
          <w:b w:val="0"/>
          <w:bCs/>
          <w:sz w:val="32"/>
          <w:szCs w:val="32"/>
        </w:rPr>
        <w:t>- 54 -</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color w:val="auto"/>
          <w:sz w:val="32"/>
          <w:szCs w:val="32"/>
          <w:lang w:val="en-US" w:eastAsia="zh-CN"/>
        </w:rPr>
        <w:fldChar w:fldCharType="end"/>
      </w:r>
    </w:p>
    <w:p w14:paraId="7A3F1CCA">
      <w:pPr>
        <w:rPr>
          <w:rFonts w:hint="eastAsia"/>
        </w:rPr>
      </w:pPr>
    </w:p>
    <w:p w14:paraId="587AF394">
      <w:pPr>
        <w:pStyle w:val="25"/>
        <w:keepNext w:val="0"/>
        <w:keepLines w:val="0"/>
        <w:pageBreakBefore w:val="0"/>
        <w:widowControl w:val="0"/>
        <w:kinsoku/>
        <w:wordWrap/>
        <w:overflowPunct/>
        <w:topLinePunct w:val="0"/>
        <w:autoSpaceDE w:val="0"/>
        <w:autoSpaceDN w:val="0"/>
        <w:bidi w:val="0"/>
        <w:snapToGrid/>
        <w:spacing w:line="360" w:lineRule="auto"/>
        <w:ind w:left="0" w:leftChars="0" w:right="0" w:rightChars="0" w:firstLine="0" w:firstLineChars="0"/>
        <w:jc w:val="both"/>
        <w:textAlignment w:val="auto"/>
        <w:rPr>
          <w:rFonts w:hint="eastAsia" w:ascii="仿宋_GB2312" w:hAnsi="仿宋_GB2312" w:eastAsia="仿宋_GB2312" w:cs="仿宋_GB2312"/>
          <w:b/>
          <w:bCs/>
          <w:color w:val="auto"/>
          <w:sz w:val="32"/>
          <w:szCs w:val="32"/>
          <w:lang w:val="en-US" w:eastAsia="zh-C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仿宋_GB2312" w:hAnsi="仿宋_GB2312" w:eastAsia="仿宋_GB2312" w:cs="仿宋_GB2312"/>
          <w:bCs/>
          <w:color w:val="auto"/>
          <w:sz w:val="32"/>
          <w:szCs w:val="32"/>
          <w:lang w:val="en-US" w:eastAsia="zh-CN"/>
        </w:rPr>
        <w:fldChar w:fldCharType="end"/>
      </w:r>
    </w:p>
    <w:p w14:paraId="3A0860D9">
      <w:pPr>
        <w:pStyle w:val="3"/>
        <w:keepNext/>
        <w:keepLines/>
        <w:pageBreakBefore/>
        <w:autoSpaceDE/>
        <w:autoSpaceDN/>
        <w:spacing w:before="340" w:beforeLines="0" w:beforeAutospacing="0" w:after="330" w:afterLines="0" w:afterAutospacing="0" w:line="576" w:lineRule="auto"/>
        <w:ind w:left="0" w:right="0"/>
        <w:jc w:val="center"/>
        <w:rPr>
          <w:rFonts w:hint="default" w:ascii="Times New Roman" w:hAnsi="Times New Roman" w:eastAsia="宋体" w:cs="Times New Roman"/>
          <w:bCs w:val="0"/>
          <w:color w:val="auto"/>
          <w:kern w:val="44"/>
          <w:sz w:val="44"/>
          <w:szCs w:val="22"/>
          <w:lang w:val="en-US" w:eastAsia="zh-CN" w:bidi="ar-SA"/>
        </w:rPr>
      </w:pPr>
      <w:bookmarkStart w:id="3" w:name="_Toc15150"/>
      <w:r>
        <w:rPr>
          <w:rFonts w:hint="eastAsia" w:ascii="Times New Roman" w:hAnsi="Times New Roman" w:eastAsia="宋体" w:cs="Times New Roman"/>
          <w:bCs w:val="0"/>
          <w:color w:val="auto"/>
          <w:kern w:val="44"/>
          <w:sz w:val="44"/>
          <w:szCs w:val="22"/>
          <w:lang w:val="en-US" w:eastAsia="zh-CN" w:bidi="ar-SA"/>
        </w:rPr>
        <w:t xml:space="preserve">1 </w:t>
      </w:r>
      <w:r>
        <w:rPr>
          <w:rFonts w:hint="eastAsia" w:cs="Times New Roman"/>
          <w:bCs w:val="0"/>
          <w:color w:val="auto"/>
          <w:kern w:val="44"/>
          <w:sz w:val="44"/>
          <w:szCs w:val="22"/>
          <w:lang w:val="en-US" w:eastAsia="zh-CN" w:bidi="ar-SA"/>
        </w:rPr>
        <w:t>预案</w:t>
      </w:r>
      <w:r>
        <w:rPr>
          <w:rFonts w:hint="eastAsia" w:ascii="Times New Roman" w:hAnsi="Times New Roman" w:eastAsia="宋体" w:cs="Times New Roman"/>
          <w:bCs w:val="0"/>
          <w:color w:val="auto"/>
          <w:kern w:val="44"/>
          <w:sz w:val="44"/>
          <w:szCs w:val="22"/>
          <w:lang w:val="en-US" w:eastAsia="zh-CN" w:bidi="ar-SA"/>
        </w:rPr>
        <w:t>总则</w:t>
      </w:r>
      <w:bookmarkEnd w:id="3"/>
    </w:p>
    <w:p w14:paraId="3040FBA1">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4" w:name="_Toc16106"/>
      <w:bookmarkStart w:id="5" w:name="_Toc12367"/>
      <w:bookmarkStart w:id="6" w:name="_Toc18916"/>
      <w:r>
        <w:rPr>
          <w:rFonts w:hint="eastAsia" w:ascii="黑体" w:hAnsi="黑体" w:eastAsia="黑体" w:cs="黑体"/>
          <w:b w:val="0"/>
          <w:bCs/>
          <w:color w:val="auto"/>
          <w:sz w:val="32"/>
          <w:szCs w:val="32"/>
          <w:lang w:val="en-US" w:eastAsia="zh-CN" w:bidi="ar-SA"/>
        </w:rPr>
        <w:t>1.1 编制目的</w:t>
      </w:r>
      <w:bookmarkEnd w:id="4"/>
      <w:bookmarkEnd w:id="5"/>
      <w:bookmarkEnd w:id="6"/>
    </w:p>
    <w:p w14:paraId="01AAFE79">
      <w:pPr>
        <w:pStyle w:val="55"/>
        <w:pageBreakBefore w:val="0"/>
        <w:widowControl w:val="0"/>
        <w:kinsoku/>
        <w:wordWrap/>
        <w:overflowPunct/>
        <w:topLinePunct w:val="0"/>
        <w:bidi w:val="0"/>
        <w:snapToGrid/>
        <w:spacing w:before="0" w:after="0" w:line="360" w:lineRule="auto"/>
        <w:ind w:firstLine="480"/>
        <w:rPr>
          <w:rFonts w:hint="eastAsia" w:ascii="仿宋_GB2312" w:hAnsi="仿宋_GB2312" w:eastAsia="仿宋_GB2312" w:cs="仿宋_GB2312"/>
          <w:color w:val="auto"/>
          <w:sz w:val="32"/>
          <w:szCs w:val="32"/>
          <w:lang w:val="en-US"/>
        </w:rPr>
      </w:pPr>
      <w:r>
        <w:rPr>
          <w:rFonts w:hint="eastAsia" w:ascii="仿宋_GB2312" w:hAnsi="仿宋_GB2312" w:eastAsia="仿宋_GB2312" w:cs="仿宋_GB2312"/>
          <w:color w:val="auto"/>
          <w:kern w:val="21"/>
          <w:sz w:val="32"/>
          <w:szCs w:val="32"/>
          <w:lang w:val="en-US" w:eastAsia="zh-CN" w:bidi="ar-SA"/>
        </w:rPr>
        <w:t>为确保城市供水安全，有效应对集中式地表水饮用水水源地（以下简称水源地）突发环境事件，快速、有序、高效地排除污染物，最大程度降低突发环境事件对水源地水质影响，及时控制和消除突发环境事件造成的供水短缺和危害，指导水源地突发环境事件规范应对的各项工作，维护社会稳定和保障经济发展，根据国家、地方相关法律法规，结合陆水水库饮用水水源地实际情况，特制定本预案。</w:t>
      </w:r>
    </w:p>
    <w:p w14:paraId="501A02A0">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7" w:name="_Toc18276"/>
      <w:bookmarkStart w:id="8" w:name="_Toc1762"/>
      <w:bookmarkStart w:id="9" w:name="_Toc4256"/>
      <w:r>
        <w:rPr>
          <w:rFonts w:hint="eastAsia" w:ascii="黑体" w:hAnsi="黑体" w:eastAsia="黑体" w:cs="黑体"/>
          <w:b w:val="0"/>
          <w:bCs/>
          <w:color w:val="auto"/>
          <w:sz w:val="32"/>
          <w:szCs w:val="32"/>
          <w:lang w:val="en-US" w:eastAsia="zh-CN" w:bidi="ar-SA"/>
        </w:rPr>
        <w:t>1.2 编制依据</w:t>
      </w:r>
      <w:bookmarkEnd w:id="7"/>
      <w:bookmarkEnd w:id="8"/>
      <w:bookmarkEnd w:id="9"/>
    </w:p>
    <w:p w14:paraId="07979182">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10" w:name="_Toc4660"/>
      <w:bookmarkStart w:id="11" w:name="_Toc523220070"/>
      <w:bookmarkStart w:id="12" w:name="_Toc518463455"/>
      <w:bookmarkStart w:id="13" w:name="_Toc527026530"/>
      <w:bookmarkStart w:id="14" w:name="_Toc523153501"/>
      <w:bookmarkStart w:id="15" w:name="_Toc8919"/>
      <w:r>
        <w:rPr>
          <w:rFonts w:hint="eastAsia" w:ascii="黑体" w:hAnsi="黑体" w:eastAsia="黑体" w:cs="黑体"/>
          <w:b w:val="0"/>
          <w:bCs/>
          <w:color w:val="auto"/>
          <w:sz w:val="28"/>
          <w:szCs w:val="28"/>
          <w:lang w:val="en-US" w:eastAsia="zh-CN" w:bidi="ar-SA"/>
        </w:rPr>
        <w:t>1.2.1 法律、法规和规章</w:t>
      </w:r>
      <w:bookmarkEnd w:id="10"/>
      <w:bookmarkEnd w:id="11"/>
      <w:bookmarkEnd w:id="12"/>
      <w:bookmarkEnd w:id="13"/>
      <w:bookmarkEnd w:id="14"/>
      <w:bookmarkEnd w:id="15"/>
    </w:p>
    <w:p w14:paraId="2149352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（1）《中华人民共和国环境保护法》（2014年4月24日修订，2015年1月1日施行）；</w:t>
      </w:r>
    </w:p>
    <w:p w14:paraId="7EE7755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（2）《中华人民共和国水法》（2016年7月2日，2018年1月1日施行）；</w:t>
      </w:r>
    </w:p>
    <w:p w14:paraId="4B683AD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（3）《中华人民共和国突发事件应对法》（2007年11月1日施行）；</w:t>
      </w:r>
    </w:p>
    <w:p w14:paraId="30B9B8F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（4）《中华人民共和国水污染防治法》（2015年6月27日修订，2018年1月1日施行）；</w:t>
      </w:r>
    </w:p>
    <w:p w14:paraId="3559BD4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（5）《危险化学品安全管理条例》（国务院令第591号）；</w:t>
      </w:r>
    </w:p>
    <w:p w14:paraId="12189CA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（6）《饮用水水源保护区污染防治管理规定》（环境保护部令第16号）；</w:t>
      </w:r>
    </w:p>
    <w:p w14:paraId="3077803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（7）《突发环境事件信息报告办法》（环境保护部令第17号）；</w:t>
      </w:r>
    </w:p>
    <w:p w14:paraId="789E2FC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（8）《突发环境事件调查处理办法》（环境保护部令第32号）；</w:t>
      </w:r>
    </w:p>
    <w:p w14:paraId="0597CBF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（9）《突发环境事件应急管理办法》（环境保护部令第34号）；</w:t>
      </w:r>
    </w:p>
    <w:p w14:paraId="5491675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（10）《城市供水水质管理规定》（建设部令第156号）；</w:t>
      </w:r>
    </w:p>
    <w:p w14:paraId="07CA1A5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（11）《生活饮用水卫生监督管理办法》（住房城乡建设部、国家卫生计生委令第31号）；</w:t>
      </w:r>
    </w:p>
    <w:p w14:paraId="14D1A0C3">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16" w:name="_Toc30699"/>
      <w:bookmarkStart w:id="17" w:name="_Toc527026531"/>
      <w:bookmarkStart w:id="18" w:name="_Toc523220071"/>
      <w:bookmarkStart w:id="19" w:name="_Toc523153502"/>
      <w:bookmarkStart w:id="20" w:name="_Toc518463456"/>
      <w:bookmarkStart w:id="21" w:name="_Toc28751"/>
      <w:r>
        <w:rPr>
          <w:rFonts w:hint="eastAsia" w:ascii="黑体" w:hAnsi="黑体" w:eastAsia="黑体" w:cs="黑体"/>
          <w:b w:val="0"/>
          <w:bCs/>
          <w:color w:val="auto"/>
          <w:sz w:val="28"/>
          <w:szCs w:val="28"/>
          <w:lang w:val="en-US" w:eastAsia="zh-CN" w:bidi="ar-SA"/>
        </w:rPr>
        <w:t>1.2.2 有关预案、标准规范和规范性文件</w:t>
      </w:r>
      <w:bookmarkEnd w:id="16"/>
      <w:bookmarkEnd w:id="17"/>
      <w:bookmarkEnd w:id="18"/>
      <w:bookmarkEnd w:id="19"/>
      <w:bookmarkEnd w:id="20"/>
      <w:bookmarkEnd w:id="21"/>
    </w:p>
    <w:p w14:paraId="4D08D59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（1）《国家突发环境事件应急预案》（国办函</w:t>
      </w:r>
      <w:r>
        <w:rPr>
          <w:rFonts w:hint="eastAsia" w:ascii="仿宋_GB2312" w:hAnsi="宋体" w:eastAsia="仿宋_GB2312" w:cs="仿宋_GB2312"/>
          <w:sz w:val="32"/>
          <w:szCs w:val="32"/>
        </w:rPr>
        <w:t>〔20</w:t>
      </w:r>
      <w:r>
        <w:rPr>
          <w:rFonts w:hint="eastAsia" w:ascii="仿宋_GB2312" w:eastAsia="仿宋_GB2312" w:cs="仿宋_GB2312"/>
          <w:sz w:val="32"/>
          <w:szCs w:val="32"/>
          <w:lang w:val="en-US" w:eastAsia="zh-CN"/>
        </w:rPr>
        <w:t>14</w:t>
      </w:r>
      <w:r>
        <w:rPr>
          <w:rFonts w:hint="eastAsia" w:ascii="仿宋_GB2312" w:hAnsi="宋体" w:eastAsia="仿宋_GB2312" w:cs="仿宋_GB2312"/>
          <w:sz w:val="32"/>
          <w:szCs w:val="32"/>
        </w:rPr>
        <w:t>〕</w:t>
      </w:r>
      <w:r>
        <w:rPr>
          <w:rFonts w:hint="eastAsia" w:ascii="仿宋_GB2312" w:hAnsi="仿宋_GB2312" w:eastAsia="仿宋_GB2312" w:cs="仿宋_GB2312"/>
          <w:color w:val="auto"/>
          <w:kern w:val="21"/>
          <w:sz w:val="32"/>
          <w:szCs w:val="32"/>
          <w:lang w:val="en-US" w:eastAsia="zh-CN" w:bidi="ar-SA"/>
        </w:rPr>
        <w:t>119号）；</w:t>
      </w:r>
    </w:p>
    <w:p w14:paraId="5AA274F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（2）《国家突发公共事件总体应急预案》（2006年1月8日实施）；</w:t>
      </w:r>
    </w:p>
    <w:p w14:paraId="50A5750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（3）《国家安全生产事故灾难应急预案》（2006年1月22日实施）；</w:t>
      </w:r>
    </w:p>
    <w:p w14:paraId="12441AF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（4）《地表水环境质量标准》（GB3838-2002）；</w:t>
      </w:r>
    </w:p>
    <w:p w14:paraId="15E3AA4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（5）《突发环境事件应急监测技术规范》（HJ589-2010）；</w:t>
      </w:r>
    </w:p>
    <w:p w14:paraId="59064AC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（6）《集中式饮用水水源地规范化建设环境保护技术要求》（HJ773-2015）；</w:t>
      </w:r>
    </w:p>
    <w:p w14:paraId="7FD8F7F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（7）《集中式饮用水水源地环境保护状况评估技术规范》（HJ774-2015）；</w:t>
      </w:r>
    </w:p>
    <w:p w14:paraId="48E9A59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（8）《企业突发环境事件风险分级方法》（HJ941-2018）；</w:t>
      </w:r>
    </w:p>
    <w:p w14:paraId="4A771AB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（9）《突发环境事件应急预案管理暂行办法》（环发〔2010〕113号）；</w:t>
      </w:r>
    </w:p>
    <w:p w14:paraId="34E527F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（10）《集中式地表饮用水水源地环境应急管理工作指南》（环办〔2011〕93号）；</w:t>
      </w:r>
    </w:p>
    <w:p w14:paraId="0289854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（11）《集中式饮用水水源环境保护指南（试行）》（环办〔2012〕50号）；</w:t>
      </w:r>
    </w:p>
    <w:p w14:paraId="64551B2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（12）《企业突发环境事件风险评估指南（试行）》（环办〔2014〕34号）；</w:t>
      </w:r>
    </w:p>
    <w:p w14:paraId="4BD57E1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（13）《突发环境事件应急处置阶段污染损害评估工作程序规定》（环发〔2013〕85号）；</w:t>
      </w:r>
    </w:p>
    <w:p w14:paraId="7B78786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（14）《企业事业单位突发环境事件应急预案备案管理办法（试行）》（环发〔2015〕4号）；</w:t>
      </w:r>
    </w:p>
    <w:p w14:paraId="7876EF3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（15）《行政区域突发环境事件风险评估推荐方法》（环办应急〔2018〕9号）；</w:t>
      </w:r>
    </w:p>
    <w:p w14:paraId="2BDE655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（16）《集中式地表水饮用水水源地突发环境事件应急预案编制指南（试行）》</w:t>
      </w:r>
      <w:bookmarkStart w:id="298" w:name="_GoBack"/>
      <w:bookmarkEnd w:id="298"/>
      <w:r>
        <w:rPr>
          <w:rFonts w:hint="eastAsia" w:ascii="仿宋_GB2312" w:hAnsi="仿宋_GB2312" w:eastAsia="仿宋_GB2312" w:cs="仿宋_GB2312"/>
          <w:color w:val="auto"/>
          <w:kern w:val="21"/>
          <w:sz w:val="32"/>
          <w:szCs w:val="32"/>
          <w:lang w:val="en-US" w:eastAsia="zh-CN" w:bidi="ar-SA"/>
        </w:rPr>
        <w:t>（生态环境部公告 2018年第1号）；</w:t>
      </w:r>
    </w:p>
    <w:p w14:paraId="5422B7E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（17）《湖北省突发公共事件总体应急预案》；</w:t>
      </w:r>
    </w:p>
    <w:p w14:paraId="2133D9F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（18）《湖北省突发环境事件应急预案》；</w:t>
      </w:r>
    </w:p>
    <w:p w14:paraId="1941118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（19）《湖北省环境保护厅突发环境事件应急预案》；</w:t>
      </w:r>
    </w:p>
    <w:p w14:paraId="3BE70A3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（20）《咸宁市突发公共事件总体应急预案》；</w:t>
      </w:r>
    </w:p>
    <w:p w14:paraId="3DA55E2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（21）《咸宁市突发环境事件应急预案》；</w:t>
      </w:r>
    </w:p>
    <w:p w14:paraId="4E20E81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（22）《赤壁市突发环境事件应急预案》。</w:t>
      </w:r>
    </w:p>
    <w:p w14:paraId="3BDBB499">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22" w:name="_Toc3368"/>
      <w:bookmarkStart w:id="23" w:name="_Toc10274"/>
      <w:bookmarkStart w:id="24" w:name="_Toc3637"/>
      <w:r>
        <w:rPr>
          <w:rFonts w:hint="eastAsia" w:ascii="黑体" w:hAnsi="黑体" w:eastAsia="黑体" w:cs="黑体"/>
          <w:b w:val="0"/>
          <w:bCs/>
          <w:color w:val="auto"/>
          <w:sz w:val="32"/>
          <w:szCs w:val="32"/>
          <w:lang w:val="en-US" w:eastAsia="zh-CN" w:bidi="ar-SA"/>
        </w:rPr>
        <w:t>1.3 适用范围</w:t>
      </w:r>
      <w:bookmarkEnd w:id="22"/>
      <w:bookmarkEnd w:id="23"/>
      <w:bookmarkEnd w:id="24"/>
    </w:p>
    <w:p w14:paraId="57F7EAE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本预案适用赤壁市陆水水库集中式饮用水水源地因环境污染威胁或造成取水中断的突发事件的预警、控制和应急处置。适用水域范围为陆水水库饮用水源地一级和二级保护区及芳世湾断面下游的所有库内水域，陆域为芳世湾断面下游的水库汇水区域。</w:t>
      </w:r>
    </w:p>
    <w:p w14:paraId="454C5AA0">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25" w:name="_Toc1460"/>
      <w:bookmarkStart w:id="26" w:name="_Toc28973"/>
      <w:bookmarkStart w:id="27" w:name="_Toc8851"/>
      <w:r>
        <w:rPr>
          <w:rFonts w:hint="eastAsia" w:ascii="黑体" w:hAnsi="黑体" w:eastAsia="黑体" w:cs="黑体"/>
          <w:b w:val="0"/>
          <w:bCs/>
          <w:color w:val="auto"/>
          <w:sz w:val="32"/>
          <w:szCs w:val="32"/>
          <w:lang w:val="en-US" w:eastAsia="zh-CN" w:bidi="ar-SA"/>
        </w:rPr>
        <w:t>1.4 预案衔接</w:t>
      </w:r>
      <w:bookmarkEnd w:id="25"/>
      <w:bookmarkEnd w:id="26"/>
      <w:bookmarkEnd w:id="27"/>
    </w:p>
    <w:p w14:paraId="5F9FBDD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赤壁市突发环境事件应急预案体系由省级、市级、县市区级应急预案三大类组成。</w:t>
      </w:r>
    </w:p>
    <w:p w14:paraId="1528268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（1）省级水源地突发环境事件应急预案</w:t>
      </w:r>
    </w:p>
    <w:p w14:paraId="385CA51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省级水源地突发环境事件应急预案体系包括《湖北省突发公共事件总体应急预案》、《湖北省突发环境事件应急预案》和部门应急预案等。当省级预案启动时，本预案服从省级预案的要求。</w:t>
      </w:r>
    </w:p>
    <w:p w14:paraId="404F598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（2）市级水源地突发环境事件应急预案</w:t>
      </w:r>
    </w:p>
    <w:p w14:paraId="3FD7643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市级水源地突发环境事件应急预案体系包括《咸宁市突发公共事件总体应急预案》、《咸宁市突发环境事件应急预案》和部门应急预案等。其中《咸宁市突发环境事件应急预案》是全市预防和处置突发环境事件的指导性文件，是《咸宁市突发公共事件总体应急预案》的一项部门预案。</w:t>
      </w:r>
    </w:p>
    <w:p w14:paraId="6EDE17A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（3）县市区级水源地突发环境事件应急预案</w:t>
      </w:r>
    </w:p>
    <w:p w14:paraId="4C87C80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赤壁市集中式地表水饮用水水源地突发环境事件应急预案是赤壁市涉及水源地预防和处置突发环境事件的指导性文件，是赤壁市政府的一项专项应急预案。赤壁市应急预案体系应包括《赤壁市突发环境事件应急预案》、《赤壁市集中式地表水饮用水水源地突发环境事件应急预案》（2018年版）等。</w:t>
      </w:r>
    </w:p>
    <w:p w14:paraId="7F48560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本预案作为政府专项应急预案独立编制，与</w:t>
      </w:r>
      <w:r>
        <w:rPr>
          <w:rFonts w:hint="eastAsia" w:ascii="仿宋_GB2312" w:hAnsi="仿宋_GB2312" w:eastAsia="仿宋_GB2312" w:cs="仿宋_GB2312"/>
          <w:color w:val="auto"/>
          <w:kern w:val="21"/>
          <w:sz w:val="32"/>
          <w:szCs w:val="32"/>
          <w:lang w:val="en-GB" w:eastAsia="zh-CN" w:bidi="ar-SA"/>
        </w:rPr>
        <w:t>《赤壁市突发环境事件应急预案》</w:t>
      </w:r>
      <w:r>
        <w:rPr>
          <w:rFonts w:hint="eastAsia" w:ascii="仿宋_GB2312" w:hAnsi="仿宋_GB2312" w:eastAsia="仿宋_GB2312" w:cs="仿宋_GB2312"/>
          <w:color w:val="auto"/>
          <w:kern w:val="21"/>
          <w:sz w:val="32"/>
          <w:szCs w:val="32"/>
          <w:lang w:val="en-US" w:eastAsia="zh-CN" w:bidi="ar-SA"/>
        </w:rPr>
        <w:t>配套衔接。是《赤壁市集中式地表水饮用水水源地突发环境事件应急预案》（2018年版）的修订版本。</w:t>
      </w:r>
    </w:p>
    <w:p w14:paraId="5A60664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赤壁市境内发生或次生衍生突发环境事件时，突发环境事件污染物迁移到本预案适用范围时，或突发环境事件发生在适用范围内时，启动本预案。污染物即将或已进入水厂（或水务公司）范围时，启动企业级突发环境事件应急预案。当饮用水水源地突发环境事件超出本市应急处置能力时，提请上级政府启动更高层次预案，请求救援支援；协调解决事故现场及外围救护所需的人员、物资、器材装备和救援资金；在做好先期处置的同时及时提请启动本预案。</w:t>
      </w:r>
    </w:p>
    <w:p w14:paraId="55BE683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赤壁市境内重点企业按照企业突发环境事件应急预案相关要求设置三级风险防控措施，一定程度上将风险物质控制在厂区内。当企业突发环境事件影响范围超出厂界且可能影响本预案饮用水水源地水质时，则应启动本水源地应急预案。现场指挥部权限上交至赤壁市人民政府层面，接受其指导。</w:t>
      </w:r>
    </w:p>
    <w:p w14:paraId="5F93D4CC">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28" w:name="_Toc5949"/>
      <w:bookmarkStart w:id="29" w:name="_Toc12103"/>
      <w:bookmarkStart w:id="30" w:name="_Toc18490"/>
      <w:r>
        <w:rPr>
          <w:rFonts w:hint="eastAsia" w:ascii="黑体" w:hAnsi="黑体" w:eastAsia="黑体" w:cs="黑体"/>
          <w:b w:val="0"/>
          <w:bCs/>
          <w:color w:val="auto"/>
          <w:sz w:val="32"/>
          <w:szCs w:val="32"/>
          <w:lang w:val="en-US" w:eastAsia="zh-CN" w:bidi="ar-SA"/>
        </w:rPr>
        <w:t>1.5 工作原则</w:t>
      </w:r>
      <w:bookmarkEnd w:id="28"/>
      <w:bookmarkEnd w:id="29"/>
      <w:bookmarkEnd w:id="30"/>
    </w:p>
    <w:p w14:paraId="2513577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以人为本，积极预防。把保障人民群众生命财产及环境安全作为首要任务，最大限度地减少突发环境事件造成的危害；建立环境事件风险防范体系，加强对危险源和潜在危险源的监督管理，提高环境事件防范和处理能力。</w:t>
      </w:r>
    </w:p>
    <w:p w14:paraId="66D2414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统一领导，分类管理。在赤壁市政府的统一领导下，建立健全部门配合、上下联动的应急响应机制，针对不同原因所造成的突发环境事件的特点，实行分类管理，充分发挥各政府职能部门的专业优势，及时、有效应对突发环境事件。</w:t>
      </w:r>
    </w:p>
    <w:p w14:paraId="0FED792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落实责任，先期处置。赤壁市人民政府统一负责突发环境事件的应对工作。落实生产经营单位的环境安全主体责任，由于生产经营单位原因造成的突发环境事件，生产经营单位应当按照应急预案进行先期处置，并报告当地政府、生态环境部门和相关主管部门。</w:t>
      </w:r>
    </w:p>
    <w:p w14:paraId="0C52F2A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部门联动，社会参与。建立和完善部门联动机制。有关部门在接到突发环境事件报告后，要及时通报同级生态环境部门；充分发挥部门专业优势，共同应对突发环境事件；实行信息公开，建立社会应急动员机制，充实救援队伍，提高公众自救、互救能力。</w:t>
      </w:r>
    </w:p>
    <w:p w14:paraId="67B42D2D">
      <w:pPr>
        <w:keepNext w:val="0"/>
        <w:keepLines w:val="0"/>
        <w:pageBreakBefore w:val="0"/>
        <w:widowControl w:val="0"/>
        <w:kinsoku/>
        <w:wordWrap/>
        <w:overflowPunct/>
        <w:topLinePunct w:val="0"/>
        <w:autoSpaceDE/>
        <w:autoSpaceDN/>
        <w:bidi w:val="0"/>
        <w:adjustRightInd/>
        <w:snapToGrid/>
        <w:spacing w:before="0" w:after="0" w:line="360" w:lineRule="auto"/>
        <w:ind w:right="0" w:firstLine="640" w:firstLineChars="200"/>
        <w:jc w:val="both"/>
        <w:textAlignment w:val="auto"/>
        <w:outlineLvl w:val="9"/>
        <w:rPr>
          <w:rFonts w:hint="eastAsia" w:ascii="仿宋_GB2312" w:hAnsi="仿宋_GB2312" w:eastAsia="仿宋_GB2312" w:cs="仿宋_GB2312"/>
          <w:color w:val="auto"/>
          <w:kern w:val="21"/>
          <w:sz w:val="32"/>
          <w:szCs w:val="32"/>
          <w:lang w:val="zh-CN" w:eastAsia="zh-CN" w:bidi="ar-SA"/>
        </w:rPr>
      </w:pPr>
      <w:r>
        <w:rPr>
          <w:rFonts w:hint="eastAsia" w:ascii="仿宋_GB2312" w:hAnsi="仿宋_GB2312" w:eastAsia="仿宋_GB2312" w:cs="仿宋_GB2312"/>
          <w:color w:val="auto"/>
          <w:kern w:val="21"/>
          <w:sz w:val="32"/>
          <w:szCs w:val="32"/>
          <w:lang w:val="en-US" w:eastAsia="zh-CN" w:bidi="ar-SA"/>
        </w:rPr>
        <w:t>（5）依靠科技，规范管理。坚持依靠科技，积极鼓励环境应急相关科研工作，重视环境应急专家队伍建设，努力提高环境应急科技应用水平，建立科学有效的应急机制，使应急管理工作规范化、制度化、法制化。</w:t>
      </w:r>
    </w:p>
    <w:p w14:paraId="547ABF84">
      <w:pPr>
        <w:pStyle w:val="25"/>
        <w:pageBreakBefore w:val="0"/>
        <w:widowControl w:val="0"/>
        <w:kinsoku/>
        <w:wordWrap/>
        <w:overflowPunct/>
        <w:topLinePunct w:val="0"/>
        <w:bidi w:val="0"/>
        <w:snapToGrid/>
        <w:spacing w:line="360" w:lineRule="auto"/>
        <w:rPr>
          <w:rFonts w:hint="eastAsia" w:ascii="仿宋_GB2312" w:hAnsi="仿宋_GB2312" w:eastAsia="仿宋_GB2312" w:cs="仿宋_GB2312"/>
          <w:color w:val="auto"/>
          <w:sz w:val="32"/>
          <w:szCs w:val="32"/>
          <w:lang w:val="zh-CN" w:eastAsia="zh-CN"/>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3098564">
      <w:pPr>
        <w:pStyle w:val="3"/>
        <w:keepNext/>
        <w:keepLines/>
        <w:pageBreakBefore/>
        <w:autoSpaceDE/>
        <w:autoSpaceDN/>
        <w:spacing w:before="340" w:beforeLines="0" w:beforeAutospacing="0" w:after="330" w:afterLines="0" w:afterAutospacing="0" w:line="576" w:lineRule="auto"/>
        <w:ind w:left="0" w:right="0"/>
        <w:jc w:val="center"/>
        <w:rPr>
          <w:rFonts w:hint="default" w:ascii="Times New Roman" w:hAnsi="Times New Roman" w:eastAsia="宋体" w:cs="Times New Roman"/>
          <w:bCs w:val="0"/>
          <w:color w:val="auto"/>
          <w:kern w:val="44"/>
          <w:sz w:val="44"/>
          <w:szCs w:val="22"/>
          <w:lang w:val="en-US" w:eastAsia="zh-CN" w:bidi="ar-SA"/>
        </w:rPr>
      </w:pPr>
      <w:bookmarkStart w:id="31" w:name="_Toc11649"/>
      <w:bookmarkStart w:id="32" w:name="_Toc2952"/>
      <w:bookmarkStart w:id="33" w:name="_Toc19000"/>
      <w:bookmarkStart w:id="34" w:name="_Toc7957"/>
      <w:bookmarkStart w:id="35" w:name="_Toc28702"/>
      <w:r>
        <w:rPr>
          <w:rFonts w:hint="default" w:ascii="Times New Roman" w:hAnsi="Times New Roman" w:eastAsia="宋体" w:cs="Times New Roman"/>
          <w:bCs w:val="0"/>
          <w:color w:val="auto"/>
          <w:kern w:val="44"/>
          <w:sz w:val="44"/>
          <w:szCs w:val="22"/>
          <w:lang w:val="en-US" w:eastAsia="zh-CN" w:bidi="ar-SA"/>
        </w:rPr>
        <w:t xml:space="preserve">2 </w:t>
      </w:r>
      <w:bookmarkEnd w:id="31"/>
      <w:bookmarkEnd w:id="32"/>
      <w:bookmarkEnd w:id="33"/>
      <w:r>
        <w:rPr>
          <w:rFonts w:hint="eastAsia" w:ascii="Times New Roman" w:hAnsi="Times New Roman" w:eastAsia="宋体" w:cs="Times New Roman"/>
          <w:bCs w:val="0"/>
          <w:color w:val="auto"/>
          <w:kern w:val="44"/>
          <w:sz w:val="44"/>
          <w:szCs w:val="22"/>
          <w:lang w:val="en-US" w:eastAsia="zh-CN" w:bidi="ar-SA"/>
        </w:rPr>
        <w:t>应急组织指挥体系</w:t>
      </w:r>
      <w:bookmarkEnd w:id="34"/>
      <w:bookmarkEnd w:id="35"/>
    </w:p>
    <w:p w14:paraId="2233BDA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36" w:name="_Toc2566"/>
      <w:bookmarkStart w:id="37" w:name="_Toc19541"/>
      <w:bookmarkStart w:id="38" w:name="_Toc25387"/>
      <w:r>
        <w:rPr>
          <w:rFonts w:hint="eastAsia" w:ascii="仿宋_GB2312" w:hAnsi="仿宋_GB2312" w:eastAsia="仿宋_GB2312" w:cs="仿宋_GB2312"/>
          <w:color w:val="auto"/>
          <w:kern w:val="21"/>
          <w:sz w:val="32"/>
          <w:szCs w:val="32"/>
          <w:lang w:val="en-US" w:eastAsia="zh-CN" w:bidi="ar-SA"/>
        </w:rPr>
        <w:t>赤壁市集中式地表水饮用水水源地突发环境事件应急组织指挥体系由应急组织指挥机构和现场应急指挥部组成。</w:t>
      </w:r>
    </w:p>
    <w:p w14:paraId="15BCB026">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39" w:name="_Toc5744"/>
      <w:bookmarkStart w:id="40" w:name="_Toc7399"/>
      <w:bookmarkStart w:id="41" w:name="_Toc7245"/>
      <w:r>
        <w:rPr>
          <w:rFonts w:hint="eastAsia" w:ascii="黑体" w:hAnsi="黑体" w:eastAsia="黑体" w:cs="黑体"/>
          <w:b w:val="0"/>
          <w:bCs/>
          <w:color w:val="auto"/>
          <w:sz w:val="32"/>
          <w:szCs w:val="32"/>
          <w:lang w:val="en-US" w:eastAsia="zh-CN" w:bidi="ar-SA"/>
        </w:rPr>
        <w:t>2.1 应急组织指挥机构</w:t>
      </w:r>
      <w:bookmarkEnd w:id="39"/>
      <w:bookmarkEnd w:id="40"/>
      <w:bookmarkEnd w:id="41"/>
    </w:p>
    <w:p w14:paraId="2C9D061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当发生重大、特别重大集中式地表水饮用水水源地突发环境事件时，成立赤壁市集中式地表水饮用水水源地突发环境事件应急指挥部（以下简称水环境应急指挥部）和赤壁市集中式地表水饮用水水源地突发环境事件应急现场指挥部（以下简称水环境应急现场指挥部）。水环境应急指挥部统一领导协调指挥赤壁市集中式饮用水水源地突发环境事件的应急处置工作。水环境应急指挥部由赤壁市分管环保工作副市长为总指挥，赤壁市人民政府分管环保工作办公室副主任和咸宁市生态环境局赤壁市分局局长为副总指挥，其日常工作由其办公室（以下简称水环境应急办）负责，水环境应急办挂靠在咸宁市生态环境局赤壁市分局，咸宁市生态环境局赤壁市分局局长担任办公室主任，指挥部成员单位主要领导作为办公室组成成员和联络员。赤壁市分管环保工作副市长在集中式饮用水水源地突发环境事件应急指挥机构中兼任总指挥并负责现场指挥工作，当发生特别重大的突发饮用水水环境事件时，市长担任总指挥。</w:t>
      </w:r>
    </w:p>
    <w:p w14:paraId="0F3DD16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根据《赤壁市集中式地表水饮用水水源地突发环境事件应急预案》以及实际情况，水环境应急指挥部组成、职责分工如下：</w:t>
      </w:r>
    </w:p>
    <w:p w14:paraId="0DF04E2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总指挥：日常职责为贯彻执行国家、地方人民政府及有关部门关于水源地突发环境事件的各项要求；组织编制、修订和批准水源地应急预案；指导加强水源地突发环境事件应急管理体系建设；协调保障水源地突发环境事件应急 管理工作经费。组织编制、修订和批准水源地应急预案；指导加强水源地突发环境事件应急管理体系建设；协调保障水源地突发环境事件应急管理工作经费。应急职责为发生水源地突发环境事件时，亲自（或委托副总指挥）赶赴现场进行指挥，组织开展现场应急处置；贯彻执行当地或上级人民政府及有关部门的应急指令；按照预警、应急启动或终止条件，决定预案的启动或终止研判突发环境事件发展态势，组织制定并批准现场处置方案；组织开展损害评估等后期工作。</w:t>
      </w:r>
    </w:p>
    <w:p w14:paraId="218F61F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副总指挥：日常职责为协助总指挥开展有关工作；组织指导预案培训和演练、应急救援队伍建设和能力评估等工作；指导开展水源地突发环境事件风险防范和应急准备工作。应急职责为协助总指挥组织开展现场应急处置；根据分工或总指挥安排，负责现场的具体指挥协调；负责提出有关应急处置建议；负责向场外人员通报有关应急信息；负责协调现场与场外应急处置工作；停止取水后，负责协调保障居民用水；处置现场出现的紧急情况。</w:t>
      </w:r>
    </w:p>
    <w:p w14:paraId="141971F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应急指挥办公室：日常职责为组织编制、修订水源地应急预案；负责水源地应急预案的日常管理，开展预案培训和演练、应急救援队伍建设和能力评估等工作；组织开展水源地突发环境事件风险防范和应急准备工作。应急职责为贯彻执行总指挥、副总指挥的各项指令和要求；负责信息汇总上报，并与有关的外部应急部门、组织和机构进行联络；负责调动应急人员、调配应急资源和联络外部应急组织或机构；收集整理有关事件数据。</w:t>
      </w:r>
    </w:p>
    <w:p w14:paraId="1D6F147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（4）应急工作组</w:t>
      </w:r>
    </w:p>
    <w:p w14:paraId="0D85505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①市应急管理局：负责应对饮用水突发环境事件中抢险、救援、处置工作及相关物资调集。</w:t>
      </w:r>
    </w:p>
    <w:p w14:paraId="4B3F1D3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②市委宣传部：负责组织新闻媒体、本地论坛等做好集中式饮用水水源地突发环境事件的相关信息发布和应急宣传工作，对涉及相关网络舆情进行监测、管控和处置，准确把握舆论导向，及时做好突发事件舆论引导工作。</w:t>
      </w:r>
    </w:p>
    <w:p w14:paraId="176D6C5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③市公安局：负责指导、协调、组织饮用水突发环境事件发生地公安机关对涉嫌环境违法犯罪的侦查，危险区域实施治安警戒，维护事发地区的社会治安，做好群众疏散工作，维护当地社会治安和道路交通秩序。</w:t>
      </w:r>
    </w:p>
    <w:p w14:paraId="00A7DE4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④咸宁市生态环境局赤壁市分局：加强饮用水水源地环境质量、水质监测和污染源的监控，依法发布环境状况公报，实施饮用水水源地污染防治监督管理；集中式饮用水水源地突发环境事件发生后，做好水质的应急监测工作；协助做好事故调查工作。</w:t>
      </w:r>
    </w:p>
    <w:p w14:paraId="05A0683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⑤市水利和湖泊局：依法发布水文预报，保障饮用水源地的水量供给；负责应急调度水利工程改善水源地水质；配合供水部门做好启用备用水源和应急水源的工作；参与相关善后处置等工作。</w:t>
      </w:r>
    </w:p>
    <w:p w14:paraId="06A42FB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⑥市住房和城乡建设局：负责协调和指导供水单位做好饮用水水源地突发环境事件预警和应急处置相关工作，组织供水单位进行应急监测，落实停止取水、启动深度处理设施和切换备用水源等应急工作安排，确保有序供水。</w:t>
      </w:r>
    </w:p>
    <w:p w14:paraId="445BE91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⑦市农业农村局：负责开展流域内农业非点源污染调查，开展农业非点源污染预防知识和法律宣传。及时对受污染农作物、农产品污染损害程度、范围及经济损失做出鉴定并制定出补救措施；对受污染区域农药、化肥的使用等情况加强监控，减少排放量；对鱼类生态环境的破坏及恢复提出处理意见，并制定相应的处理措施；加强流域内畜禽养殖场废弃物综合利用的指导和服务。</w:t>
      </w:r>
    </w:p>
    <w:p w14:paraId="120C39E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⑧市卫生健康局：负责对饮用水水质进行监测分析，组织协调饮用水突发环境事件应急医疗卫生救援工作，组织医疗机构实施医疗救护和卫生监测、防疫工作，并及时为地方医疗机构提供技术支持。提供涉及饮用水污染所致疾病防治等相关信息。</w:t>
      </w:r>
    </w:p>
    <w:p w14:paraId="7F2AB91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⑨市监察委员会：参与集中式饮用水水源地突发环境事件的调查工作；对相关部门、单位及其工作人员未按法律、法规规定履行职责的行为，依据党纪、政纪有关规定进行调查处理。</w:t>
      </w:r>
    </w:p>
    <w:p w14:paraId="677F5C4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⑩市财政局：根据有关规定安排应急工作所需的通讯和信息化设备、监测仪器、应急规范化设施建设、应急交通工具等经费，确保饮用水突发环境事件预防、监测、处置等工作的正常进行。</w:t>
      </w:r>
    </w:p>
    <w:p w14:paraId="4833E24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⑪市交通运输局：负责流域内船舶、车辆污染监管，调查处理流域内造成饮用水源突发事件的船舶、车辆污染事故；调动车辆优先安排应急物资和人员疏散的运送。</w:t>
      </w:r>
    </w:p>
    <w:p w14:paraId="307F2FD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⑫市气象局：负责卫星遥感分析和气象情况监测，分析气象条件对饮用水水源地水质可能产生的影响，提出水源地水质污染的气象条件预警；根据天气条件组织实施人工影响天气作业，增加水量。</w:t>
      </w:r>
    </w:p>
    <w:p w14:paraId="41D7285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⑬市民政局：负责根据污染事故的危害程度和影响范围，做好生活救援工作，及时发放救援物资，组织指导人员转移、安置和临时生活安排。</w:t>
      </w:r>
    </w:p>
    <w:p w14:paraId="57705F4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⑭市商务局：负责协调集中式饮用水水源地突发污染事件处置基本生活物资的调拨和紧急供应。</w:t>
      </w:r>
    </w:p>
    <w:p w14:paraId="3D953C09">
      <w:pPr>
        <w:pStyle w:val="57"/>
        <w:pageBreakBefore w:val="0"/>
        <w:widowControl w:val="0"/>
        <w:kinsoku/>
        <w:wordWrap/>
        <w:overflowPunct/>
        <w:topLinePunct w:val="0"/>
        <w:bidi w:val="0"/>
        <w:adjustRightInd w:val="0"/>
        <w:spacing w:before="0" w:after="0" w:line="360" w:lineRule="auto"/>
        <w:ind w:firstLine="640" w:firstLineChars="200"/>
        <w:jc w:val="left"/>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eastAsia="zh-CN" w:bidi="ar-SA"/>
        </w:rPr>
        <w:t>⑮</w:t>
      </w:r>
      <w:r>
        <w:rPr>
          <w:rFonts w:hint="eastAsia" w:ascii="仿宋_GB2312" w:hAnsi="仿宋_GB2312" w:eastAsia="仿宋_GB2312" w:cs="仿宋_GB2312"/>
          <w:color w:val="auto"/>
          <w:kern w:val="21"/>
          <w:sz w:val="32"/>
          <w:szCs w:val="32"/>
          <w:lang w:val="en-US" w:eastAsia="zh-CN" w:bidi="ar-SA"/>
        </w:rPr>
        <w:t>陆水湖风景区管理委员会：协助组织陆水湖饮用水突发环境事件应急处置；协同相关部门分析污染事故原因，确定污染物，提出处理意见，防止污染扩大。</w:t>
      </w:r>
    </w:p>
    <w:p w14:paraId="20BE162F">
      <w:pPr>
        <w:pStyle w:val="57"/>
        <w:pageBreakBefore w:val="0"/>
        <w:widowControl w:val="0"/>
        <w:kinsoku/>
        <w:wordWrap/>
        <w:overflowPunct/>
        <w:topLinePunct w:val="0"/>
        <w:bidi w:val="0"/>
        <w:adjustRightInd w:val="0"/>
        <w:spacing w:before="0" w:after="0" w:line="360" w:lineRule="auto"/>
        <w:ind w:firstLine="640" w:firstLineChars="200"/>
        <w:jc w:val="left"/>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⑯长江委陆水试验枢纽管理局：负责水文监测并提供相关水文资料和陆水水库饮用水突发环境事件应急处置。</w:t>
      </w:r>
    </w:p>
    <w:p w14:paraId="7428EA63">
      <w:pPr>
        <w:pStyle w:val="57"/>
        <w:pageBreakBefore w:val="0"/>
        <w:widowControl w:val="0"/>
        <w:kinsoku/>
        <w:wordWrap/>
        <w:overflowPunct/>
        <w:topLinePunct w:val="0"/>
        <w:bidi w:val="0"/>
        <w:adjustRightInd w:val="0"/>
        <w:spacing w:before="0" w:after="0" w:line="360" w:lineRule="auto"/>
        <w:ind w:firstLine="640" w:firstLineChars="200"/>
        <w:jc w:val="left"/>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⑰各乡镇人民政府：按照市应急指挥部统一领导，及时开展辖区内饮用水突发环境事件应急工作。</w:t>
      </w:r>
    </w:p>
    <w:p w14:paraId="2FBA9E21">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42" w:name="_Toc8449"/>
      <w:bookmarkStart w:id="43" w:name="_Toc30475"/>
      <w:bookmarkStart w:id="44" w:name="_Toc3656"/>
      <w:r>
        <w:rPr>
          <w:rFonts w:hint="eastAsia" w:ascii="黑体" w:hAnsi="黑体" w:eastAsia="黑体" w:cs="黑体"/>
          <w:b w:val="0"/>
          <w:bCs/>
          <w:color w:val="auto"/>
          <w:sz w:val="32"/>
          <w:szCs w:val="32"/>
          <w:lang w:val="en-US" w:eastAsia="zh-CN" w:bidi="ar-SA"/>
        </w:rPr>
        <w:t>2.2 现场应急指挥部</w:t>
      </w:r>
      <w:bookmarkEnd w:id="42"/>
      <w:bookmarkEnd w:id="43"/>
      <w:bookmarkEnd w:id="44"/>
    </w:p>
    <w:p w14:paraId="34AE4D6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当信息研判和会商判断水源地水质可能受影响时，应立即成立现场应急指挥部。现场应急指挥部的组织程序见3.3节、组成部门、工作职责和要求见2.1节。根据不同突发环境事件情景，可在应急组织指挥机构中选择有直接关系的部门和单位成立现场应急指挥部，全面负责指挥、组织和协调水源地突发环境事件的应急响应工作。</w:t>
      </w:r>
    </w:p>
    <w:p w14:paraId="14CD5E7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现场指挥部的主要工作职责如下：</w:t>
      </w:r>
    </w:p>
    <w:p w14:paraId="281C81D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（1）贯彻国家应急工作方针，根据市政府应急工作原则和方案，组织有关职能部门对事故发生地区进行技术支持和支援。</w:t>
      </w:r>
    </w:p>
    <w:p w14:paraId="363429B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（2）领导和协调集中式饮用水水源地突发环境事件应急工作，部署市水环境应急指挥部交办的有关工作。</w:t>
      </w:r>
    </w:p>
    <w:p w14:paraId="1E65417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（3）及时了解掌握集中式饮用水水源地突发环境事件情况，根据情况需要，向市水环境应急指挥部报告事故情况和提出应急措施的建议。</w:t>
      </w:r>
    </w:p>
    <w:p w14:paraId="1DC7DDC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（4）组织协调指挥部各职能组按照预案迅速开展应急工作，力争将损失降到最低程度。</w:t>
      </w:r>
    </w:p>
    <w:p w14:paraId="46B4265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（5）根据事故发生状态，统一部署应急预案的实施工作，并对应急工作中发生的争议采取紧急处理措施。</w:t>
      </w:r>
    </w:p>
    <w:p w14:paraId="6CAA92B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（6）在本行政区域内紧急征用各类物资、设备、人员和占用场地，在事故处理后及时归还或给予补偿。做好稳定社会秩序和伤亡人员的善后和安抚工作。</w:t>
      </w:r>
    </w:p>
    <w:p w14:paraId="54567A2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（7）组织事故应急技术研究和应急知识宣传教育等工作。</w:t>
      </w:r>
    </w:p>
    <w:p w14:paraId="164DBF7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（8）负责集中式饮用水水源地突发环境事件应急信息的接收、核实、处理、传递、通报、报告，及现场新闻报道的指导、审查工作。</w:t>
      </w:r>
    </w:p>
    <w:p w14:paraId="38EF9BB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（9）其他有关集中式饮用水水源地突发环境事件应急的重要事项。</w:t>
      </w:r>
    </w:p>
    <w:p w14:paraId="00449B4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（10）如已发生二次危害，立即组织相关部门采取有效措施控制事态发展。</w:t>
      </w:r>
    </w:p>
    <w:p w14:paraId="7D6DCE62">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45" w:name="_Toc4580"/>
      <w:bookmarkStart w:id="46" w:name="_Toc11794"/>
      <w:bookmarkStart w:id="47" w:name="_Toc16889"/>
      <w:r>
        <w:rPr>
          <w:rFonts w:hint="eastAsia" w:ascii="黑体" w:hAnsi="黑体" w:eastAsia="黑体" w:cs="黑体"/>
          <w:b w:val="0"/>
          <w:bCs/>
          <w:color w:val="auto"/>
          <w:sz w:val="32"/>
          <w:szCs w:val="32"/>
          <w:lang w:val="en-US" w:eastAsia="zh-CN" w:bidi="ar-SA"/>
        </w:rPr>
        <w:t>2.3 现场应急工作组</w:t>
      </w:r>
      <w:bookmarkEnd w:id="45"/>
      <w:bookmarkEnd w:id="46"/>
      <w:bookmarkEnd w:id="47"/>
    </w:p>
    <w:p w14:paraId="5CFD2FA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水环境应急现场指挥部根据事件类型及工作需要，设立应急处置组、应急监测组、应急供水保障组、应急物资保障组、应急专家组和综合组。</w:t>
      </w:r>
    </w:p>
    <w:p w14:paraId="4E100C6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应急处置组：由咸宁市生态环境局赤壁市分局、市住建局、市水利和湖泊局、市农业农村局、市卫生健康局等部门联合组成，负责制订实施突发环境事件应急救援处置方案，依据各自职责，按照应急救援处置方案开展应急处置工作。</w:t>
      </w:r>
    </w:p>
    <w:p w14:paraId="3703C76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应急监测组：由咸宁市生态环境局赤壁市分局负责牵头，市水利和湖泊局、市卫生健康局和市气象局等部门联合组成。负责对现场开展应急监测工作，分析污染种类和数量及可能造成的影响，判断事件的变化趋势，向现场指挥部提出控制和消除影响的科学建议。其中咸宁市生态环境局赤壁市分局负责饮用水水源地的水质监测和水体污染情况监测，市水利和湖泊局负责调水通道、饮用水水源地的水量、流向情况的监测，市住房和城乡建设局负责取水口进出水水质监测，市卫生健康局负责对集中式供水单位出厂水质和末梢水水质监测，市气象局负责气象要素的监测。</w:t>
      </w:r>
    </w:p>
    <w:p w14:paraId="051DF95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应急供水保障组：由市住建局负责牵头，市水务集团、市商务局、市应急管理局组成。督促供水企业落实应急物资和技术储备，在应急期间采取各种应急处置措施，保证出厂水质质量，保障居民饮用水供应。必要时采取停水措施，由市商务局和市应急管理局负责组织净水的供应。</w:t>
      </w:r>
    </w:p>
    <w:p w14:paraId="43E569D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应急物资保障组：由民政局负责牵头，市应急管理局、市商务局、市公安局、市财政局、市交通运输局等组成。市民政局负责救援物资发放，市应急管理局负责相关应急物资调集，市商务局负责协调基本生活物资的调拨和紧急供应，市公安局负责维护社会治安、保障道路交通畅通工作，市财政局负责调拨事件应急体系运行经费，市交通运输局负责协调应急处置所需的交通运输。</w:t>
      </w:r>
    </w:p>
    <w:p w14:paraId="5A542FB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应急专家组：根据需要聘请饮用水水源地安全危机的应急处置专家，分析情况。根据专家的建议，通知相关应急救援力量随时待命，为应急指挥机构提供技术支持；必要时请示上一级应急指挥部调集事发地周边地区专业应急力量实施增援。</w:t>
      </w:r>
    </w:p>
    <w:p w14:paraId="1282C98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舆情管控组：由市委宣传部牵头，咸宁市生态环境局赤壁市分局、市应急管理局、市水利和湖泊局、市农业农村局、市卫生健康局、市民政局、市商务局、陆水湖风景区管理委员会、市交通运输局、各乡镇政府等相关单位参加，负责协调饮用水水源地突发环境污染事件应急处理情况的网络舆情监测、管控和处置等工作；由市水环境应急指挥部指定新闻发言人，通过新闻发布会，及时向新闻媒体和社会各界及时准确发布事件权威信息，安定民心，维护社会稳定。</w:t>
      </w:r>
    </w:p>
    <w:p w14:paraId="39A9B51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为了便于各个工作组的日常工作，各有关部门应该建立相应的应急处置工作机构作为日常办事机构，由1名分管领导负责，并由分管领导兼任联络员。</w:t>
      </w:r>
    </w:p>
    <w:bookmarkEnd w:id="36"/>
    <w:bookmarkEnd w:id="37"/>
    <w:bookmarkEnd w:id="38"/>
    <w:p w14:paraId="21E95DA0">
      <w:pPr>
        <w:pStyle w:val="25"/>
        <w:pageBreakBefore w:val="0"/>
        <w:widowControl w:val="0"/>
        <w:kinsoku/>
        <w:wordWrap/>
        <w:overflowPunct/>
        <w:topLinePunct w:val="0"/>
        <w:bidi w:val="0"/>
        <w:spacing w:line="360" w:lineRule="auto"/>
        <w:rPr>
          <w:rFonts w:hint="eastAsia" w:ascii="仿宋_GB2312" w:hAnsi="仿宋_GB2312" w:eastAsia="仿宋_GB2312" w:cs="仿宋_GB2312"/>
          <w:b/>
          <w:bCs/>
          <w:color w:val="auto"/>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300022EA">
      <w:pPr>
        <w:pStyle w:val="3"/>
        <w:keepNext/>
        <w:keepLines/>
        <w:pageBreakBefore/>
        <w:autoSpaceDE/>
        <w:autoSpaceDN/>
        <w:spacing w:before="340" w:beforeLines="0" w:beforeAutospacing="0" w:after="330" w:afterLines="0" w:afterAutospacing="0" w:line="576" w:lineRule="auto"/>
        <w:ind w:left="0" w:right="0"/>
        <w:jc w:val="center"/>
        <w:rPr>
          <w:rFonts w:hint="default" w:ascii="Times New Roman" w:hAnsi="Times New Roman" w:eastAsia="宋体" w:cs="Times New Roman"/>
          <w:bCs w:val="0"/>
          <w:color w:val="auto"/>
          <w:kern w:val="44"/>
          <w:sz w:val="44"/>
          <w:szCs w:val="22"/>
          <w:lang w:val="en-US" w:eastAsia="zh-CN" w:bidi="ar-SA"/>
        </w:rPr>
      </w:pPr>
      <w:bookmarkStart w:id="48" w:name="_Toc23482"/>
      <w:bookmarkStart w:id="49" w:name="_Toc23051"/>
      <w:bookmarkStart w:id="50" w:name="_Toc19260"/>
      <w:bookmarkStart w:id="51" w:name="_Toc20615"/>
      <w:bookmarkStart w:id="52" w:name="_Toc6474"/>
      <w:r>
        <w:rPr>
          <w:rFonts w:hint="default" w:ascii="Times New Roman" w:hAnsi="Times New Roman" w:eastAsia="宋体" w:cs="Times New Roman"/>
          <w:bCs w:val="0"/>
          <w:color w:val="auto"/>
          <w:kern w:val="44"/>
          <w:sz w:val="44"/>
          <w:szCs w:val="22"/>
          <w:lang w:val="en-US" w:eastAsia="zh-CN" w:bidi="ar-SA"/>
        </w:rPr>
        <w:t xml:space="preserve">3 </w:t>
      </w:r>
      <w:bookmarkEnd w:id="48"/>
      <w:bookmarkEnd w:id="49"/>
      <w:bookmarkEnd w:id="50"/>
      <w:r>
        <w:rPr>
          <w:rFonts w:hint="eastAsia" w:ascii="Times New Roman" w:hAnsi="Times New Roman" w:eastAsia="宋体" w:cs="Times New Roman"/>
          <w:bCs w:val="0"/>
          <w:color w:val="auto"/>
          <w:kern w:val="44"/>
          <w:sz w:val="44"/>
          <w:szCs w:val="22"/>
          <w:lang w:val="en-US" w:eastAsia="zh-CN" w:bidi="ar-SA"/>
        </w:rPr>
        <w:t>应急响应</w:t>
      </w:r>
      <w:bookmarkEnd w:id="51"/>
      <w:bookmarkEnd w:id="52"/>
    </w:p>
    <w:p w14:paraId="760527E4">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53" w:name="_Toc29709"/>
      <w:bookmarkStart w:id="54" w:name="_Toc31389"/>
      <w:bookmarkStart w:id="55" w:name="_Toc4474"/>
      <w:bookmarkStart w:id="56" w:name="_Toc1697"/>
      <w:bookmarkStart w:id="57" w:name="_Toc4728"/>
      <w:bookmarkStart w:id="58" w:name="_Toc3570"/>
      <w:bookmarkStart w:id="59" w:name="_Toc10668"/>
      <w:r>
        <w:rPr>
          <w:rFonts w:hint="eastAsia" w:ascii="黑体" w:hAnsi="黑体" w:eastAsia="黑体" w:cs="黑体"/>
          <w:b w:val="0"/>
          <w:bCs/>
          <w:color w:val="auto"/>
          <w:sz w:val="32"/>
          <w:szCs w:val="32"/>
          <w:lang w:val="en-US" w:eastAsia="zh-CN" w:bidi="ar-SA"/>
        </w:rPr>
        <w:t>3.1 信息收集与研判</w:t>
      </w:r>
      <w:bookmarkEnd w:id="53"/>
      <w:bookmarkEnd w:id="54"/>
      <w:bookmarkEnd w:id="55"/>
    </w:p>
    <w:p w14:paraId="4AEC3B23">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60" w:name="_Toc31544"/>
      <w:bookmarkStart w:id="61" w:name="_Toc15531"/>
      <w:bookmarkStart w:id="62" w:name="_Toc10852"/>
      <w:r>
        <w:rPr>
          <w:rFonts w:hint="eastAsia" w:ascii="黑体" w:hAnsi="黑体" w:eastAsia="黑体" w:cs="黑体"/>
          <w:b w:val="0"/>
          <w:bCs/>
          <w:color w:val="auto"/>
          <w:sz w:val="28"/>
          <w:szCs w:val="28"/>
          <w:lang w:val="en-US" w:eastAsia="zh-CN" w:bidi="ar-SA"/>
        </w:rPr>
        <w:t>3.3.1 信息收集</w:t>
      </w:r>
      <w:bookmarkEnd w:id="60"/>
      <w:bookmarkEnd w:id="61"/>
      <w:bookmarkEnd w:id="62"/>
    </w:p>
    <w:p w14:paraId="182C19C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集中式饮用水水源地突发环境事件应坚持预防为主，早发现、早报告、早处置的原则，赤壁市人民政府及相关部门应建立集中式饮用水水源地突发环境事件信息收集与共享渠道，组织通过集中饮用水水源地地或水厂常规水质监督性监测与在线监测、集成水文气象、地形地貌、污染排放、防护措施等渠道收集信息，开展水质快速预测预警；密切关注水源地周围水域水质变化，上游水域或陆域生产、运输工程中发生重大有毒有害物质泄漏、污染，人为破坏造成水源水质污染等可能导致饮用水水源地突发环境事件的早期信息，及时进行综合分析和风险评估，切实做好预测预警工作。</w:t>
      </w:r>
    </w:p>
    <w:p w14:paraId="420B0CD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信息来源包括但不限于以下途径：</w:t>
      </w:r>
    </w:p>
    <w:p w14:paraId="3FEE057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生态环境、住建、水利等部门通过流域、水源地或供水单位开展的水质监督性监测（常规断面）、在线监测（常规和预警监控断面）等日常监管渠道获取水质异常信息，或通过水文气象、地质灾害、污染源排放等信息开展水质预测预警，获取水质异常信息。另外，水厂日常监测过程中也可能获取水质异常信息。</w:t>
      </w:r>
    </w:p>
    <w:p w14:paraId="631B1EA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咸宁市生态环境局赤壁市分局通过水源地上游及周边主要风险源监控获取异常排放信息，也可通过12345热线、网络等途径获取突发环境事件信息；公安交通部门可通过交通事故报警获取流动源事故信息；水利部门可通过对河流藻密度变化情况的监测，获取水华事件信息。</w:t>
      </w:r>
    </w:p>
    <w:p w14:paraId="34E8DFC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（3）通过市人民政府不同部门之间、上下游相邻行政区域政府之间建立的信息收集与共享渠道，获取突发环境事件信息。</w:t>
      </w:r>
    </w:p>
    <w:p w14:paraId="460D8159">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63" w:name="_Toc14649"/>
      <w:bookmarkStart w:id="64" w:name="_Toc6018"/>
      <w:bookmarkStart w:id="65" w:name="_Toc3779"/>
      <w:r>
        <w:rPr>
          <w:rFonts w:hint="eastAsia" w:ascii="黑体" w:hAnsi="黑体" w:eastAsia="黑体" w:cs="黑体"/>
          <w:b w:val="0"/>
          <w:bCs/>
          <w:color w:val="auto"/>
          <w:sz w:val="28"/>
          <w:szCs w:val="28"/>
          <w:lang w:val="en-US" w:eastAsia="zh-CN" w:bidi="ar-SA"/>
        </w:rPr>
        <w:t>3.1.2 信息研判与会商</w:t>
      </w:r>
      <w:bookmarkEnd w:id="63"/>
      <w:bookmarkEnd w:id="64"/>
      <w:bookmarkEnd w:id="65"/>
    </w:p>
    <w:p w14:paraId="22E9F3E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通过日常监管渠道首次发现水质异常或群众举报、责任单位报告等获取突发事件信息的部门，应第一时间开展以下工作。</w:t>
      </w:r>
    </w:p>
    <w:p w14:paraId="36DCE18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（1）核实信息的真实性。</w:t>
      </w:r>
    </w:p>
    <w:p w14:paraId="42D4BEF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（2）进一步收集信息，必要时通报有关部门共同开展信息收集工作。</w:t>
      </w:r>
    </w:p>
    <w:p w14:paraId="7E27F16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（3）将有关信息报告市人民政府。</w:t>
      </w:r>
    </w:p>
    <w:p w14:paraId="1B5B070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接到信息报告的人民政府应立即组织有关部门及应急专家进行会商，研判水质变化趋势，若判断可能对水源地水质造成影响，应立即成立现场应急指挥部。</w:t>
      </w:r>
    </w:p>
    <w:p w14:paraId="643042D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C00000"/>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赤壁市集中式地表水饮用水水源地突发环境事件现场调查表见附件11。</w:t>
      </w:r>
    </w:p>
    <w:p w14:paraId="54BDA777">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66" w:name="_Toc15914"/>
      <w:bookmarkStart w:id="67" w:name="_Toc11617"/>
      <w:bookmarkStart w:id="68" w:name="_Toc19137"/>
      <w:r>
        <w:rPr>
          <w:rFonts w:hint="eastAsia" w:ascii="黑体" w:hAnsi="黑体" w:eastAsia="黑体" w:cs="黑体"/>
          <w:b w:val="0"/>
          <w:bCs/>
          <w:color w:val="auto"/>
          <w:sz w:val="32"/>
          <w:szCs w:val="32"/>
          <w:lang w:val="en-US" w:eastAsia="zh-CN" w:bidi="ar-SA"/>
        </w:rPr>
        <w:t>3.2 预警</w:t>
      </w:r>
      <w:bookmarkEnd w:id="66"/>
      <w:bookmarkEnd w:id="67"/>
      <w:bookmarkEnd w:id="68"/>
    </w:p>
    <w:p w14:paraId="6AD6254B">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69" w:name="_Toc3167"/>
      <w:bookmarkStart w:id="70" w:name="_Toc5658"/>
      <w:bookmarkStart w:id="71" w:name="_Toc14360"/>
      <w:r>
        <w:rPr>
          <w:rFonts w:hint="eastAsia" w:ascii="黑体" w:hAnsi="黑体" w:eastAsia="黑体" w:cs="黑体"/>
          <w:b w:val="0"/>
          <w:bCs/>
          <w:color w:val="auto"/>
          <w:sz w:val="28"/>
          <w:szCs w:val="28"/>
          <w:lang w:val="en-US" w:eastAsia="zh-CN" w:bidi="ar-SA"/>
        </w:rPr>
        <w:t>3.2.1 预警分级</w:t>
      </w:r>
      <w:bookmarkEnd w:id="69"/>
      <w:bookmarkEnd w:id="70"/>
      <w:bookmarkEnd w:id="71"/>
    </w:p>
    <w:p w14:paraId="6420057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根据《集中式地表水饮用水水源地突发环境事件应急预案编制指南（试行）》，将预案分为橙色预警、红色预警。</w:t>
      </w:r>
    </w:p>
    <w:p w14:paraId="05A940A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3"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b/>
          <w:bCs/>
          <w:color w:val="auto"/>
          <w:kern w:val="21"/>
          <w:sz w:val="32"/>
          <w:szCs w:val="32"/>
          <w:lang w:val="en-US" w:eastAsia="zh-CN" w:bidi="ar-SA"/>
        </w:rPr>
        <w:t>橙色预警</w:t>
      </w:r>
      <w:r>
        <w:rPr>
          <w:rFonts w:hint="eastAsia" w:ascii="仿宋_GB2312" w:hAnsi="仿宋_GB2312" w:eastAsia="仿宋_GB2312" w:cs="仿宋_GB2312"/>
          <w:color w:val="auto"/>
          <w:kern w:val="21"/>
          <w:sz w:val="32"/>
          <w:szCs w:val="32"/>
          <w:lang w:val="en-US" w:eastAsia="zh-CN" w:bidi="ar-SA"/>
        </w:rPr>
        <w:t>：当水源地上游发生污染事故，污染物可能迁移进入水源地二级保护区范围内或上游连接水体，但应急专家组研判认为对水源地水质影响可能较小、可能不影响取水。</w:t>
      </w:r>
    </w:p>
    <w:p w14:paraId="41FA436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3"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b/>
          <w:bCs/>
          <w:color w:val="auto"/>
          <w:kern w:val="21"/>
          <w:sz w:val="32"/>
          <w:szCs w:val="32"/>
          <w:lang w:val="en-US" w:eastAsia="zh-CN" w:bidi="ar-SA"/>
        </w:rPr>
        <w:t>红色预警</w:t>
      </w:r>
      <w:r>
        <w:rPr>
          <w:rFonts w:hint="eastAsia" w:ascii="仿宋_GB2312" w:hAnsi="仿宋_GB2312" w:eastAsia="仿宋_GB2312" w:cs="仿宋_GB2312"/>
          <w:color w:val="auto"/>
          <w:kern w:val="21"/>
          <w:sz w:val="32"/>
          <w:szCs w:val="32"/>
          <w:lang w:val="en-US" w:eastAsia="zh-CN" w:bidi="ar-SA"/>
        </w:rPr>
        <w:t>：当污染物迁移至水源地二级保护区范围内或其上游连接水体，且应急专家组研判认为对水源地水质影响可能较大时、可能影响取水时。</w:t>
      </w:r>
    </w:p>
    <w:p w14:paraId="159AD4E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发布橙色预警时，采取预警行动同时应启动本级应急预案，应急指挥权由本预案中的现场应急指挥部行使；发布红色预警时，在采取预警行动的同时，应启动应急措施并将应急指挥权分别移交给市、省级人民政府组成的临时应急指挥部，接受其领导指挥。</w:t>
      </w:r>
    </w:p>
    <w:p w14:paraId="0987481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若某地点发生突发环境污染事件，应立即采取预警行动，预警级别根据现场情况由现场应急指挥部确定。</w:t>
      </w:r>
    </w:p>
    <w:p w14:paraId="2D7F66C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饮用水水源地突发环境事件响应坚持属地为主的原则，市政府按照有关规定全面负责辖区内饮用水水源地突发环境事件应急处置工作，特殊饮用水水源地突发环境事件需要市生态环境局及市政府相关部门给予协调支援的，及时上报请求协调支援。</w:t>
      </w:r>
    </w:p>
    <w:p w14:paraId="752A4B29">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72" w:name="_Toc5699"/>
      <w:r>
        <w:rPr>
          <w:rFonts w:hint="eastAsia" w:ascii="黑体" w:hAnsi="黑体" w:eastAsia="黑体" w:cs="黑体"/>
          <w:b w:val="0"/>
          <w:bCs/>
          <w:color w:val="auto"/>
          <w:sz w:val="28"/>
          <w:szCs w:val="28"/>
          <w:lang w:val="en-US" w:eastAsia="zh-CN" w:bidi="ar-SA"/>
        </w:rPr>
        <w:t>3.2.2 预警的启动条件</w:t>
      </w:r>
      <w:bookmarkEnd w:id="72"/>
    </w:p>
    <w:p w14:paraId="024914EF">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b/>
          <w:bCs/>
          <w:color w:val="auto"/>
          <w:kern w:val="21"/>
          <w:sz w:val="32"/>
          <w:szCs w:val="32"/>
          <w:lang w:val="en-US" w:eastAsia="zh-CN" w:bidi="ar-SA"/>
        </w:rPr>
      </w:pPr>
      <w:bookmarkStart w:id="73" w:name="_Toc9395"/>
      <w:bookmarkStart w:id="74" w:name="_Toc15502"/>
      <w:r>
        <w:rPr>
          <w:rFonts w:hint="eastAsia" w:ascii="仿宋_GB2312" w:hAnsi="仿宋_GB2312" w:eastAsia="仿宋_GB2312" w:cs="仿宋_GB2312"/>
          <w:b/>
          <w:bCs/>
          <w:color w:val="auto"/>
          <w:kern w:val="21"/>
          <w:sz w:val="32"/>
          <w:szCs w:val="32"/>
          <w:lang w:val="en-US" w:eastAsia="zh-CN" w:bidi="ar-SA"/>
        </w:rPr>
        <w:t>橙色预警启动条件：</w:t>
      </w:r>
    </w:p>
    <w:p w14:paraId="3990739F">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（1）通过信息报告发现，在一级、二级保护区内可能由于自然灾害引发水源地发生突发环境事件。</w:t>
      </w:r>
    </w:p>
    <w:p w14:paraId="2F0C233C">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（2）通过信息报告发现，在二级保护区上游汇水区域内8小时流程范围外发生固定源或流动源突发环境事件，或污染物已扩散至距水源保护区上游连接水体的直线距离超过200米的陆域或水域。</w:t>
      </w:r>
    </w:p>
    <w:p w14:paraId="67658F2D">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（3）通过信息报告发现，在二级保护区重点湖库水质和二级保护区上游汇水区域水体水质有发生水华灾害事件的趋势。水质监测数据判别参考如下：pH值大于8.5，叶绿素a浓度大于30 mg/m</w:t>
      </w:r>
      <w:r>
        <w:rPr>
          <w:rFonts w:hint="eastAsia" w:ascii="仿宋_GB2312" w:hAnsi="仿宋_GB2312" w:eastAsia="仿宋_GB2312" w:cs="仿宋_GB2312"/>
          <w:color w:val="auto"/>
          <w:kern w:val="21"/>
          <w:sz w:val="32"/>
          <w:szCs w:val="32"/>
          <w:vertAlign w:val="superscript"/>
          <w:lang w:val="en-US" w:eastAsia="zh-CN" w:bidi="ar-SA"/>
        </w:rPr>
        <w:t>3</w:t>
      </w:r>
      <w:r>
        <w:rPr>
          <w:rFonts w:hint="eastAsia" w:ascii="仿宋_GB2312" w:hAnsi="仿宋_GB2312" w:eastAsia="仿宋_GB2312" w:cs="仿宋_GB2312"/>
          <w:color w:val="auto"/>
          <w:kern w:val="21"/>
          <w:sz w:val="32"/>
          <w:szCs w:val="32"/>
          <w:lang w:val="en-US" w:eastAsia="zh-CN" w:bidi="ar-SA"/>
        </w:rPr>
        <w:t>，溶解氧（DO）浓度小于5 mg/L或其溶解饱和度大于100%，或者水体藻类密度（蓝绿藻密度）大于5×10</w:t>
      </w:r>
      <w:r>
        <w:rPr>
          <w:rFonts w:hint="eastAsia" w:ascii="仿宋_GB2312" w:hAnsi="仿宋_GB2312" w:eastAsia="仿宋_GB2312" w:cs="仿宋_GB2312"/>
          <w:color w:val="auto"/>
          <w:kern w:val="21"/>
          <w:sz w:val="32"/>
          <w:szCs w:val="32"/>
          <w:vertAlign w:val="superscript"/>
          <w:lang w:val="en-US" w:eastAsia="zh-CN" w:bidi="ar-SA"/>
        </w:rPr>
        <w:t>6</w:t>
      </w:r>
      <w:r>
        <w:rPr>
          <w:rFonts w:hint="eastAsia" w:ascii="仿宋_GB2312" w:hAnsi="仿宋_GB2312" w:eastAsia="仿宋_GB2312" w:cs="仿宋_GB2312"/>
          <w:color w:val="auto"/>
          <w:kern w:val="21"/>
          <w:sz w:val="32"/>
          <w:szCs w:val="32"/>
          <w:lang w:val="en-US" w:eastAsia="zh-CN" w:bidi="ar-SA"/>
        </w:rPr>
        <w:t>个/L。</w:t>
      </w:r>
    </w:p>
    <w:p w14:paraId="6B44A5C8">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b/>
          <w:bCs/>
          <w:color w:val="auto"/>
          <w:kern w:val="21"/>
          <w:sz w:val="32"/>
          <w:szCs w:val="32"/>
          <w:lang w:val="en-US" w:eastAsia="zh-CN" w:bidi="ar-SA"/>
        </w:rPr>
      </w:pPr>
      <w:r>
        <w:rPr>
          <w:rFonts w:hint="eastAsia" w:ascii="仿宋_GB2312" w:hAnsi="仿宋_GB2312" w:eastAsia="仿宋_GB2312" w:cs="仿宋_GB2312"/>
          <w:b/>
          <w:bCs/>
          <w:color w:val="auto"/>
          <w:kern w:val="21"/>
          <w:sz w:val="32"/>
          <w:szCs w:val="32"/>
          <w:lang w:val="en-US" w:eastAsia="zh-CN" w:bidi="ar-SA"/>
        </w:rPr>
        <w:t>红色预警启动条件：</w:t>
      </w:r>
    </w:p>
    <w:p w14:paraId="36593EA0">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（1）通过信息报告发现，在一级、二级保护区内发生突发环境事件。</w:t>
      </w:r>
    </w:p>
    <w:p w14:paraId="1F196321">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（2）通过信息报告发现，在二级保护区上游汇水区域4小时流程范围内发生固定源或流动源突发环境事件，或污染物已扩散至距水源保护区上游连接水体的直线距离不足100米的陆域或水域。</w:t>
      </w:r>
    </w:p>
    <w:p w14:paraId="54518925">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通过信息报告发现，在二级保护区上游汇水区域8小时流程范围内发生固定源或流动源突发环境事件，或污染物已扩散至距水源保护区上游连接水体的直线距离不足200米的陆域或水域，经水质监测和信息研判，判断污染物迁移至取水口位置时，相应指标浓度仍会超标的。</w:t>
      </w:r>
    </w:p>
    <w:p w14:paraId="2A7BD610">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（4）通过监测发现，水源保护区或其上游连接水体理化指标异常。</w:t>
      </w:r>
    </w:p>
    <w:p w14:paraId="11CF5D1E">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①在二级保护区内，出现自动站水质监测指标超标或生物综合毒性异常，经实验室监（复）测确认的；</w:t>
      </w:r>
    </w:p>
    <w:p w14:paraId="64B829AC">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②在二级保护区上游8小时流程范围内，出现水质监测指标、有毒有害物质或生物综合毒性异常，且污染物浓度持续升高的；</w:t>
      </w:r>
    </w:p>
    <w:p w14:paraId="4824CBDD">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③在二级保护区上游4小时流程范围内，出现水质监测指标、有毒有害物质或生物综合毒性异常的。重点湖库水质和二级保护区上游汇水区域水体发生水华灾害事件水质监测数据判别参考如下：pH值大于9，叶绿素a浓度大于100mg/m</w:t>
      </w:r>
      <w:r>
        <w:rPr>
          <w:rFonts w:hint="eastAsia" w:ascii="仿宋_GB2312" w:hAnsi="仿宋_GB2312" w:eastAsia="仿宋_GB2312" w:cs="仿宋_GB2312"/>
          <w:color w:val="auto"/>
          <w:kern w:val="21"/>
          <w:sz w:val="32"/>
          <w:szCs w:val="32"/>
          <w:vertAlign w:val="superscript"/>
          <w:lang w:val="en-US" w:eastAsia="zh-CN" w:bidi="ar-SA"/>
        </w:rPr>
        <w:t>3</w:t>
      </w:r>
      <w:r>
        <w:rPr>
          <w:rFonts w:hint="eastAsia" w:ascii="仿宋_GB2312" w:hAnsi="仿宋_GB2312" w:eastAsia="仿宋_GB2312" w:cs="仿宋_GB2312"/>
          <w:color w:val="auto"/>
          <w:kern w:val="21"/>
          <w:sz w:val="32"/>
          <w:szCs w:val="32"/>
          <w:lang w:val="en-US" w:eastAsia="zh-CN" w:bidi="ar-SA"/>
        </w:rPr>
        <w:t>，溶解氧（DO）浓度小于4 mg/L或其溶解饱和度大于120%，或者水体藻类密度（蓝绿藻密度）大于3×10</w:t>
      </w:r>
      <w:r>
        <w:rPr>
          <w:rFonts w:hint="eastAsia" w:ascii="仿宋_GB2312" w:hAnsi="仿宋_GB2312" w:eastAsia="仿宋_GB2312" w:cs="仿宋_GB2312"/>
          <w:color w:val="auto"/>
          <w:kern w:val="21"/>
          <w:sz w:val="32"/>
          <w:szCs w:val="32"/>
          <w:vertAlign w:val="superscript"/>
          <w:lang w:val="en-US" w:eastAsia="zh-CN" w:bidi="ar-SA"/>
        </w:rPr>
        <w:t>7</w:t>
      </w:r>
      <w:r>
        <w:rPr>
          <w:rFonts w:hint="eastAsia" w:ascii="仿宋_GB2312" w:hAnsi="仿宋_GB2312" w:eastAsia="仿宋_GB2312" w:cs="仿宋_GB2312"/>
          <w:color w:val="auto"/>
          <w:kern w:val="21"/>
          <w:sz w:val="32"/>
          <w:szCs w:val="32"/>
          <w:lang w:val="en-US" w:eastAsia="zh-CN" w:bidi="ar-SA"/>
        </w:rPr>
        <w:t>个/L。</w:t>
      </w:r>
    </w:p>
    <w:p w14:paraId="470BF742">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（5）通过监测发现，水源保护区或其上游连接水体感官性状异常，即水体出现异常颜色或气味的。</w:t>
      </w:r>
    </w:p>
    <w:p w14:paraId="5A7BBB6E">
      <w:pPr>
        <w:pStyle w:val="55"/>
        <w:pageBreakBefore w:val="0"/>
        <w:widowControl w:val="0"/>
        <w:kinsoku/>
        <w:wordWrap/>
        <w:overflowPunct/>
        <w:topLinePunct w:val="0"/>
        <w:bidi w:val="0"/>
        <w:adjustRightInd/>
        <w:snapToGrid/>
        <w:spacing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（6）通过监测发现，水源保护区或其上游连接水体生态指标异常，即水面出现大面积死鱼或生物综合毒性异常并经实验室监测后确认的。</w:t>
      </w:r>
    </w:p>
    <w:p w14:paraId="1F78D8A3">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75" w:name="_Toc31432"/>
      <w:r>
        <w:rPr>
          <w:rFonts w:hint="eastAsia" w:ascii="黑体" w:hAnsi="黑体" w:eastAsia="黑体" w:cs="黑体"/>
          <w:b w:val="0"/>
          <w:bCs/>
          <w:color w:val="auto"/>
          <w:sz w:val="28"/>
          <w:szCs w:val="28"/>
          <w:lang w:val="en-US" w:eastAsia="zh-CN" w:bidi="ar-SA"/>
        </w:rPr>
        <w:t>3.2.3 发布预警和预警级别调整</w:t>
      </w:r>
      <w:bookmarkEnd w:id="73"/>
      <w:bookmarkEnd w:id="74"/>
      <w:bookmarkEnd w:id="75"/>
    </w:p>
    <w:p w14:paraId="1E6E546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（1）预警发布流程</w:t>
      </w:r>
    </w:p>
    <w:p w14:paraId="0582BD4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按照集中式饮用水水源地突发环境事件的紧急程度、发展态势或可能造成的危害程度，突发环境事件分为二级，预警级别由低到高，颜色依次为橙色、红色，当污染物迁移至水源地风险防控范围，但水源保护区或其连接水体尚未受到污染，或是污染物已进入水源保护区上游连接水体，但应急专家组研判认为对水源地水质影响可能较小、可能不影响取水时，为橙色预警；当污染物已进入（或出现在）水源保护区或其上游连接水体，且应急专家组研判认为对水源地水质影响可能较大时、可能影响取水时，为红色预警。</w:t>
      </w:r>
    </w:p>
    <w:p w14:paraId="4D35286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Ⅰ级（红色）预警由赤壁市水环境应急指挥部报请咸宁市政府确认后发布。</w:t>
      </w:r>
    </w:p>
    <w:p w14:paraId="74B6CAE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Ⅱ级（橙色）预警由赤壁市水环境应急指挥部报请赤壁市政府确认并按有关规定和程序发布。</w:t>
      </w:r>
    </w:p>
    <w:p w14:paraId="6ADC44F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76" w:name="_Toc516048684"/>
      <w:bookmarkStart w:id="77" w:name="_Toc17597"/>
      <w:bookmarkStart w:id="78" w:name="_Toc30824"/>
      <w:r>
        <w:rPr>
          <w:rFonts w:hint="eastAsia" w:ascii="仿宋_GB2312" w:hAnsi="仿宋_GB2312" w:eastAsia="仿宋_GB2312" w:cs="仿宋_GB2312"/>
          <w:color w:val="auto"/>
          <w:kern w:val="21"/>
          <w:sz w:val="32"/>
          <w:szCs w:val="32"/>
          <w:lang w:val="en-US" w:eastAsia="zh-CN" w:bidi="ar-SA"/>
        </w:rPr>
        <w:t>（2）预警发布内容</w:t>
      </w:r>
      <w:bookmarkEnd w:id="76"/>
    </w:p>
    <w:p w14:paraId="6AE58D4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预警信息发布内容主要包括事件类别、预警级别、可能影响范围、警示事项、应当采取的措施和发布机关等。</w:t>
      </w:r>
    </w:p>
    <w:p w14:paraId="2F5EA59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79" w:name="_Toc516048685"/>
      <w:r>
        <w:rPr>
          <w:rFonts w:hint="eastAsia" w:ascii="仿宋_GB2312" w:hAnsi="仿宋_GB2312" w:eastAsia="仿宋_GB2312" w:cs="仿宋_GB2312"/>
          <w:color w:val="auto"/>
          <w:kern w:val="21"/>
          <w:sz w:val="32"/>
          <w:szCs w:val="32"/>
          <w:lang w:val="en-US" w:eastAsia="zh-CN" w:bidi="ar-SA"/>
        </w:rPr>
        <w:t>（3）预警发布渠道</w:t>
      </w:r>
      <w:bookmarkEnd w:id="79"/>
    </w:p>
    <w:p w14:paraId="0CAD08D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预警信息发布可充分利用广播、电视、互联网、手机短信、微信、微博、警报器等手段和媒介，及时、准确地将预警信息传播给可能受影响的相关地区和人员。</w:t>
      </w:r>
    </w:p>
    <w:p w14:paraId="6F23D99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市级预警信息可选择通过以下途径发布：</w:t>
      </w:r>
    </w:p>
    <w:p w14:paraId="2403C37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①通过已建立的赤壁市环境应急工作网络，以文件传真等方式向相关部门和相关区（市）政府发布预警信息。</w:t>
      </w:r>
    </w:p>
    <w:p w14:paraId="29B82BD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②通过赤壁市政府或市生态环境局赤壁分局门户网站、微博、移动客户端等发布预警信息。</w:t>
      </w:r>
    </w:p>
    <w:p w14:paraId="39A69CC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③提供应急预警的新闻稿，通过广播、电视、报纸和互联网等媒体发布预警信息。</w:t>
      </w:r>
    </w:p>
    <w:p w14:paraId="2C1A050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④由赤壁市政府新闻办按照有关规定组织协调电信运营企业发送红色预警信息。</w:t>
      </w:r>
    </w:p>
    <w:p w14:paraId="2BBBB20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80" w:name="_Toc516048687"/>
      <w:r>
        <w:rPr>
          <w:rFonts w:hint="eastAsia" w:ascii="仿宋_GB2312" w:hAnsi="仿宋_GB2312" w:eastAsia="仿宋_GB2312" w:cs="仿宋_GB2312"/>
          <w:color w:val="auto"/>
          <w:kern w:val="21"/>
          <w:sz w:val="32"/>
          <w:szCs w:val="32"/>
          <w:lang w:val="en-US" w:eastAsia="zh-CN" w:bidi="ar-SA"/>
        </w:rPr>
        <w:t>（4）预警级别调整</w:t>
      </w:r>
      <w:bookmarkEnd w:id="80"/>
    </w:p>
    <w:p w14:paraId="2B0C67B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预警信息发布后，可根据事态发展、采取措施的效果和专家预警建议，适时调整预警级别并再次发布。</w:t>
      </w:r>
    </w:p>
    <w:bookmarkEnd w:id="77"/>
    <w:bookmarkEnd w:id="78"/>
    <w:p w14:paraId="083962D3">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81" w:name="_Toc26473"/>
      <w:bookmarkStart w:id="82" w:name="_Toc20154"/>
      <w:bookmarkStart w:id="83" w:name="_Toc7447"/>
      <w:r>
        <w:rPr>
          <w:rFonts w:hint="eastAsia" w:ascii="黑体" w:hAnsi="黑体" w:eastAsia="黑体" w:cs="黑体"/>
          <w:b w:val="0"/>
          <w:bCs/>
          <w:color w:val="auto"/>
          <w:sz w:val="28"/>
          <w:szCs w:val="28"/>
          <w:lang w:val="en-US" w:eastAsia="zh-CN" w:bidi="ar-SA"/>
        </w:rPr>
        <w:t>3.2.4 预警行动</w:t>
      </w:r>
      <w:bookmarkEnd w:id="81"/>
    </w:p>
    <w:p w14:paraId="11DEE22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预警信息发布后，市人民政府和有关部门应视事件情况和可能产生的影响，采取预警行动。一般情况下，发布红色预警时，现场应急指挥部的总指挥应当到达现场，组织开展应急响应工作。在发布预警信息、进入预警状态后，应采取以下预警行动：</w:t>
      </w:r>
    </w:p>
    <w:p w14:paraId="2273D3C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（1）应急指挥中心下达启动水源地应急预案的命令。</w:t>
      </w:r>
    </w:p>
    <w:p w14:paraId="30FAFA0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（2）通知现场应急指挥部中的有关单位和人员做好应急准备，进入待命状态，必要时到达现场开展相关工作。</w:t>
      </w:r>
    </w:p>
    <w:p w14:paraId="4D471AE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（3）通知水源地对应的供水单位进入待命状态，做好停止取水、深度处理、低压供水或启动备用水源等准备。</w:t>
      </w:r>
    </w:p>
    <w:p w14:paraId="1A5CE4C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（4）加强信息监控，核实突发环境事件污染来源、进入水体的污染物种类和总量、污染扩散范围等信息。</w:t>
      </w:r>
    </w:p>
    <w:p w14:paraId="7C72AFF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（5）通知应急监测组开展应急监测或做好应急监测准备。</w:t>
      </w:r>
    </w:p>
    <w:p w14:paraId="5051E7D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（6）做好事件信息上报和通报。</w:t>
      </w:r>
    </w:p>
    <w:p w14:paraId="62E3301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（7）通知应急物资保障组调集所需应急物资和设备，做好应急保障。</w:t>
      </w:r>
    </w:p>
    <w:p w14:paraId="5148E75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（8）在危险区域设置提示或警告标志。</w:t>
      </w:r>
    </w:p>
    <w:p w14:paraId="41BDABC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（9）必要时，及时通过媒体向公众发布信息。</w:t>
      </w:r>
    </w:p>
    <w:p w14:paraId="4CF3B0B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（10）加强舆情监测、引导和应对工作。</w:t>
      </w:r>
    </w:p>
    <w:p w14:paraId="7520E3DF">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84" w:name="_Toc6243"/>
      <w:r>
        <w:rPr>
          <w:rFonts w:hint="eastAsia" w:ascii="黑体" w:hAnsi="黑体" w:eastAsia="黑体" w:cs="黑体"/>
          <w:b w:val="0"/>
          <w:bCs/>
          <w:color w:val="auto"/>
          <w:sz w:val="28"/>
          <w:szCs w:val="28"/>
          <w:lang w:val="en-US" w:eastAsia="zh-CN" w:bidi="ar-SA"/>
        </w:rPr>
        <w:t>3.2.5 预警解除</w:t>
      </w:r>
      <w:bookmarkEnd w:id="82"/>
      <w:bookmarkEnd w:id="83"/>
      <w:bookmarkEnd w:id="84"/>
    </w:p>
    <w:p w14:paraId="68A0D00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当有事实证明不可能发生水源地突发环境事件或者判断危险已经解除的，由水环境应急指挥部宣布解除预警，终止应急响应措施符合下列情形之一的，可终止应急响应。</w:t>
      </w:r>
    </w:p>
    <w:p w14:paraId="68D8B51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（1）进入水源保护区陆域范围的污染物已成功围堵，且清运至水源保护区外，未向水域扩散时。</w:t>
      </w:r>
    </w:p>
    <w:p w14:paraId="7459BE5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（2）进入水源保护区水域范围的污染团已成功拦截或导流至水源保护区外，没有向取水口扩散的风险，且水质监测结果稳定达标。</w:t>
      </w:r>
    </w:p>
    <w:p w14:paraId="2135963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（3）水质监测结果尚未稳定达标，但根据应急专家组建议可恢复正常取水时。</w:t>
      </w:r>
    </w:p>
    <w:p w14:paraId="71ABBBA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预警解除通过广播、电视、报刊、通信、信息网络、报警器、宣传车或组织人员通知住户等方式进行，对老、幼、病、残、孕等特殊人群和报警盲市应当采取有针对性的公告方式。</w:t>
      </w:r>
    </w:p>
    <w:p w14:paraId="5E9CC4F8">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85" w:name="_Toc2667"/>
      <w:bookmarkStart w:id="86" w:name="_Toc17128"/>
      <w:bookmarkStart w:id="87" w:name="_Toc19080"/>
      <w:r>
        <w:rPr>
          <w:rFonts w:hint="eastAsia" w:ascii="黑体" w:hAnsi="黑体" w:eastAsia="黑体" w:cs="黑体"/>
          <w:b w:val="0"/>
          <w:bCs/>
          <w:color w:val="auto"/>
          <w:sz w:val="32"/>
          <w:szCs w:val="32"/>
          <w:lang w:val="en-US" w:eastAsia="zh-CN" w:bidi="ar-SA"/>
        </w:rPr>
        <w:t>3.3 信息报告与通报</w:t>
      </w:r>
      <w:bookmarkEnd w:id="85"/>
      <w:bookmarkEnd w:id="86"/>
      <w:bookmarkEnd w:id="87"/>
    </w:p>
    <w:p w14:paraId="27DF52C1">
      <w:pPr>
        <w:pStyle w:val="55"/>
        <w:pageBreakBefore w:val="0"/>
        <w:widowControl w:val="0"/>
        <w:kinsoku/>
        <w:wordWrap/>
        <w:overflowPunct/>
        <w:topLinePunct w:val="0"/>
        <w:bidi w:val="0"/>
        <w:adjustRightInd/>
        <w:snapToGrid/>
        <w:spacing w:line="360" w:lineRule="auto"/>
        <w:ind w:left="0" w:leftChars="0"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1"/>
          <w:sz w:val="32"/>
          <w:szCs w:val="32"/>
          <w:lang w:val="en-US" w:eastAsia="zh-CN" w:bidi="ar-SA"/>
        </w:rPr>
        <w:t>水环境应急办设立24小时应急值班室（值班电话：12345），随时接报突发环境事件信息，及时做好下情上报，上情下达。</w:t>
      </w:r>
    </w:p>
    <w:p w14:paraId="70D65E6B">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88" w:name="_Toc7614"/>
      <w:bookmarkStart w:id="89" w:name="_Toc32417"/>
      <w:bookmarkStart w:id="90" w:name="_Toc17196"/>
      <w:r>
        <w:rPr>
          <w:rFonts w:hint="eastAsia" w:ascii="黑体" w:hAnsi="黑体" w:eastAsia="黑体" w:cs="黑体"/>
          <w:b w:val="0"/>
          <w:bCs/>
          <w:color w:val="auto"/>
          <w:sz w:val="28"/>
          <w:szCs w:val="28"/>
          <w:lang w:val="en-US" w:eastAsia="zh-CN" w:bidi="ar-SA"/>
        </w:rPr>
        <w:t>3.3.1 信息报告程序</w:t>
      </w:r>
      <w:bookmarkEnd w:id="88"/>
      <w:bookmarkEnd w:id="89"/>
      <w:bookmarkEnd w:id="90"/>
    </w:p>
    <w:p w14:paraId="734347F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（1）发现已经造成或可能造成水源地污染的有关人员和责任单位，应立即向赤壁市人民政府应急组织指挥机构及赤壁市生态环境等部门报告。</w:t>
      </w:r>
    </w:p>
    <w:p w14:paraId="40D2FDB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（2）水源地突发环境事件发生地在发现或得知水源地突发环境事件信息后，应立即进行核实，了解有关情况。经过核实后，第一时间向水环境应急指挥部及水环境应急办等部门报告。</w:t>
      </w:r>
    </w:p>
    <w:p w14:paraId="6D8A704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（3）若咸宁市人民政府主管部门先于赤壁市人民政府主管部门获悉水源地突发环境事件信息的，可要求赤壁市人民政府主管部门核实并报告相应的信息。</w:t>
      </w:r>
    </w:p>
    <w:p w14:paraId="34B054F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（4）特殊情况下，若遇到敏感事件或发生在重点地市、特殊时期，或可能演化为重大、特别重大突发环境事件的信息，有关责任单位和部门应立即向赤壁市人民政府应急组织指挥机构报告。</w:t>
      </w:r>
    </w:p>
    <w:p w14:paraId="4B2EB14F">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91" w:name="_Toc22169"/>
      <w:bookmarkStart w:id="92" w:name="_Toc28402"/>
      <w:bookmarkStart w:id="93" w:name="_Toc7182"/>
      <w:r>
        <w:rPr>
          <w:rFonts w:hint="eastAsia" w:ascii="黑体" w:hAnsi="黑体" w:eastAsia="黑体" w:cs="黑体"/>
          <w:b w:val="0"/>
          <w:bCs/>
          <w:color w:val="auto"/>
          <w:sz w:val="28"/>
          <w:szCs w:val="28"/>
          <w:lang w:val="en-US" w:eastAsia="zh-CN" w:bidi="ar-SA"/>
        </w:rPr>
        <w:t>3.3.2 信息通报程序</w:t>
      </w:r>
      <w:bookmarkEnd w:id="91"/>
      <w:bookmarkEnd w:id="92"/>
      <w:bookmarkEnd w:id="93"/>
    </w:p>
    <w:p w14:paraId="63FEB44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对经核实的水源地突发环境事件，接报的有关部门应向同级人民政府和有关部门通报。通报的部门至少应包括咸宁市生态环境局赤壁市分局、住房城乡建设或水务、应急管理、水利和湖泊、卫生健康等部门；根据水源地突发环境事件的类型和情景，还应通报消防（遇火灾事故）、交通运输（遇道路、水上运输事故）、公安（遇火灾爆炸、道路运输事故）、安监、农业农村（遇大面积死鱼）等部门。</w:t>
      </w:r>
    </w:p>
    <w:p w14:paraId="20411C1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水源地突发环境事件已经或者可能涉及相邻行政区域的，事件发生地人民政府及有关部门应当及时通报相邻区域同级人民政府和有关部门。</w:t>
      </w:r>
    </w:p>
    <w:p w14:paraId="533A116F">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94" w:name="_Toc29046"/>
      <w:bookmarkStart w:id="95" w:name="_Toc14313"/>
      <w:bookmarkStart w:id="96" w:name="_Toc17276"/>
      <w:r>
        <w:rPr>
          <w:rFonts w:hint="eastAsia" w:ascii="黑体" w:hAnsi="黑体" w:eastAsia="黑体" w:cs="黑体"/>
          <w:b w:val="0"/>
          <w:bCs/>
          <w:color w:val="auto"/>
          <w:sz w:val="28"/>
          <w:szCs w:val="28"/>
          <w:lang w:val="en-US" w:eastAsia="zh-CN" w:bidi="ar-SA"/>
        </w:rPr>
        <w:t>3.3.3 信息报告和通报内容</w:t>
      </w:r>
      <w:bookmarkEnd w:id="94"/>
      <w:bookmarkEnd w:id="95"/>
      <w:bookmarkEnd w:id="96"/>
    </w:p>
    <w:p w14:paraId="79C8EFB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按照不同的时间节点，水源地突发环境事件报告分为初报、续报和处理结果报告。初报是发现或得知突发环境事件后的首次报告；续报是查清有关基本情况、事件发展情况后的报告，可随时报告；处理结果报告是突发环境事件处理完毕后的报告。</w:t>
      </w:r>
    </w:p>
    <w:p w14:paraId="58222DC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初报应报告水源地突发环境事件的发生时间、地点、信息来源、事件起因和性质、基本过程、主要污染物和数量、监测结果、人员伤亡情况、水源地受影响情况、事件发展趋势、处置情况、拟采取的措施以及下一步工作建议等初步情况。</w:t>
      </w:r>
    </w:p>
    <w:p w14:paraId="083BFA4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（2）续报应在初报的基础上，报告事件及有关处置措施的进展情况。</w:t>
      </w:r>
    </w:p>
    <w:p w14:paraId="4A75B31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（3）处理结果报告应在初报、续报的基础上，报告突发环境事件的处置措施、过程和结果等详细情况。</w:t>
      </w:r>
    </w:p>
    <w:p w14:paraId="6E77633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可采用传真、网络、邮寄或面呈等方式书面报告，情况紧急时，可通过电话报告，但应及时补充书面报告。书面报告应说明突发环境事件报告单位、报告签发人、联系人及联系电话等内容，并尽可能提供地图、图片以及有关的多媒体资料。</w:t>
      </w:r>
    </w:p>
    <w:p w14:paraId="16007495">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97" w:name="_Toc11261"/>
      <w:bookmarkStart w:id="98" w:name="_Toc28770"/>
      <w:bookmarkStart w:id="99" w:name="_Toc25600"/>
      <w:r>
        <w:rPr>
          <w:rFonts w:hint="eastAsia" w:ascii="黑体" w:hAnsi="黑体" w:eastAsia="黑体" w:cs="黑体"/>
          <w:b w:val="0"/>
          <w:bCs/>
          <w:color w:val="auto"/>
          <w:sz w:val="32"/>
          <w:szCs w:val="32"/>
          <w:lang w:val="en-US" w:eastAsia="zh-CN" w:bidi="ar-SA"/>
        </w:rPr>
        <w:t>3.4 事态研判</w:t>
      </w:r>
      <w:bookmarkEnd w:id="97"/>
      <w:bookmarkEnd w:id="98"/>
      <w:bookmarkEnd w:id="99"/>
    </w:p>
    <w:p w14:paraId="7B5FB93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发布预警后，由现场应急指挥部总指挥按照水源地应急预案中列明的副总指挥、协调办公室、专项工作组成员及名单，迅速组建参加应急指挥的各个工作组，跟踪开展事态研判。</w:t>
      </w:r>
    </w:p>
    <w:p w14:paraId="2B0D97C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事态研判包括以下内容：事故点下游沿河水利设施工程情况、判断污染物进入河流的数量及种类性质、事故点下游水系分布（包括清洁水情况）、距离水源地取水口的距离和可能对水源地造成的危害，以及备用水源地情况。</w:t>
      </w:r>
    </w:p>
    <w:p w14:paraId="20EE991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事态研判的结果，作为制定和动态调整应急响应有关方案、实施应急监测、污染源排查与处置和应急处置的重要基础。</w:t>
      </w:r>
    </w:p>
    <w:p w14:paraId="19494B86">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00" w:name="_Toc16576"/>
      <w:bookmarkStart w:id="101" w:name="_Toc18231"/>
      <w:bookmarkStart w:id="102" w:name="_Toc8530"/>
      <w:r>
        <w:rPr>
          <w:rFonts w:hint="eastAsia" w:ascii="黑体" w:hAnsi="黑体" w:eastAsia="黑体" w:cs="黑体"/>
          <w:b w:val="0"/>
          <w:bCs/>
          <w:color w:val="auto"/>
          <w:sz w:val="32"/>
          <w:szCs w:val="32"/>
          <w:lang w:val="en-US" w:eastAsia="zh-CN" w:bidi="ar-SA"/>
        </w:rPr>
        <w:t>3.5 应急监测</w:t>
      </w:r>
      <w:bookmarkEnd w:id="100"/>
      <w:bookmarkEnd w:id="101"/>
      <w:bookmarkEnd w:id="102"/>
    </w:p>
    <w:p w14:paraId="1D8D5E39">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103" w:name="_Toc17507"/>
      <w:bookmarkStart w:id="104" w:name="_Toc29648"/>
      <w:bookmarkStart w:id="105" w:name="_Toc518"/>
      <w:r>
        <w:rPr>
          <w:rFonts w:hint="eastAsia" w:ascii="黑体" w:hAnsi="黑体" w:eastAsia="黑体" w:cs="黑体"/>
          <w:b w:val="0"/>
          <w:bCs/>
          <w:color w:val="auto"/>
          <w:sz w:val="28"/>
          <w:szCs w:val="28"/>
          <w:lang w:val="en-US" w:eastAsia="zh-CN" w:bidi="ar-SA"/>
        </w:rPr>
        <w:t>3.5.1 开展应急监测的程序</w:t>
      </w:r>
      <w:bookmarkEnd w:id="103"/>
      <w:bookmarkEnd w:id="104"/>
      <w:bookmarkEnd w:id="105"/>
    </w:p>
    <w:p w14:paraId="457F2C5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事件处置初期，实施应急监测的部门（咸宁市生态环境局赤壁市分局牵头，市水利和湖泊局、市卫生健康局和市气象局等部门协助）按照现场应急指挥部命令，根据现场实际情况制定监测方案、设置监测点位（断面）、确定监测频次、组织开展监测、形成监测报告，第一时间向现场应急指挥部报告监测结果和污染浓度变化态势图，并安排人员对突发环境事件监测情况进行全过程记录。</w:t>
      </w:r>
    </w:p>
    <w:p w14:paraId="712CA53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事件处置中期，根据事态发展，如上游来水量、应急处置措施效果等情况，适时调整监测点位（断面）和监测频次。</w:t>
      </w:r>
    </w:p>
    <w:p w14:paraId="198A247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事件处置末期，按照现场应急指挥部命令，停止应急监测，并向现场应急指挥部提交应急监测总结报告。</w:t>
      </w:r>
    </w:p>
    <w:p w14:paraId="0C1AE6B8">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106" w:name="_Toc1338"/>
      <w:bookmarkStart w:id="107" w:name="_Toc30223"/>
      <w:bookmarkStart w:id="108" w:name="_Toc1768"/>
      <w:r>
        <w:rPr>
          <w:rFonts w:hint="eastAsia" w:ascii="黑体" w:hAnsi="黑体" w:eastAsia="黑体" w:cs="黑体"/>
          <w:b w:val="0"/>
          <w:bCs/>
          <w:color w:val="auto"/>
          <w:sz w:val="28"/>
          <w:szCs w:val="28"/>
          <w:lang w:val="en-US" w:eastAsia="zh-CN" w:bidi="ar-SA"/>
        </w:rPr>
        <w:t>3.5.2 制定应急监测方案</w:t>
      </w:r>
      <w:bookmarkEnd w:id="106"/>
      <w:bookmarkEnd w:id="107"/>
      <w:bookmarkEnd w:id="108"/>
    </w:p>
    <w:p w14:paraId="3DEDE3C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应急监测重点是抓住污染带前锋、峰值位置和浓度变化，对污染带移动过程形成动态监控。当污染来源不明时，先通过应急监测确定特征污染物成份，再进行污染源排查和先期处置。</w:t>
      </w:r>
    </w:p>
    <w:p w14:paraId="36C8B7A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集中式饮用水源突发环境事件的应急监测由咸宁市生态环境局赤壁市分局牵头，市气象局及市水利和湖泊局等组成，负责组织协调污染水域环境实时的应急监测；城市供水水质的应急监测由市住房和城乡建设局、市卫生健康局等组成，负责组织协调城市供水质量实时的应急监测。</w:t>
      </w:r>
    </w:p>
    <w:p w14:paraId="3F62BD8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应急监测应按照《突发环境事件应急监测技术规范》（HJ589-2010）规定，在第一时间结合污染现场的实际情况，制定应急监测方案。应急监测原则和注意事项包括但不仅限于以下内容：</w:t>
      </w:r>
    </w:p>
    <w:p w14:paraId="422F912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（1）监测范围。应尽量涵盖水源地突发环境事件的污染范围，并包括事件可能影响区域和污染物本底浓度的监测区域。</w:t>
      </w:r>
    </w:p>
    <w:p w14:paraId="5C099C2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监测布点和频次。以突发环境事件发生地点为中心或源头，结合水文和气象条件，在其扩散方向及可能受到影响的水源地位置合理布点，必要时在事故影响区域内水源取水口、农灌区取水口处设置监测点位（断面）。应采取不同点位（断面）相同间隔时间（视实际情况而定）同步采样监测方式，动态监控污染带移动过程。</w:t>
      </w:r>
    </w:p>
    <w:p w14:paraId="1D3081E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①针对固定源突发环境事件，应对固定源排放口附近水域、下游水源地附近水域进行加密跟踪监测；</w:t>
      </w:r>
    </w:p>
    <w:p w14:paraId="74AD549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②针对流动源、非点源突发环境事件，应对事发区域下游水域、下游水源地附近进行加密跟踪监测；</w:t>
      </w:r>
    </w:p>
    <w:p w14:paraId="609F304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③水华灾害突发事件若发生在一级、二级保护区范围，应对取水口不同水层进行加密跟踪监测。</w:t>
      </w:r>
    </w:p>
    <w:p w14:paraId="2BB66A4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（3）现场采样。应制定采样计划和准备采样器材。采样量应同时满足快速监测、实验室监测和留样的需要。采样频次应考虑污染程度和现场水文条件，按照应急专家组的意见确定。</w:t>
      </w:r>
    </w:p>
    <w:p w14:paraId="5ABAE0F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监测项目。通过现场信息收集、信息研判、代表性样品分析等途径，确定主要污染物及监测项目。监测项目应考虑主要污染物在环境中可能产生的化学反应、衍生成其他有毒有害物质，有条件的地区可同时开展水生生物指标的监测，为后期损害评估提供第一手资料。</w:t>
      </w:r>
    </w:p>
    <w:p w14:paraId="6A6CB95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（5）分析方法。具备现场监测条件的监测项目，应尽量在现场监测。必要时，备份样品送实验室监（复）测，以确认现场定性或定量监测结果的准确性。</w:t>
      </w:r>
    </w:p>
    <w:p w14:paraId="249C5C6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（6）监测结果与数据报告。应按照有关监测技术规范进行数据处理。监测结果可用定性、半定量或定量方式报出。监测结果可采用电话、传真、快报、简报、监测报告等形式第一时间报告现场应急指挥部。</w:t>
      </w:r>
    </w:p>
    <w:p w14:paraId="4858530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（7）监测数据的质量保证。应急监测过程中的样品采集、现场监测、实验室监测、数据统计等环节，都应有质量控制措施，并对应急监测报告实行三级审核。</w:t>
      </w:r>
    </w:p>
    <w:p w14:paraId="2D6FE73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负责监测部门，应根据应急监测方案，安排采样专业人员采样，采取不同点位相同间隔时间（通常为4小时）同步采样监测方式，对污染物质的种类、数量、浓度、影响范围进行监测，结合扩散规律分析变化趋势及可能的危害，形成应急监测报告，并安排人员对应急监测情况进行全过程记录，建立应急监测档案。</w:t>
      </w:r>
    </w:p>
    <w:p w14:paraId="73ED053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应急监测数据的整理分析应本着及时快速报送的原则，以电话、传真、快报、简报、监测报告等形式，将监测结果在第一时间上报给饮用水现场应急指挥部。根据饮用水现场应急指挥部终止应急处置命令，形成监测结论总结报告，报饮用水现场应急指挥部。</w:t>
      </w:r>
    </w:p>
    <w:p w14:paraId="7747FDBC">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09" w:name="_Toc23934"/>
      <w:bookmarkStart w:id="110" w:name="_Toc32138"/>
      <w:bookmarkStart w:id="111" w:name="_Toc17788"/>
      <w:r>
        <w:rPr>
          <w:rFonts w:hint="eastAsia" w:ascii="黑体" w:hAnsi="黑体" w:eastAsia="黑体" w:cs="黑体"/>
          <w:b w:val="0"/>
          <w:bCs/>
          <w:color w:val="auto"/>
          <w:sz w:val="32"/>
          <w:szCs w:val="32"/>
          <w:lang w:val="en-US" w:eastAsia="zh-CN" w:bidi="ar-SA"/>
        </w:rPr>
        <w:t>3.6 污染源排查与处置</w:t>
      </w:r>
      <w:bookmarkEnd w:id="109"/>
      <w:bookmarkEnd w:id="110"/>
      <w:bookmarkEnd w:id="111"/>
    </w:p>
    <w:p w14:paraId="0A9262BF">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112" w:name="_Toc19148"/>
      <w:bookmarkStart w:id="113" w:name="_Toc30822"/>
      <w:bookmarkStart w:id="114" w:name="_Toc11265"/>
      <w:r>
        <w:rPr>
          <w:rFonts w:hint="eastAsia" w:ascii="黑体" w:hAnsi="黑体" w:eastAsia="黑体" w:cs="黑体"/>
          <w:b w:val="0"/>
          <w:bCs/>
          <w:color w:val="auto"/>
          <w:sz w:val="28"/>
          <w:szCs w:val="28"/>
          <w:lang w:val="en-US" w:eastAsia="zh-CN" w:bidi="ar-SA"/>
        </w:rPr>
        <w:t>3.6.1 明确排查对象</w:t>
      </w:r>
      <w:bookmarkEnd w:id="112"/>
      <w:bookmarkEnd w:id="113"/>
      <w:bookmarkEnd w:id="114"/>
    </w:p>
    <w:p w14:paraId="33B34CE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当水质监测发现异常、污染物来源不确定时，应明确负责开展溯源分析的部门、责任人及工作程序。根据特征污染物种类、浓度变化、释放总量、释放路径、释放时间，以及当时的水文和气象条件，迅速组织开展污染源排查。</w:t>
      </w:r>
    </w:p>
    <w:p w14:paraId="257C490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针对不同类型污染物的排查重点和对象如下。</w:t>
      </w:r>
    </w:p>
    <w:p w14:paraId="1199643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（1）有机类污染：重点排查生活污水处理厂、工业企业，调查污水处理设施运行、尾水排放的异常情况。</w:t>
      </w:r>
    </w:p>
    <w:p w14:paraId="16634F5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营养盐类污染：重点排查生活污水处理厂、工业企业、农田种植户、农村居民点、医疗场所等,调查污水处理设施运行、养殖废物处理处置、农药化肥使用、农村生活污染、医疗废水处理及消毒设施的异常情况。</w:t>
      </w:r>
    </w:p>
    <w:p w14:paraId="11B3093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（3）细菌类污染：重点排查生活污水处理厂、农村居民点，调查污水处理设施运行、医疗场所、农村生活污染的异常情况。</w:t>
      </w:r>
    </w:p>
    <w:p w14:paraId="4BD0475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（4）农药类污染：重点排查农药制造有关的工业企业、果园种植园（户）、农田种植户、农灌退水排放口，调查农药使用和流失的异常情况。</w:t>
      </w:r>
    </w:p>
    <w:p w14:paraId="40201AC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（5）石油类污染：重点排查加油站、运输车辆、港口、码头、洗舱基地、运输船舶、油气管线、石油开采、加工和存贮的工业企业，调查上述企业和单位的异常情况。</w:t>
      </w:r>
    </w:p>
    <w:p w14:paraId="12B3F7F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重金属及其他有毒有害物质污染：重点排查采矿及选矿的工业企业（含化工园区）、尾矿库、危险废物储存单位、危险品仓库和装卸码头、危化品运输船舶、危化品运输车辆等，调查上述企业和单位的异常情况。</w:t>
      </w:r>
    </w:p>
    <w:p w14:paraId="05324817">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115" w:name="_Toc15746"/>
      <w:bookmarkStart w:id="116" w:name="_Toc24602"/>
      <w:bookmarkStart w:id="117" w:name="_Toc917"/>
      <w:r>
        <w:rPr>
          <w:rFonts w:hint="eastAsia" w:ascii="黑体" w:hAnsi="黑体" w:eastAsia="黑体" w:cs="黑体"/>
          <w:b w:val="0"/>
          <w:bCs/>
          <w:color w:val="auto"/>
          <w:sz w:val="28"/>
          <w:szCs w:val="28"/>
          <w:lang w:val="en-US" w:eastAsia="zh-CN" w:bidi="ar-SA"/>
        </w:rPr>
        <w:t>3.6.2 切断污染源</w:t>
      </w:r>
      <w:bookmarkEnd w:id="115"/>
      <w:bookmarkEnd w:id="116"/>
      <w:bookmarkEnd w:id="117"/>
    </w:p>
    <w:p w14:paraId="2D4EC84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应急处置组负责对水源地应急预案适用地域范围内的污染源实施切断；对水源地应急预案适用地域范围外的污染源，按有关突发环境事件应急预案要求进行处置。</w:t>
      </w:r>
    </w:p>
    <w:p w14:paraId="6F59F3A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处置措施主要采取切断污染源、收集和围堵污染物等，包括但不限于以下内容:</w:t>
      </w:r>
    </w:p>
    <w:p w14:paraId="0105930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（1）对发生非正常排放或有毒有害物质泄漏的固定源突发环境事件，应尽快采取关闭、封堵、收集、转移等措施，切断污染源或泄漏源；</w:t>
      </w:r>
    </w:p>
    <w:p w14:paraId="0B834F8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对道路交通运输过程中发生的流动源突发事件，由市交通运输局、生态环境局等组织人员利用路面系统的导流槽、应急池，若无导流槽、应急池等装置时可紧急设置围堰、闸坝等，对污染源进行围堵并收集污染物；</w:t>
      </w:r>
    </w:p>
    <w:p w14:paraId="2C7EA02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（3）对水上船舶运输过程中发生的流动源突发事件，由交通运输局组织人员利用运输船上储备的应急处置物资，主要采取救援打捞、油毡吸附、围油栏、闸坝拦截等方式，对污染源进行围堵并收集污染物；</w:t>
      </w:r>
    </w:p>
    <w:p w14:paraId="4734608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（4）对非点源突发事件，由市农业农村局、生态环境局，通过停止施放、闸坝拦截、收集、转移等方式，对污染源进行围堵及收集;</w:t>
      </w:r>
    </w:p>
    <w:p w14:paraId="38D0AFB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（5）启动应急收集系统集中收集陆域污染物，设立拦截设施，防止污染物在陆域漫延，组织有关部门对污染物进行回收处置；</w:t>
      </w:r>
    </w:p>
    <w:p w14:paraId="3EB1B40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根据现场事态发展对扩散至水体的污染物进行处置。水质监测发现异常、污染物来源不确定时，应明确负责开展溯源分析的部门、责任人及工作程序。根据特征污染物种类、浓度变化、释放总量、释放路径、释放时间，以及当时的水文和气象条件，迅速组织开展污染源排查。</w:t>
      </w:r>
    </w:p>
    <w:p w14:paraId="11C1DA14">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18" w:name="_Toc17838"/>
      <w:bookmarkStart w:id="119" w:name="_Toc21780"/>
      <w:bookmarkStart w:id="120" w:name="_Toc1311"/>
      <w:r>
        <w:rPr>
          <w:rFonts w:hint="eastAsia" w:ascii="黑体" w:hAnsi="黑体" w:eastAsia="黑体" w:cs="黑体"/>
          <w:b w:val="0"/>
          <w:bCs/>
          <w:color w:val="auto"/>
          <w:sz w:val="32"/>
          <w:szCs w:val="32"/>
          <w:lang w:val="en-US" w:eastAsia="zh-CN" w:bidi="ar-SA"/>
        </w:rPr>
        <w:t>3.7 应急处置</w:t>
      </w:r>
      <w:bookmarkEnd w:id="118"/>
      <w:bookmarkEnd w:id="119"/>
      <w:bookmarkEnd w:id="120"/>
    </w:p>
    <w:p w14:paraId="6E075DAC">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121" w:name="_Toc11864"/>
      <w:bookmarkStart w:id="122" w:name="_Toc4882"/>
      <w:bookmarkStart w:id="123" w:name="_Toc6143"/>
      <w:r>
        <w:rPr>
          <w:rFonts w:hint="eastAsia" w:ascii="黑体" w:hAnsi="黑体" w:eastAsia="黑体" w:cs="黑体"/>
          <w:b w:val="0"/>
          <w:bCs/>
          <w:color w:val="auto"/>
          <w:sz w:val="28"/>
          <w:szCs w:val="28"/>
          <w:lang w:val="en-US" w:eastAsia="zh-CN" w:bidi="ar-SA"/>
        </w:rPr>
        <w:t>3.7.1 制定现场处置</w:t>
      </w:r>
      <w:bookmarkEnd w:id="121"/>
      <w:bookmarkEnd w:id="122"/>
      <w:r>
        <w:rPr>
          <w:rFonts w:hint="eastAsia" w:ascii="黑体" w:hAnsi="黑体" w:eastAsia="黑体" w:cs="黑体"/>
          <w:b w:val="0"/>
          <w:bCs/>
          <w:color w:val="auto"/>
          <w:sz w:val="28"/>
          <w:szCs w:val="28"/>
          <w:lang w:val="en-US" w:eastAsia="zh-CN" w:bidi="ar-SA"/>
        </w:rPr>
        <w:t>方案</w:t>
      </w:r>
      <w:bookmarkEnd w:id="123"/>
    </w:p>
    <w:p w14:paraId="7222256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现场处置方案由现场应急指挥部制订，现场处置要立足于彻底消除污染危害，避免遗留后患，依靠科技和专家力量，尽可能控制和缩小已排出污染物的扩散、漫延范围，把水源地突发环境事件危害降低到最小程度。</w:t>
      </w:r>
    </w:p>
    <w:p w14:paraId="4B104A3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（1）应急处置组及应急监测组迅速赶赴现场鉴定、识别、核实造成污染的种类、性质、污染方式、危害程度及受影响范围和边界，判明事件的性质和危害程度。</w:t>
      </w:r>
    </w:p>
    <w:p w14:paraId="25AE370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（2）应急处置组采取一切控制措施如切断泄漏源、关闭闸门、设置围堰、打捞污染物、调水引流、人工增雨、水体增氧等减小或消除污染物污染的范围、程度。</w:t>
      </w:r>
    </w:p>
    <w:p w14:paraId="6ABD852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当确定饮用水水源受污染时，应急供水保障组适时启动供水应急预案，及时调整水处理工艺，强化水处理工艺的净化效果。保障出厂自来水水质达标，必要时采取联网供水、限水、停水、减压供水、改路供水等特殊处理措施，启用应急备用水源地，使用地下水应急供水、供应纯净水等措施保证饮用水安全。</w:t>
      </w:r>
    </w:p>
    <w:p w14:paraId="61FD78D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（4）当水源保护区水污染危及人群健康时，医疗救护和卫生防疫组加强疾病预防控制工作，对因饮用水源污染可能导致的疾病、疫情进行应急处置。</w:t>
      </w:r>
    </w:p>
    <w:p w14:paraId="276AD16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（5）应急物资保障组保证应急物资和经费及时到位。根据突发事件应急处置需要，协调当地乡镇政府及时调集应急物资和筹集应急经费。</w:t>
      </w:r>
    </w:p>
    <w:p w14:paraId="5CD5E14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（6）警戒和治安组应做好污染区域的现场保护、隔离、交通疏导和人员疏散。</w:t>
      </w:r>
    </w:p>
    <w:p w14:paraId="35D2697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（7）新闻宣传组应把握全市的舆论导向，指导各新闻单位做好相关报道工作。</w:t>
      </w:r>
    </w:p>
    <w:p w14:paraId="295C4A7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现场处置方案包括但不仅限于以下内容：应急监测、污染处置措施、物资调集、应急队伍和人员安排、供水单位应对等。</w:t>
      </w:r>
    </w:p>
    <w:p w14:paraId="16E1A35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根据污染特征，水源地突发环境事件的污染处置措施如下：</w:t>
      </w:r>
    </w:p>
    <w:p w14:paraId="2FDCD3E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水华灾害突发事件。对一级、二级水源保护区的水华发生区域，采取物理方法减少和控制藻类增长；有条件的，可采用生态调水的方式，通过增加水体扰动控制水华灾害。藻类污染物的处理一般需要综合处置，对于藻类细胞本身，可以通过改性黏土吸附沉降或者利用构筑物气浮等物理手段去除，也可通过预氧化对藻类细胞灭活的方式去除，对嗅味物质、藻毒素等藻类代谢产物，宜采取氯、高锰酸钾、过氧化氢等氧化与粉末活性炭吸附单独或组合使用进行控制。</w:t>
      </w:r>
    </w:p>
    <w:p w14:paraId="052BA76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水体内污染物治理、总量或浓度削减。根据应急专家组等意见，制定综合处置方案，经现场应急指挥部确认后实施。一般采取隔离、吸附、打捞、扰动等物理方法，氧化、沉淀等化学方法，或利用上游调水等稀释方法，可以采取一种或多种方式，力争短时间内削减污染物浓度。现场应急指挥部可根据需要，对水源地汇水区域内的污染物排放企业实施停产、减产、限产等措施，削减水域污染物总量或浓度。</w:t>
      </w:r>
    </w:p>
    <w:p w14:paraId="0B32660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应急工程设施拦截污染水体。启用或修建拦截坝、节制闸等工程设施拦截污染水体；通过导流渠将未受污染水体导流至污染水体下游，通过分流沟将污染水体分流至水源保护区外进行收集处置；利用前置库、缓冲池等工程设施，降低污染水体的污染物浓度，为应急处置争取时间。</w:t>
      </w:r>
    </w:p>
    <w:p w14:paraId="45A896B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C00000"/>
          <w:kern w:val="21"/>
          <w:sz w:val="32"/>
          <w:szCs w:val="32"/>
          <w:lang w:val="en-US" w:eastAsia="zh-CN" w:bidi="ar-SA"/>
        </w:rPr>
        <w:t>适用不同超标项目的推荐技术见附件7。</w:t>
      </w:r>
    </w:p>
    <w:p w14:paraId="779D8AA5">
      <w:pPr>
        <w:pStyle w:val="5"/>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firstLine="0" w:firstLineChars="0"/>
        <w:jc w:val="both"/>
        <w:textAlignment w:val="auto"/>
        <w:rPr>
          <w:rFonts w:hint="eastAsia" w:ascii="黑体" w:hAnsi="黑体" w:eastAsia="黑体" w:cs="黑体"/>
          <w:b w:val="0"/>
          <w:bCs/>
          <w:color w:val="auto"/>
          <w:sz w:val="28"/>
          <w:szCs w:val="28"/>
          <w:lang w:val="en-US" w:eastAsia="zh-CN" w:bidi="ar-SA"/>
        </w:rPr>
      </w:pPr>
      <w:bookmarkStart w:id="124" w:name="_Toc2858"/>
      <w:bookmarkStart w:id="125" w:name="_Toc1895"/>
      <w:bookmarkStart w:id="126" w:name="_Toc24260"/>
      <w:r>
        <w:rPr>
          <w:rFonts w:hint="eastAsia" w:ascii="黑体" w:hAnsi="黑体" w:eastAsia="黑体" w:cs="黑体"/>
          <w:b w:val="0"/>
          <w:bCs/>
          <w:color w:val="auto"/>
          <w:sz w:val="28"/>
          <w:szCs w:val="28"/>
          <w:lang w:val="en-US" w:eastAsia="zh-CN" w:bidi="ar-SA"/>
        </w:rPr>
        <w:t>3.7.2 供水安全保障</w:t>
      </w:r>
      <w:bookmarkEnd w:id="124"/>
      <w:bookmarkEnd w:id="125"/>
      <w:bookmarkEnd w:id="126"/>
    </w:p>
    <w:p w14:paraId="00F6D7B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各饮用水源管理单位负责建立与各自来水厂的联系途径，明确与各自来水厂通报联络的工作人员姓名和联系电话。向各自来水厂通报应急监测信息，并在启动预警时第一时间通知供水单位。</w:t>
      </w:r>
    </w:p>
    <w:p w14:paraId="7466BC1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赤壁中心水厂（管辖赤壁一水厂、二水厂）联系人及联系方式：白胜军，13508645811。</w:t>
      </w:r>
    </w:p>
    <w:p w14:paraId="68A97A5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赤壁市中心水厂和其主管部门应根据污染物的种类、浓度、可能影响取水口的时间，及时采取深度处理、低压供水或启动备用水源等应急措施，并加强污染物监测，待水质满足取水要求时恢复取水和供水。</w:t>
      </w:r>
    </w:p>
    <w:p w14:paraId="62CE657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根据调查了解，目前赤壁市目前暂无建成的备用饮用水水源地。赤壁市住房和城乡建设局已于2018年5月启动赤壁市第二水源地建设相关工作，并组织专家、市相关部门领导对赤壁市境内现有水库、长江赤壁段以及崇阳青山水库的水环境状况进行了考察、摸底，经综合比选，最终确定在长江赤壁段设置1个备用水源地。目前该项目已完成了水资源论证及防洪影响评价报告、项目建议书、水文分析报告、航道通航论证报告以及可行性研究报告。根据赤壁市住房和城乡建设局的第二饮用水源地规划建设方案，其基本情况如下：</w:t>
      </w:r>
    </w:p>
    <w:p w14:paraId="1CB4305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（1）工程规模</w:t>
      </w:r>
    </w:p>
    <w:p w14:paraId="09A11B8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该工程远期规划总规模30万m</w:t>
      </w:r>
      <w:r>
        <w:rPr>
          <w:rFonts w:hint="eastAsia" w:ascii="仿宋_GB2312" w:hAnsi="仿宋_GB2312" w:eastAsia="仿宋_GB2312" w:cs="仿宋_GB2312"/>
          <w:color w:val="auto"/>
          <w:kern w:val="21"/>
          <w:sz w:val="32"/>
          <w:szCs w:val="32"/>
          <w:vertAlign w:val="superscript"/>
          <w:lang w:val="en-US" w:eastAsia="zh-CN" w:bidi="ar-SA"/>
        </w:rPr>
        <w:t>3</w:t>
      </w:r>
      <w:r>
        <w:rPr>
          <w:rFonts w:hint="eastAsia" w:ascii="仿宋_GB2312" w:hAnsi="仿宋_GB2312" w:eastAsia="仿宋_GB2312" w:cs="仿宋_GB2312"/>
          <w:color w:val="auto"/>
          <w:kern w:val="21"/>
          <w:sz w:val="32"/>
          <w:szCs w:val="32"/>
          <w:lang w:val="en-US" w:eastAsia="zh-CN" w:bidi="ar-SA"/>
        </w:rPr>
        <w:t>/d，近期规模为10万m</w:t>
      </w:r>
      <w:r>
        <w:rPr>
          <w:rFonts w:hint="eastAsia" w:ascii="仿宋_GB2312" w:hAnsi="仿宋_GB2312" w:eastAsia="仿宋_GB2312" w:cs="仿宋_GB2312"/>
          <w:color w:val="auto"/>
          <w:kern w:val="21"/>
          <w:sz w:val="32"/>
          <w:szCs w:val="32"/>
          <w:vertAlign w:val="superscript"/>
          <w:lang w:val="en-US" w:eastAsia="zh-CN" w:bidi="ar-SA"/>
        </w:rPr>
        <w:t>3</w:t>
      </w:r>
      <w:r>
        <w:rPr>
          <w:rFonts w:hint="eastAsia" w:ascii="仿宋_GB2312" w:hAnsi="仿宋_GB2312" w:eastAsia="仿宋_GB2312" w:cs="仿宋_GB2312"/>
          <w:color w:val="auto"/>
          <w:kern w:val="21"/>
          <w:sz w:val="32"/>
          <w:szCs w:val="32"/>
          <w:lang w:val="en-US" w:eastAsia="zh-CN" w:bidi="ar-SA"/>
        </w:rPr>
        <w:t>/d。箱式取水头部、圆形取水泵房等土建工程按30万m</w:t>
      </w:r>
      <w:r>
        <w:rPr>
          <w:rFonts w:hint="eastAsia" w:ascii="仿宋_GB2312" w:hAnsi="仿宋_GB2312" w:eastAsia="仿宋_GB2312" w:cs="仿宋_GB2312"/>
          <w:color w:val="auto"/>
          <w:kern w:val="21"/>
          <w:sz w:val="32"/>
          <w:szCs w:val="32"/>
          <w:vertAlign w:val="superscript"/>
          <w:lang w:val="en-US" w:eastAsia="zh-CN" w:bidi="ar-SA"/>
        </w:rPr>
        <w:t>3</w:t>
      </w:r>
      <w:r>
        <w:rPr>
          <w:rFonts w:hint="eastAsia" w:ascii="仿宋_GB2312" w:hAnsi="仿宋_GB2312" w:eastAsia="仿宋_GB2312" w:cs="仿宋_GB2312"/>
          <w:color w:val="auto"/>
          <w:kern w:val="21"/>
          <w:sz w:val="32"/>
          <w:szCs w:val="32"/>
          <w:lang w:val="en-US" w:eastAsia="zh-CN" w:bidi="ar-SA"/>
        </w:rPr>
        <w:t>/d规模建成，反应沉淀池、滤池、清水池按30万m</w:t>
      </w:r>
      <w:r>
        <w:rPr>
          <w:rFonts w:hint="eastAsia" w:ascii="仿宋_GB2312" w:hAnsi="仿宋_GB2312" w:eastAsia="仿宋_GB2312" w:cs="仿宋_GB2312"/>
          <w:color w:val="auto"/>
          <w:kern w:val="21"/>
          <w:sz w:val="32"/>
          <w:szCs w:val="32"/>
          <w:vertAlign w:val="superscript"/>
          <w:lang w:val="en-US" w:eastAsia="zh-CN" w:bidi="ar-SA"/>
        </w:rPr>
        <w:t>3</w:t>
      </w:r>
      <w:r>
        <w:rPr>
          <w:rFonts w:hint="eastAsia" w:ascii="仿宋_GB2312" w:hAnsi="仿宋_GB2312" w:eastAsia="仿宋_GB2312" w:cs="仿宋_GB2312"/>
          <w:color w:val="auto"/>
          <w:kern w:val="21"/>
          <w:sz w:val="32"/>
          <w:szCs w:val="32"/>
          <w:lang w:val="en-US" w:eastAsia="zh-CN" w:bidi="ar-SA"/>
        </w:rPr>
        <w:t>/d规模设计，沿线清水管按近期铺设一根DN1400球墨铸铁管。</w:t>
      </w:r>
    </w:p>
    <w:p w14:paraId="530C258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（2）供水系统方案</w:t>
      </w:r>
    </w:p>
    <w:p w14:paraId="7C28648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该工程拟在赤壁镇三国鼎立广场西南侧约700m处新建净水厂一座，取水点位于赤壁镇赤壁山矶头上游1.2km处，在车埠镇东南侧约2km处设置中间加压泵站一座。净水厂制备的清水通过送水泵房一次加压，利用输水管线输送至中间加压泵站进行二次加压再输到市中心城区。</w:t>
      </w:r>
    </w:p>
    <w:p w14:paraId="7DFC386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（3）输水线路方案</w:t>
      </w:r>
    </w:p>
    <w:p w14:paraId="385D0A1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全线沿蒲洪公路铺设，全长约35km。</w:t>
      </w:r>
    </w:p>
    <w:p w14:paraId="343850D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（4）主要工程内容</w:t>
      </w:r>
    </w:p>
    <w:p w14:paraId="2EE3CBC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该工程主要内容包括：取水工程、原水输水工程、净水厂工程、加压泵站工程和清水输水工程。</w:t>
      </w:r>
    </w:p>
    <w:p w14:paraId="4DF566B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（5）工程建设征地与拆迁</w:t>
      </w:r>
    </w:p>
    <w:p w14:paraId="77A2D81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该工程建设征地总面积1897亩，其中永久征地面积238亩，临时用地面积1659亩，拆迁面积约600平方米。</w:t>
      </w:r>
    </w:p>
    <w:p w14:paraId="6DC9714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（6）投资估算</w:t>
      </w:r>
    </w:p>
    <w:p w14:paraId="785D130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该项目投资估算为5.8亿元。</w:t>
      </w:r>
    </w:p>
    <w:p w14:paraId="1CDF97D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（7）预期投运时间</w:t>
      </w:r>
    </w:p>
    <w:p w14:paraId="242FAD7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根据向相关部门确认，赤壁市备用饮用水水源地已开工建设，预期在2021年12月建成。</w:t>
      </w:r>
    </w:p>
    <w:p w14:paraId="1FB1380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（8）保障措施</w:t>
      </w:r>
    </w:p>
    <w:p w14:paraId="2F0528E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由于赤壁市备用水源预期于2021年12月投运。本次预案修编基准年为2021年，有效期限为3年。在赤壁市备用水源建成前，由赤壁市住房和城乡建设局，其他部门配合，积极调配周边乡镇饮用水源地水资源，同时使用应急供水车、桶装水、矿泉水、纯净水等设施暂时保障居民用水。在赤壁市备用水源建成后，采用备用饮用水源地进行供水。</w:t>
      </w:r>
    </w:p>
    <w:p w14:paraId="3EE12B19">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27" w:name="_Toc5470"/>
      <w:bookmarkStart w:id="128" w:name="_Toc1330"/>
      <w:bookmarkStart w:id="129" w:name="_Toc20866"/>
      <w:r>
        <w:rPr>
          <w:rFonts w:hint="eastAsia" w:ascii="黑体" w:hAnsi="黑体" w:eastAsia="黑体" w:cs="黑体"/>
          <w:b w:val="0"/>
          <w:bCs/>
          <w:color w:val="auto"/>
          <w:sz w:val="32"/>
          <w:szCs w:val="32"/>
          <w:lang w:val="en-US" w:eastAsia="zh-CN" w:bidi="ar-SA"/>
        </w:rPr>
        <w:t>3.8 物资调集及应急设施启用</w:t>
      </w:r>
      <w:bookmarkEnd w:id="127"/>
      <w:bookmarkEnd w:id="128"/>
      <w:bookmarkEnd w:id="129"/>
    </w:p>
    <w:p w14:paraId="3223354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物资调集由市应急管理局负责人负责，应急物资、装备和设施包括以下内容：</w:t>
      </w:r>
    </w:p>
    <w:p w14:paraId="03A6898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（1）对水体内污染物进行打捞和拦截的物资、装备和设施，如救援打捞设备、油毡、围油栏、筑坝材料、溢出控制装备等。</w:t>
      </w:r>
    </w:p>
    <w:p w14:paraId="56CBB40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（2）控制和消除污染物的物资、装备和设施，如中和剂、灭火剂、解毒剂、吸收剂等。</w:t>
      </w:r>
    </w:p>
    <w:p w14:paraId="7CE3FD1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（3）移除和拦截移动源的装备和设施，如吊车、临时围堰、导流槽、应急池等。</w:t>
      </w:r>
    </w:p>
    <w:p w14:paraId="01A011C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（4）雨水口垃圾清运和拦截的装备和设施，如格栅、清运车、临时设置的导流槽等。</w:t>
      </w:r>
    </w:p>
    <w:p w14:paraId="0E77E89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（5）针对水华灾害，消除有毒有害物质产生条件、清除藻类的物资、装备和设施，如增氧机、除草船等。</w:t>
      </w:r>
    </w:p>
    <w:p w14:paraId="776E5DA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（6）对污染物进行拦截、导流、分流及降解的应急工程设施，如拦截坝、节制闸、导流渠、分流沟、前置库等。</w:t>
      </w:r>
    </w:p>
    <w:p w14:paraId="6593C213">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30" w:name="_Toc25714"/>
      <w:bookmarkStart w:id="131" w:name="_Toc9934"/>
      <w:bookmarkStart w:id="132" w:name="_Toc14566"/>
      <w:r>
        <w:rPr>
          <w:rFonts w:hint="eastAsia" w:ascii="黑体" w:hAnsi="黑体" w:eastAsia="黑体" w:cs="黑体"/>
          <w:b w:val="0"/>
          <w:bCs/>
          <w:color w:val="auto"/>
          <w:sz w:val="32"/>
          <w:szCs w:val="32"/>
          <w:lang w:val="en-US" w:eastAsia="zh-CN" w:bidi="ar-SA"/>
        </w:rPr>
        <w:t>3.9 舆情监测与信息发布</w:t>
      </w:r>
      <w:bookmarkEnd w:id="130"/>
      <w:bookmarkEnd w:id="131"/>
      <w:bookmarkEnd w:id="132"/>
    </w:p>
    <w:p w14:paraId="0A7A276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现场应急指挥部在水源地突发环境事件发生后，应第一时间借助电视、广播、报纸、互联网、微信、公众告知等多种途径，主动、及时、准确、客观地向社会及时准确发布事态最新情况，公布咨询电话，组织专家解读；加强相关舆情监测，回应社会关切，澄清不实信息，做好舆论引导工作；并针对舆情及时发布事件原因、污染程度、影响区域、已采取的措施及成效、公众应注意的防范措施、热线电话等，避免引起群众恐慌，为事件处理创造稳定的外部环境。任何单位和个人未经地方人民政府和应急组织指挥组授权，不得向社会发布关于水污染事件的信息。</w:t>
      </w:r>
    </w:p>
    <w:p w14:paraId="248F0B59">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33" w:name="_Toc3918"/>
      <w:bookmarkStart w:id="134" w:name="_Toc17807"/>
      <w:bookmarkStart w:id="135" w:name="_Toc7869"/>
      <w:r>
        <w:rPr>
          <w:rFonts w:hint="eastAsia" w:ascii="黑体" w:hAnsi="黑体" w:eastAsia="黑体" w:cs="黑体"/>
          <w:b w:val="0"/>
          <w:bCs/>
          <w:color w:val="auto"/>
          <w:sz w:val="32"/>
          <w:szCs w:val="32"/>
          <w:lang w:val="en-US" w:eastAsia="zh-CN" w:bidi="ar-SA"/>
        </w:rPr>
        <w:t>3.10 响应中止</w:t>
      </w:r>
      <w:bookmarkEnd w:id="133"/>
      <w:bookmarkEnd w:id="134"/>
      <w:bookmarkEnd w:id="135"/>
    </w:p>
    <w:p w14:paraId="3AE1C56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环境应急指挥部办公室根据应急调查、应急监测、应急处置等信息，提出应急响应终止建议，报水环境应急指挥部批准，由信息新闻组通过电话、电视、网络等媒体向社会发布应急响应终止信息，转入正常工作。</w:t>
      </w:r>
    </w:p>
    <w:p w14:paraId="568BFFB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按照“谁启动、谁终止”的原则，符合下列情形之一的， 可终止应急响应。</w:t>
      </w:r>
    </w:p>
    <w:p w14:paraId="7D46F06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（1）进入水源保护区陆域范围的污染物已成功围堵，且清运至水源保护区外，未向水域扩散时。</w:t>
      </w:r>
    </w:p>
    <w:p w14:paraId="34BC05D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（2）进入水源保护区水域范围的污染团已成功拦截或导流至水源保护区外，没有向取水口扩散的风险，且水质监测结果稳定达标。</w:t>
      </w:r>
    </w:p>
    <w:p w14:paraId="51D9498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（3）水质监测结果尚未稳定达标，但根据应急专家组建议可恢复正常取水时。</w:t>
      </w:r>
    </w:p>
    <w:p w14:paraId="6964BC2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赤壁市集中式地表水饮用水水源地突发环境事件应急结束宣布格式内容见附件13。</w:t>
      </w:r>
    </w:p>
    <w:p w14:paraId="39E0050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eastAsia="宋体" w:cs="Times New Roman"/>
          <w:color w:val="auto"/>
          <w:kern w:val="21"/>
          <w:sz w:val="24"/>
          <w:szCs w:val="24"/>
          <w:lang w:val="en-US" w:eastAsia="zh-CN" w:bidi="ar-SA"/>
        </w:rPr>
      </w:pPr>
    </w:p>
    <w:p w14:paraId="4CE71CE9">
      <w:pPr>
        <w:pStyle w:val="25"/>
        <w:rPr>
          <w:rFonts w:hint="default" w:ascii="Times New Roman" w:hAnsi="Times New Roman" w:eastAsia="宋体" w:cs="Times New Roman"/>
          <w:color w:val="auto"/>
          <w:sz w:val="24"/>
          <w:szCs w:val="24"/>
          <w:lang w:val="en-US" w:eastAsia="zh-CN"/>
        </w:rPr>
      </w:pPr>
    </w:p>
    <w:p w14:paraId="15840B12">
      <w:pPr>
        <w:pStyle w:val="25"/>
        <w:rPr>
          <w:rFonts w:hint="default" w:ascii="Times New Roman" w:hAnsi="Times New Roman" w:eastAsia="宋体" w:cs="Times New Roman"/>
          <w:color w:val="auto"/>
          <w:sz w:val="24"/>
          <w:szCs w:val="24"/>
          <w:lang w:val="en-US" w:eastAsia="zh-CN"/>
        </w:rPr>
        <w:sectPr>
          <w:headerReference r:id="rId9" w:type="default"/>
          <w:footerReference r:id="rId10" w:type="default"/>
          <w:pgSz w:w="11906" w:h="16838"/>
          <w:pgMar w:top="1440" w:right="1800" w:bottom="1440" w:left="1800" w:header="1134" w:footer="992" w:gutter="0"/>
          <w:pgBorders>
            <w:top w:val="none" w:sz="0" w:space="0"/>
            <w:left w:val="none" w:sz="0" w:space="0"/>
            <w:bottom w:val="none" w:sz="0" w:space="0"/>
            <w:right w:val="none" w:sz="0" w:space="0"/>
          </w:pgBorders>
          <w:pgNumType w:fmt="numberInDash"/>
          <w:cols w:space="425" w:num="1"/>
          <w:docGrid w:type="lines" w:linePitch="312" w:charSpace="0"/>
        </w:sectPr>
      </w:pPr>
    </w:p>
    <w:bookmarkEnd w:id="56"/>
    <w:bookmarkEnd w:id="57"/>
    <w:bookmarkEnd w:id="58"/>
    <w:bookmarkEnd w:id="59"/>
    <w:p w14:paraId="1D7E135C">
      <w:pPr>
        <w:pStyle w:val="3"/>
        <w:keepNext/>
        <w:keepLines/>
        <w:pageBreakBefore/>
        <w:autoSpaceDE/>
        <w:autoSpaceDN/>
        <w:spacing w:before="340" w:beforeLines="0" w:beforeAutospacing="0" w:after="330" w:afterLines="0" w:afterAutospacing="0" w:line="576" w:lineRule="auto"/>
        <w:ind w:left="0" w:right="0"/>
        <w:jc w:val="center"/>
        <w:rPr>
          <w:rFonts w:hint="default" w:ascii="Times New Roman" w:hAnsi="Times New Roman" w:eastAsia="宋体" w:cs="Times New Roman"/>
          <w:bCs w:val="0"/>
          <w:color w:val="auto"/>
          <w:kern w:val="44"/>
          <w:sz w:val="44"/>
          <w:szCs w:val="22"/>
          <w:lang w:val="en-US" w:eastAsia="zh-CN" w:bidi="ar-SA"/>
        </w:rPr>
      </w:pPr>
      <w:bookmarkStart w:id="136" w:name="_Toc7169"/>
      <w:bookmarkStart w:id="137" w:name="_Toc21838"/>
      <w:bookmarkStart w:id="138" w:name="_Toc21806"/>
      <w:bookmarkStart w:id="139" w:name="_Toc14513"/>
      <w:bookmarkStart w:id="140" w:name="_Toc23368"/>
      <w:r>
        <w:rPr>
          <w:rFonts w:hint="default" w:ascii="Times New Roman" w:hAnsi="Times New Roman" w:eastAsia="宋体" w:cs="Times New Roman"/>
          <w:bCs w:val="0"/>
          <w:color w:val="auto"/>
          <w:kern w:val="44"/>
          <w:sz w:val="44"/>
          <w:szCs w:val="22"/>
          <w:lang w:val="en-US" w:eastAsia="zh-CN" w:bidi="ar-SA"/>
        </w:rPr>
        <w:t xml:space="preserve">4 </w:t>
      </w:r>
      <w:bookmarkEnd w:id="136"/>
      <w:bookmarkEnd w:id="137"/>
      <w:bookmarkEnd w:id="138"/>
      <w:r>
        <w:rPr>
          <w:rFonts w:hint="eastAsia" w:ascii="Times New Roman" w:hAnsi="Times New Roman" w:eastAsia="宋体" w:cs="Times New Roman"/>
          <w:bCs w:val="0"/>
          <w:color w:val="auto"/>
          <w:kern w:val="44"/>
          <w:sz w:val="44"/>
          <w:szCs w:val="22"/>
          <w:lang w:val="en-US" w:eastAsia="zh-CN" w:bidi="ar-SA"/>
        </w:rPr>
        <w:t>后期工作</w:t>
      </w:r>
      <w:bookmarkEnd w:id="139"/>
      <w:bookmarkEnd w:id="140"/>
    </w:p>
    <w:p w14:paraId="4C63842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141" w:name="_bookmark9"/>
      <w:bookmarkEnd w:id="141"/>
      <w:bookmarkStart w:id="142" w:name="_Toc18640"/>
      <w:bookmarkStart w:id="143" w:name="_Toc15444"/>
      <w:bookmarkStart w:id="144" w:name="_Toc2555"/>
      <w:r>
        <w:rPr>
          <w:rFonts w:hint="eastAsia" w:ascii="仿宋_GB2312" w:hAnsi="仿宋_GB2312" w:eastAsia="仿宋_GB2312" w:cs="仿宋_GB2312"/>
          <w:color w:val="auto"/>
          <w:kern w:val="21"/>
          <w:sz w:val="32"/>
          <w:szCs w:val="32"/>
          <w:lang w:val="en-US" w:eastAsia="zh-CN" w:bidi="ar-SA"/>
        </w:rPr>
        <w:t>集中式饮用水水源地突发环境事件应急终止后，由赤壁市人民政府牵头组成的善后处置组研究制定善后污染防控内容和工作要点，根据不同污染类型，组织开展善后处置工作，并组织对事件起因调查，开展损害评估和理赔等后期工作。</w:t>
      </w:r>
    </w:p>
    <w:p w14:paraId="3DB24E9B">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45" w:name="_Toc6764"/>
      <w:bookmarkStart w:id="146" w:name="_Toc4616"/>
      <w:bookmarkStart w:id="147" w:name="_Toc29869"/>
      <w:r>
        <w:rPr>
          <w:rFonts w:hint="eastAsia" w:ascii="黑体" w:hAnsi="黑体" w:eastAsia="黑体" w:cs="黑体"/>
          <w:b w:val="0"/>
          <w:bCs/>
          <w:color w:val="auto"/>
          <w:sz w:val="32"/>
          <w:szCs w:val="32"/>
          <w:lang w:val="en-US" w:eastAsia="zh-CN" w:bidi="ar-SA"/>
        </w:rPr>
        <w:t>4.1 后期防控</w:t>
      </w:r>
      <w:bookmarkEnd w:id="145"/>
      <w:bookmarkEnd w:id="146"/>
      <w:bookmarkEnd w:id="147"/>
    </w:p>
    <w:p w14:paraId="7D549EEE">
      <w:pPr>
        <w:pStyle w:val="55"/>
        <w:pageBreakBefore w:val="0"/>
        <w:widowControl w:val="0"/>
        <w:kinsoku/>
        <w:wordWrap/>
        <w:overflowPunct/>
        <w:topLinePunct w:val="0"/>
        <w:bidi w:val="0"/>
        <w:adjustRightInd/>
        <w:snapToGrid/>
        <w:spacing w:before="0" w:after="0" w:line="360" w:lineRule="auto"/>
        <w:ind w:firstLine="480"/>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源地突发环境事件应急响应终止后，水环境应急指挥部应组织应急监测队伍进行后期污染监测；组织专家制定后期污染治理方案，针对泄漏的油品、化学品进行回收；消除投放药剂的残留毒性和后期效应，防止次生突发环境事件；事件处理过程中产生的二次污染物应采取措施妥善、合法处置。事故处置过程产生的废水污染物收集后由咸宁市生态环境局赤壁市分局委托有处理能力的单位处理达标后排放，事故处置过程产生的固废污染物需妥善安全暂存，委托有能力处置单位妥善处置，若为危险废物须交由有资质单位安全处置；在事故场地及漫延区域的污染物清除完成后，对土壤或水生态系统进行修复；部分污染物导流到水源地下游或其他区域，对这些区域的污染物进行清除等。</w:t>
      </w:r>
    </w:p>
    <w:p w14:paraId="5249A0C5">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48" w:name="_Toc19294"/>
      <w:bookmarkStart w:id="149" w:name="_Toc455"/>
      <w:bookmarkStart w:id="150" w:name="_Toc14597"/>
      <w:r>
        <w:rPr>
          <w:rFonts w:hint="eastAsia" w:ascii="黑体" w:hAnsi="黑体" w:eastAsia="黑体" w:cs="黑体"/>
          <w:b w:val="0"/>
          <w:bCs/>
          <w:color w:val="auto"/>
          <w:sz w:val="32"/>
          <w:szCs w:val="32"/>
          <w:lang w:val="en-US" w:eastAsia="zh-CN" w:bidi="ar-SA"/>
        </w:rPr>
        <w:t>4.2 事件调查</w:t>
      </w:r>
      <w:bookmarkEnd w:id="148"/>
      <w:bookmarkEnd w:id="149"/>
      <w:bookmarkEnd w:id="150"/>
    </w:p>
    <w:p w14:paraId="3D0DE84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源地突发环境事件发生后，根据《突发环境事件调查处理办法》等有关规定，由咸宁市生态环境局赤壁市分局负责牵头，其他部门配合，组织开展事件调查，查明事件原因和性质，应急预案是否科学合理，应急组织机构是否合理，应急队伍能力需要改进的地方，相应程序是否与应急任务相匹配，应急物资是否准备全面，防护设施是否得当，并提出整改防范措施和处理建议。</w:t>
      </w:r>
    </w:p>
    <w:p w14:paraId="33108427">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51" w:name="_Toc24189"/>
      <w:bookmarkStart w:id="152" w:name="_Toc11346"/>
      <w:bookmarkStart w:id="153" w:name="_Toc24826"/>
      <w:r>
        <w:rPr>
          <w:rFonts w:hint="eastAsia" w:ascii="黑体" w:hAnsi="黑体" w:eastAsia="黑体" w:cs="黑体"/>
          <w:b w:val="0"/>
          <w:bCs/>
          <w:color w:val="auto"/>
          <w:sz w:val="32"/>
          <w:szCs w:val="32"/>
          <w:lang w:val="en-US" w:eastAsia="zh-CN" w:bidi="ar-SA"/>
        </w:rPr>
        <w:t>4.3 损害评估</w:t>
      </w:r>
      <w:bookmarkEnd w:id="151"/>
      <w:bookmarkEnd w:id="152"/>
      <w:bookmarkEnd w:id="153"/>
    </w:p>
    <w:p w14:paraId="334573A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赤壁市人民政府应及时委托生态环境损害鉴定评估机构组织开展生态环境损害鉴定评估，并将评估结果向社会公布。评估结论作为事件调查处理、损害赔偿、环境修复和生态恢复重建的依据。</w:t>
      </w:r>
    </w:p>
    <w:p w14:paraId="03181C8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生态环境损害鉴定评估机构应当在突发环境事件发生后即开展污染损害评估前期工作，并在应急处置工作结束后及时制订评估工作方案，具体实施污染损害评估，对事件造成的生态环境损害费用进行量化，评估其损害数额，作为肇事者承担责任的依据。生态环境损害费用包括清除污染的费用、生态环境修复费用、生态环境修复期间服务功能的损失、生态环境功能永久性损害造成的损失以及生态环境损害赔偿调查、鉴定评估等其它合理费用。</w:t>
      </w:r>
    </w:p>
    <w:p w14:paraId="7D8375A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应急处置阶段评估应当于应急处置工作结束后30个工作日内完成。针对涉及面广、损害程度深、因果关系复杂、取证过程漫长等情况特别复杂的突发环境事件损害评估工作，经省生态环境厅批准，可以再延长30个工作日。</w:t>
      </w:r>
    </w:p>
    <w:p w14:paraId="477A9CB4">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54" w:name="_Toc11220"/>
      <w:bookmarkStart w:id="155" w:name="_Toc31274"/>
      <w:bookmarkStart w:id="156" w:name="_Toc24078"/>
      <w:r>
        <w:rPr>
          <w:rFonts w:hint="eastAsia" w:ascii="黑体" w:hAnsi="黑体" w:eastAsia="黑体" w:cs="黑体"/>
          <w:b w:val="0"/>
          <w:bCs/>
          <w:color w:val="auto"/>
          <w:sz w:val="32"/>
          <w:szCs w:val="32"/>
          <w:lang w:val="en-US" w:eastAsia="zh-CN" w:bidi="ar-SA"/>
        </w:rPr>
        <w:t>4.4 善后处置</w:t>
      </w:r>
      <w:bookmarkEnd w:id="154"/>
      <w:bookmarkEnd w:id="155"/>
      <w:bookmarkEnd w:id="156"/>
    </w:p>
    <w:p w14:paraId="34F68E2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由赤壁市人民政府负责，事发地区政府和有关部门配合，开展善后处置工作，内容包括损害赔偿、风险源整改和污染场地修复等具体工作方案。</w:t>
      </w:r>
    </w:p>
    <w:p w14:paraId="7F56648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环境应急工作结束后，咸宁市生态环境局赤壁市分局应继续跟踪监测污染物的变化情况，直至稳定恢复。市卫生健康委员会要做好灾害事故现场的消毒与疫情的监控工作。在应急处置过程中征用的救治、救援物资，交通工具及设施、设备等，应依据有关标准和程序归还，对一次性或损坏的应急用品给予补偿。</w:t>
      </w:r>
    </w:p>
    <w:p w14:paraId="05CE9F6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sectPr>
          <w:pgSz w:w="11906" w:h="16838"/>
          <w:pgMar w:top="1440" w:right="1800" w:bottom="1440" w:left="1800" w:header="1134"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仿宋_GB2312" w:hAnsi="仿宋_GB2312" w:eastAsia="仿宋_GB2312" w:cs="仿宋_GB2312"/>
          <w:color w:val="auto"/>
          <w:kern w:val="21"/>
          <w:sz w:val="32"/>
          <w:szCs w:val="32"/>
          <w:lang w:val="en-US" w:eastAsia="zh-CN" w:bidi="ar-SA"/>
        </w:rPr>
        <w:t>水环境应急指挥部应组织有关专家对受灾范围进行科学评估，提出补偿和对受污染的生态环境进行恢复的建议、计划；协调处理污染赔偿和其他事项。如果环境污染造成了人员伤害，应当依据国家相关规定制定救助、补偿、治疗、抚恤、安置等善后工作方案并实施，对污染区域采取必要的疾病预防措施。</w:t>
      </w:r>
    </w:p>
    <w:bookmarkEnd w:id="142"/>
    <w:bookmarkEnd w:id="143"/>
    <w:bookmarkEnd w:id="144"/>
    <w:p w14:paraId="4DA9CD12">
      <w:pPr>
        <w:pStyle w:val="3"/>
        <w:keepNext/>
        <w:keepLines/>
        <w:pageBreakBefore/>
        <w:autoSpaceDE/>
        <w:autoSpaceDN/>
        <w:spacing w:before="340" w:beforeLines="0" w:beforeAutospacing="0" w:after="330" w:afterLines="0" w:afterAutospacing="0" w:line="576" w:lineRule="auto"/>
        <w:ind w:left="0" w:right="0"/>
        <w:jc w:val="center"/>
        <w:rPr>
          <w:rFonts w:hint="eastAsia" w:ascii="Times New Roman" w:hAnsi="Times New Roman" w:eastAsia="宋体" w:cs="Times New Roman"/>
          <w:bCs w:val="0"/>
          <w:color w:val="auto"/>
          <w:kern w:val="44"/>
          <w:sz w:val="44"/>
          <w:szCs w:val="22"/>
          <w:lang w:val="en-US" w:eastAsia="zh-CN" w:bidi="ar-SA"/>
        </w:rPr>
      </w:pPr>
      <w:bookmarkStart w:id="157" w:name="_Toc618"/>
      <w:bookmarkStart w:id="158" w:name="_Toc1898"/>
      <w:bookmarkStart w:id="159" w:name="_Toc15798"/>
      <w:bookmarkStart w:id="160" w:name="_Toc9453"/>
      <w:bookmarkStart w:id="161" w:name="_Toc31534"/>
      <w:bookmarkStart w:id="162" w:name="_Toc12467"/>
      <w:r>
        <w:rPr>
          <w:rFonts w:hint="eastAsia" w:ascii="Times New Roman" w:hAnsi="Times New Roman" w:eastAsia="宋体" w:cs="Times New Roman"/>
          <w:bCs w:val="0"/>
          <w:color w:val="auto"/>
          <w:kern w:val="44"/>
          <w:sz w:val="44"/>
          <w:szCs w:val="22"/>
          <w:lang w:val="en-US" w:eastAsia="zh-CN" w:bidi="ar-SA"/>
        </w:rPr>
        <w:t xml:space="preserve">5 </w:t>
      </w:r>
      <w:bookmarkEnd w:id="157"/>
      <w:bookmarkEnd w:id="158"/>
      <w:bookmarkEnd w:id="159"/>
      <w:bookmarkEnd w:id="160"/>
      <w:r>
        <w:rPr>
          <w:rFonts w:hint="eastAsia" w:ascii="Times New Roman" w:hAnsi="Times New Roman" w:eastAsia="宋体" w:cs="Times New Roman"/>
          <w:bCs w:val="0"/>
          <w:color w:val="auto"/>
          <w:kern w:val="44"/>
          <w:sz w:val="44"/>
          <w:szCs w:val="22"/>
          <w:lang w:val="en-US" w:eastAsia="zh-CN" w:bidi="ar-SA"/>
        </w:rPr>
        <w:t>应急保障</w:t>
      </w:r>
      <w:bookmarkEnd w:id="161"/>
      <w:bookmarkEnd w:id="162"/>
    </w:p>
    <w:p w14:paraId="18ED531B">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63" w:name="_Toc15963"/>
      <w:bookmarkStart w:id="164" w:name="_Toc31108"/>
      <w:bookmarkStart w:id="165" w:name="_Toc5719"/>
      <w:bookmarkStart w:id="166" w:name="_Toc24867"/>
      <w:bookmarkStart w:id="167" w:name="_Toc5446"/>
      <w:bookmarkStart w:id="168" w:name="_Toc6423"/>
      <w:r>
        <w:rPr>
          <w:rFonts w:hint="eastAsia" w:ascii="黑体" w:hAnsi="黑体" w:eastAsia="黑体" w:cs="黑体"/>
          <w:b w:val="0"/>
          <w:bCs/>
          <w:color w:val="auto"/>
          <w:sz w:val="32"/>
          <w:szCs w:val="32"/>
          <w:lang w:val="en-US" w:eastAsia="zh-CN" w:bidi="ar-SA"/>
        </w:rPr>
        <w:t>5.1 通讯与信息保障</w:t>
      </w:r>
      <w:bookmarkEnd w:id="163"/>
      <w:bookmarkEnd w:id="164"/>
      <w:bookmarkEnd w:id="165"/>
    </w:p>
    <w:p w14:paraId="41D0162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环境应急指挥部与各成员单位应建立和完善通讯联络系统，各单位要配备必要的有线、无线通讯器材并保证运行状况良好，手机务必保持24小时畅通。水环境应急指挥部各成员单位应将应急队伍联系人、联系电话报水环境应急办备案，水环境应急办汇总后下发水源地突发环境事件应急处置专用通讯录。水环境应急办负责应急处置专用通信录的动态更新工作。</w:t>
      </w:r>
    </w:p>
    <w:p w14:paraId="03F65C3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水环境应急办加强环境应急值守，确保报警电话畅通。水环境应急指挥部各成员单位均应设置1部专用值班电话，并确保24小时有人值守。</w:t>
      </w:r>
    </w:p>
    <w:p w14:paraId="547FE39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新闻宣传组负责对外发布事件信息及应急处置进展情况。市环境应急指挥部负责提供准确、权威的信息，市政府新闻办（市委宣传部）组织统一发布，确保信息准确、及时传递，正确引导社会舆论。事件发生的第一时间要向社会发布简要信息，随后发布初步核实情况、政府应对措施等，并根据事件处置情况做好后续发布工作。</w:t>
      </w:r>
    </w:p>
    <w:p w14:paraId="4712E18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赤壁市水源地突发环境事件应急指挥部及成员单位值班通讯录见附件12。</w:t>
      </w:r>
    </w:p>
    <w:p w14:paraId="778C37D0">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69" w:name="_Toc6115"/>
      <w:bookmarkStart w:id="170" w:name="_Toc30546"/>
      <w:r>
        <w:rPr>
          <w:rFonts w:hint="eastAsia" w:ascii="黑体" w:hAnsi="黑体" w:eastAsia="黑体" w:cs="黑体"/>
          <w:b w:val="0"/>
          <w:bCs/>
          <w:color w:val="auto"/>
          <w:sz w:val="32"/>
          <w:szCs w:val="32"/>
          <w:lang w:val="en-US" w:eastAsia="zh-CN" w:bidi="ar-SA"/>
        </w:rPr>
        <w:t>5.2 应急队伍保障</w:t>
      </w:r>
      <w:bookmarkEnd w:id="169"/>
      <w:bookmarkEnd w:id="170"/>
    </w:p>
    <w:p w14:paraId="78009C6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赤壁市有关部门应建立多层次的应急保障队伍，市政府进一步加强公安消防等队伍处置突发环境事件的能力，同时依托环保专业处置企业等社会化力量，建立社会化的环境应急救援队伍。</w:t>
      </w:r>
    </w:p>
    <w:p w14:paraId="11C2EF1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加强应急队伍的建设，通过每年定期的培训和演练，保证应急队伍具有一定的处置能力；制定应急队伍日常管理办法和协作方式，制定应急培训和演练方案，应组织应急队伍对事故信息报告、个体防护、应急资源的使用、应急监测布点方法及监测方法、应急处理方法等培训和演练，确保事发应急队伍快速应对。</w:t>
      </w:r>
    </w:p>
    <w:p w14:paraId="20E49200">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71" w:name="_Toc20811"/>
      <w:bookmarkStart w:id="172" w:name="_Toc26026"/>
      <w:bookmarkStart w:id="173" w:name="_Toc9357"/>
      <w:r>
        <w:rPr>
          <w:rFonts w:hint="eastAsia" w:ascii="黑体" w:hAnsi="黑体" w:eastAsia="黑体" w:cs="黑体"/>
          <w:b w:val="0"/>
          <w:bCs/>
          <w:color w:val="auto"/>
          <w:sz w:val="32"/>
          <w:szCs w:val="32"/>
          <w:lang w:val="en-US" w:eastAsia="zh-CN" w:bidi="ar-SA"/>
        </w:rPr>
        <w:t>5.3 应急资源保障</w:t>
      </w:r>
      <w:bookmarkEnd w:id="171"/>
      <w:bookmarkEnd w:id="172"/>
      <w:bookmarkEnd w:id="173"/>
    </w:p>
    <w:p w14:paraId="1E742F3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环境应急指挥部各成员单位根据职责分工，组织做好环境应急物资紧急生产、储备调用、紧急配送工作并做好本单位应急物资的更新及养护，保障应急处置和后续环境恢复需要。应根据事件和演练经验，持续改进药剂、物资、装备的规范存放，提高应急设施的建设要求，确保事件发生时能够快速高效的使用应急资源。</w:t>
      </w:r>
    </w:p>
    <w:p w14:paraId="11B2ED4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咸宁市生态环境局赤壁市分局应做好环境应急物资储备库物资储备、更新、调度和紧急配送等信息动态管理工作。各成员单位要制定环境应急物资储备计划，强化环境应急物资储备，鼓励通过政府补贴、第三方服务等方式，建立符合实际的应急物资储备体系，提高突发环境事件救援能力。</w:t>
      </w:r>
    </w:p>
    <w:p w14:paraId="5C5BCD5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各应急物资储备库应制定相关管理制度，包括定期对仓库管理员进行教育培训；做好应急物资的入库质量把控、物资验收、登记建档等工作，建档内容包括：品名、规格型号、数量、入库日期、失效日期等。应急物资储备库管理单位应定期对储备库进行全面检查，发现损坏、失效现象时及时更新或维修；发现有欠缺的应急物资，应及时补充添置。</w:t>
      </w:r>
    </w:p>
    <w:p w14:paraId="1BE8903C">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74" w:name="_Toc32566"/>
      <w:bookmarkStart w:id="175" w:name="_Toc10909"/>
      <w:bookmarkStart w:id="176" w:name="_Toc11463"/>
      <w:r>
        <w:rPr>
          <w:rFonts w:hint="eastAsia" w:ascii="黑体" w:hAnsi="黑体" w:eastAsia="黑体" w:cs="黑体"/>
          <w:b w:val="0"/>
          <w:bCs/>
          <w:color w:val="auto"/>
          <w:sz w:val="32"/>
          <w:szCs w:val="32"/>
          <w:lang w:val="en-US" w:eastAsia="zh-CN" w:bidi="ar-SA"/>
        </w:rPr>
        <w:t>5.4 经费保障</w:t>
      </w:r>
      <w:bookmarkEnd w:id="174"/>
      <w:bookmarkEnd w:id="175"/>
      <w:bookmarkEnd w:id="176"/>
    </w:p>
    <w:p w14:paraId="3330733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应急工作经费（包括水源地应急预案编制、演练、修订及应急处置等费用）由咸宁市生态环境局赤壁市分局提出，经赤壁市财政局审核后，按规定程序列入年度财政预算。应急处置工作中需财政负担的经费，按照赤壁市现行事权、财权划分原则，实行分级负担。应急处置结束后，据实核销应急处置费用。各级财政和审计部门要对应急保障资金的使用和效果进行监管和评估，确保专款专用。</w:t>
      </w:r>
    </w:p>
    <w:p w14:paraId="09979E51">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77" w:name="_Toc18427"/>
      <w:bookmarkStart w:id="178" w:name="_Toc1201"/>
      <w:bookmarkStart w:id="179" w:name="_Toc3829"/>
      <w:r>
        <w:rPr>
          <w:rFonts w:hint="eastAsia" w:ascii="黑体" w:hAnsi="黑体" w:eastAsia="黑体" w:cs="黑体"/>
          <w:b w:val="0"/>
          <w:bCs/>
          <w:color w:val="auto"/>
          <w:sz w:val="32"/>
          <w:szCs w:val="32"/>
          <w:lang w:val="en-US" w:eastAsia="zh-CN" w:bidi="ar-SA"/>
        </w:rPr>
        <w:t>5.5 其他保障</w:t>
      </w:r>
      <w:bookmarkEnd w:id="177"/>
      <w:bookmarkEnd w:id="178"/>
      <w:bookmarkEnd w:id="179"/>
    </w:p>
    <w:p w14:paraId="4816C33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b w:val="0"/>
          <w:bCs w:val="0"/>
          <w:color w:val="auto"/>
          <w:kern w:val="21"/>
          <w:sz w:val="32"/>
          <w:szCs w:val="32"/>
          <w:lang w:val="en-US" w:eastAsia="zh-CN" w:bidi="ar-SA"/>
        </w:rPr>
      </w:pPr>
      <w:bookmarkStart w:id="180" w:name="_Toc6851"/>
      <w:r>
        <w:rPr>
          <w:rFonts w:hint="eastAsia" w:ascii="仿宋_GB2312" w:hAnsi="仿宋_GB2312" w:eastAsia="仿宋_GB2312" w:cs="仿宋_GB2312"/>
          <w:b w:val="0"/>
          <w:bCs w:val="0"/>
          <w:color w:val="auto"/>
          <w:kern w:val="21"/>
          <w:sz w:val="32"/>
          <w:szCs w:val="32"/>
          <w:lang w:val="en-US" w:eastAsia="zh-CN" w:bidi="ar-SA"/>
        </w:rPr>
        <w:t>（1）物资、设备设施运输保障</w:t>
      </w:r>
      <w:bookmarkEnd w:id="180"/>
    </w:p>
    <w:p w14:paraId="18AC2F4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市交通运输局根据应急指挥部的指令，负责保证应急处置状态下应急处置物资和设备设施的运输保障，应急交通工具优先安排、优先调度。</w:t>
      </w:r>
    </w:p>
    <w:p w14:paraId="6FB6D7E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市消防支队根据应急指挥部的指令，负责协助清理现场，调配消防车辆向供水重点保障区域和缺水区域应急送水。</w:t>
      </w:r>
    </w:p>
    <w:p w14:paraId="5517968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b w:val="0"/>
          <w:bCs w:val="0"/>
          <w:color w:val="auto"/>
          <w:kern w:val="21"/>
          <w:sz w:val="32"/>
          <w:szCs w:val="32"/>
          <w:lang w:val="en-US" w:eastAsia="zh-CN" w:bidi="ar-SA"/>
        </w:rPr>
      </w:pPr>
      <w:bookmarkStart w:id="181" w:name="_Toc11689"/>
      <w:r>
        <w:rPr>
          <w:rFonts w:hint="eastAsia" w:ascii="仿宋_GB2312" w:hAnsi="仿宋_GB2312" w:eastAsia="仿宋_GB2312" w:cs="仿宋_GB2312"/>
          <w:b w:val="0"/>
          <w:bCs w:val="0"/>
          <w:color w:val="auto"/>
          <w:kern w:val="21"/>
          <w:sz w:val="32"/>
          <w:szCs w:val="32"/>
          <w:lang w:val="en-US" w:eastAsia="zh-CN" w:bidi="ar-SA"/>
        </w:rPr>
        <w:t>（2）医疗卫生救助保障</w:t>
      </w:r>
      <w:bookmarkEnd w:id="181"/>
    </w:p>
    <w:p w14:paraId="66A3CAC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市卫生健康委员会负责完善应急救援机制，储备医疗救治、检测检验等卫生应急物资。主要负责对供水单位的卫生监督；开展水源水、出厂水、管网末梢水、二次供水的水质监测；对发生突发环境事件造成的人员伤亡及时组织医疗急救。</w:t>
      </w:r>
    </w:p>
    <w:p w14:paraId="74FCF65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b/>
          <w:bCs/>
          <w:color w:val="auto"/>
          <w:kern w:val="21"/>
          <w:sz w:val="32"/>
          <w:szCs w:val="32"/>
          <w:lang w:val="en-US" w:eastAsia="zh-CN" w:bidi="ar-SA"/>
        </w:rPr>
      </w:pPr>
      <w:bookmarkStart w:id="182" w:name="_Toc14170"/>
      <w:r>
        <w:rPr>
          <w:rFonts w:hint="eastAsia" w:ascii="仿宋_GB2312" w:hAnsi="仿宋_GB2312" w:eastAsia="仿宋_GB2312" w:cs="仿宋_GB2312"/>
          <w:b w:val="0"/>
          <w:bCs w:val="0"/>
          <w:color w:val="auto"/>
          <w:kern w:val="21"/>
          <w:sz w:val="32"/>
          <w:szCs w:val="32"/>
          <w:lang w:val="en-US" w:eastAsia="zh-CN" w:bidi="ar-SA"/>
        </w:rPr>
        <w:t>（3）治安和人员安全保障</w:t>
      </w:r>
      <w:bookmarkEnd w:id="182"/>
    </w:p>
    <w:p w14:paraId="4F06D21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发生突发环境事件时，市公安部门根据现场应急指挥部指令，依据相关规定实施治安维护工作，及时做好人员疏散、现场控制、交通管制等工作，采取有力措施防止不法人员趁乱抢劫、盗窃或哄抢财物，依法打击破坏社会秩序的行为，维护社会稳定。</w:t>
      </w:r>
    </w:p>
    <w:p w14:paraId="253B1D9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市应急管理局根据现场应急指挥部的指令，组织协调受灾群众的安置和救助工作，并指导相关部门向群众分发救灾物资。</w:t>
      </w:r>
    </w:p>
    <w:p w14:paraId="06BBEAE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现场处置人员应根据事件特征，配置相应的专业防护装备，采取安全防护措施，严格执行应急处置程序。</w:t>
      </w:r>
    </w:p>
    <w:p w14:paraId="7525042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b w:val="0"/>
          <w:bCs w:val="0"/>
          <w:color w:val="auto"/>
          <w:kern w:val="21"/>
          <w:sz w:val="32"/>
          <w:szCs w:val="32"/>
          <w:lang w:val="en-US" w:eastAsia="zh-CN" w:bidi="ar-SA"/>
        </w:rPr>
      </w:pPr>
      <w:bookmarkStart w:id="183" w:name="_Toc20683"/>
      <w:r>
        <w:rPr>
          <w:rFonts w:hint="eastAsia" w:ascii="仿宋_GB2312" w:hAnsi="仿宋_GB2312" w:eastAsia="仿宋_GB2312" w:cs="仿宋_GB2312"/>
          <w:b w:val="0"/>
          <w:bCs w:val="0"/>
          <w:color w:val="auto"/>
          <w:kern w:val="21"/>
          <w:sz w:val="32"/>
          <w:szCs w:val="32"/>
          <w:lang w:val="en-US" w:eastAsia="zh-CN" w:bidi="ar-SA"/>
        </w:rPr>
        <w:t>（4）社会动员保障</w:t>
      </w:r>
      <w:bookmarkEnd w:id="183"/>
    </w:p>
    <w:p w14:paraId="4931EA0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仿宋_GB2312" w:hAnsi="仿宋_GB2312" w:eastAsia="仿宋_GB2312" w:cs="仿宋_GB2312"/>
          <w:color w:val="auto"/>
          <w:kern w:val="21"/>
          <w:sz w:val="32"/>
          <w:szCs w:val="32"/>
          <w:lang w:val="en-US" w:eastAsia="zh-CN" w:bidi="ar-SA"/>
        </w:rPr>
        <w:t>赤壁市人民政府制定社会动员方案，明确动员的条件、范围、程序和相关的保障措施，运用各种形式，将水源地突发环境事件发生和影响范围的对象动员起来，共同参与和配合水源地突发环境事件的应急处置。</w:t>
      </w:r>
    </w:p>
    <w:bookmarkEnd w:id="166"/>
    <w:bookmarkEnd w:id="167"/>
    <w:bookmarkEnd w:id="168"/>
    <w:p w14:paraId="1D594164">
      <w:pPr>
        <w:pStyle w:val="3"/>
        <w:keepNext/>
        <w:keepLines/>
        <w:pageBreakBefore/>
        <w:autoSpaceDE/>
        <w:autoSpaceDN/>
        <w:spacing w:before="340" w:beforeLines="0" w:beforeAutospacing="0" w:after="330" w:afterLines="0" w:afterAutospacing="0" w:line="576" w:lineRule="auto"/>
        <w:ind w:left="0" w:right="0"/>
        <w:jc w:val="center"/>
        <w:rPr>
          <w:rFonts w:hint="eastAsia" w:ascii="Times New Roman" w:hAnsi="Times New Roman" w:eastAsia="宋体" w:cs="Times New Roman"/>
          <w:bCs w:val="0"/>
          <w:color w:val="auto"/>
          <w:kern w:val="44"/>
          <w:sz w:val="44"/>
          <w:szCs w:val="22"/>
          <w:lang w:val="en-US" w:eastAsia="zh-CN" w:bidi="ar-SA"/>
        </w:rPr>
      </w:pPr>
      <w:bookmarkStart w:id="184" w:name="_Toc27570"/>
      <w:bookmarkStart w:id="185" w:name="_Toc10496"/>
      <w:bookmarkStart w:id="186" w:name="_Toc4377"/>
      <w:bookmarkStart w:id="187" w:name="_Toc22857"/>
      <w:bookmarkStart w:id="188" w:name="_Toc2595"/>
      <w:bookmarkStart w:id="189" w:name="_Toc20020"/>
      <w:r>
        <w:rPr>
          <w:rFonts w:hint="eastAsia" w:ascii="Times New Roman" w:hAnsi="Times New Roman" w:eastAsia="宋体" w:cs="Times New Roman"/>
          <w:bCs w:val="0"/>
          <w:color w:val="auto"/>
          <w:kern w:val="44"/>
          <w:sz w:val="44"/>
          <w:szCs w:val="22"/>
          <w:lang w:val="en-US" w:eastAsia="zh-CN" w:bidi="ar-SA"/>
        </w:rPr>
        <w:t xml:space="preserve">6 </w:t>
      </w:r>
      <w:bookmarkEnd w:id="184"/>
      <w:bookmarkEnd w:id="185"/>
      <w:bookmarkEnd w:id="186"/>
      <w:bookmarkEnd w:id="187"/>
      <w:r>
        <w:rPr>
          <w:rFonts w:hint="eastAsia" w:ascii="Times New Roman" w:hAnsi="Times New Roman" w:eastAsia="宋体" w:cs="Times New Roman"/>
          <w:bCs w:val="0"/>
          <w:color w:val="auto"/>
          <w:kern w:val="44"/>
          <w:sz w:val="44"/>
          <w:szCs w:val="22"/>
          <w:lang w:val="en-US" w:eastAsia="zh-CN" w:bidi="ar-SA"/>
        </w:rPr>
        <w:t>附</w:t>
      </w:r>
      <w:r>
        <w:rPr>
          <w:rFonts w:hint="eastAsia" w:cs="Times New Roman"/>
          <w:bCs w:val="0"/>
          <w:color w:val="auto"/>
          <w:kern w:val="44"/>
          <w:sz w:val="44"/>
          <w:szCs w:val="22"/>
          <w:lang w:val="en-US" w:eastAsia="zh-CN" w:bidi="ar-SA"/>
        </w:rPr>
        <w:t xml:space="preserve">  </w:t>
      </w:r>
      <w:r>
        <w:rPr>
          <w:rFonts w:hint="eastAsia" w:ascii="Times New Roman" w:hAnsi="Times New Roman" w:eastAsia="宋体" w:cs="Times New Roman"/>
          <w:bCs w:val="0"/>
          <w:color w:val="auto"/>
          <w:kern w:val="44"/>
          <w:sz w:val="44"/>
          <w:szCs w:val="22"/>
          <w:lang w:val="en-US" w:eastAsia="zh-CN" w:bidi="ar-SA"/>
        </w:rPr>
        <w:t>则</w:t>
      </w:r>
      <w:bookmarkEnd w:id="188"/>
      <w:bookmarkEnd w:id="189"/>
    </w:p>
    <w:p w14:paraId="24389DDF">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190" w:name="_Toc21361"/>
      <w:bookmarkStart w:id="191" w:name="_Toc21522"/>
      <w:bookmarkStart w:id="192" w:name="_Toc17476"/>
      <w:bookmarkStart w:id="193" w:name="_Toc15336"/>
      <w:bookmarkStart w:id="194" w:name="_Toc441764328"/>
      <w:bookmarkStart w:id="195" w:name="_Toc26695"/>
      <w:bookmarkStart w:id="196" w:name="_Toc1779"/>
      <w:bookmarkStart w:id="197" w:name="_Toc20415"/>
      <w:bookmarkStart w:id="198" w:name="_Toc19574"/>
      <w:bookmarkStart w:id="199" w:name="_Toc6466"/>
      <w:bookmarkStart w:id="200" w:name="_Toc7461"/>
      <w:bookmarkStart w:id="201" w:name="_Toc21627"/>
      <w:bookmarkStart w:id="202" w:name="_Toc31811"/>
      <w:bookmarkStart w:id="203" w:name="_Toc441764222"/>
      <w:bookmarkStart w:id="204" w:name="_Toc32091"/>
      <w:bookmarkStart w:id="205" w:name="_Toc12721"/>
      <w:bookmarkStart w:id="206" w:name="_Toc7905"/>
      <w:bookmarkStart w:id="207" w:name="_Toc24221"/>
      <w:bookmarkStart w:id="208" w:name="_Toc497127642"/>
      <w:r>
        <w:rPr>
          <w:rFonts w:hint="eastAsia" w:ascii="黑体" w:hAnsi="黑体" w:eastAsia="黑体" w:cs="黑体"/>
          <w:b w:val="0"/>
          <w:bCs/>
          <w:color w:val="auto"/>
          <w:sz w:val="32"/>
          <w:szCs w:val="32"/>
          <w:lang w:val="en-US" w:eastAsia="zh-CN" w:bidi="ar-SA"/>
        </w:rPr>
        <w:t>6.1 名称术语</w:t>
      </w:r>
      <w:bookmarkEnd w:id="190"/>
      <w:bookmarkEnd w:id="191"/>
      <w:bookmarkEnd w:id="192"/>
    </w:p>
    <w:p w14:paraId="2E91BEE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09" w:name="_Toc7768"/>
      <w:bookmarkStart w:id="210" w:name="_Toc25769"/>
      <w:bookmarkStart w:id="211" w:name="_Toc11113"/>
      <w:bookmarkStart w:id="212" w:name="_Toc18637"/>
      <w:bookmarkStart w:id="213" w:name="_Toc14333"/>
      <w:r>
        <w:rPr>
          <w:rFonts w:hint="eastAsia" w:ascii="仿宋_GB2312" w:hAnsi="仿宋_GB2312" w:eastAsia="仿宋_GB2312" w:cs="仿宋_GB2312"/>
          <w:color w:val="auto"/>
          <w:kern w:val="21"/>
          <w:sz w:val="32"/>
          <w:szCs w:val="32"/>
          <w:lang w:val="en-US" w:eastAsia="zh-CN" w:bidi="ar-SA"/>
        </w:rPr>
        <w:t>（1）集中式地表水饮用水水源地</w:t>
      </w:r>
      <w:bookmarkEnd w:id="209"/>
      <w:bookmarkEnd w:id="210"/>
      <w:bookmarkEnd w:id="211"/>
      <w:bookmarkEnd w:id="212"/>
      <w:bookmarkEnd w:id="213"/>
    </w:p>
    <w:p w14:paraId="60DD609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指进入输水管网、送到用户且具有一定取水规模（供水人口一般大于 1000 人）的在用、备用和规划的地表水饮用水水源地。依据取水口所在水体类型不同，可分为河流型水源地和湖泊（水库）型水源地。</w:t>
      </w:r>
    </w:p>
    <w:p w14:paraId="535BB6B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14" w:name="_Toc30672"/>
      <w:bookmarkStart w:id="215" w:name="_Toc17474"/>
      <w:bookmarkStart w:id="216" w:name="_Toc8890"/>
      <w:bookmarkStart w:id="217" w:name="_Toc32333"/>
      <w:bookmarkStart w:id="218" w:name="_Toc26410"/>
      <w:r>
        <w:rPr>
          <w:rFonts w:hint="eastAsia" w:ascii="仿宋_GB2312" w:hAnsi="仿宋_GB2312" w:eastAsia="仿宋_GB2312" w:cs="仿宋_GB2312"/>
          <w:color w:val="auto"/>
          <w:kern w:val="21"/>
          <w:sz w:val="32"/>
          <w:szCs w:val="32"/>
          <w:lang w:val="en-US" w:eastAsia="zh-CN" w:bidi="ar-SA"/>
        </w:rPr>
        <w:t>（2）饮用水水源保护区</w:t>
      </w:r>
      <w:bookmarkEnd w:id="214"/>
      <w:bookmarkEnd w:id="215"/>
      <w:bookmarkEnd w:id="216"/>
      <w:bookmarkEnd w:id="217"/>
      <w:bookmarkEnd w:id="218"/>
    </w:p>
    <w:p w14:paraId="56FF511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指国家为防治饮用水水源地污染、保障水源地环境质量而划定，并要求加以特殊保护的一定面积的水域和陆域。饮用水水源保护区（以下简称水源保护区）分为一级保护区和二级保护区，必要时可在水源保护区外划定准保护区。</w:t>
      </w:r>
    </w:p>
    <w:p w14:paraId="56A5B1A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19" w:name="_Toc17139"/>
      <w:bookmarkStart w:id="220" w:name="_Toc24358"/>
      <w:bookmarkStart w:id="221" w:name="_Toc28124"/>
      <w:bookmarkStart w:id="222" w:name="_Toc7870"/>
      <w:bookmarkStart w:id="223" w:name="_Toc11611"/>
      <w:r>
        <w:rPr>
          <w:rFonts w:hint="eastAsia" w:ascii="仿宋_GB2312" w:hAnsi="仿宋_GB2312" w:eastAsia="仿宋_GB2312" w:cs="仿宋_GB2312"/>
          <w:color w:val="auto"/>
          <w:kern w:val="21"/>
          <w:sz w:val="32"/>
          <w:szCs w:val="32"/>
          <w:lang w:val="en-US" w:eastAsia="zh-CN" w:bidi="ar-SA"/>
        </w:rPr>
        <w:t>（3）地表水饮用水水源地风险物质（以下简称水源地风险物质）</w:t>
      </w:r>
      <w:bookmarkEnd w:id="219"/>
      <w:bookmarkEnd w:id="220"/>
      <w:bookmarkEnd w:id="221"/>
      <w:bookmarkEnd w:id="222"/>
      <w:bookmarkEnd w:id="223"/>
    </w:p>
    <w:p w14:paraId="0D7AB55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指《地表水环境质量标准》中表 1、表 2 和表 3 所包含的项目与物质，以及该标准之外其他可能影响人体健康的项目与物质。</w:t>
      </w:r>
    </w:p>
    <w:p w14:paraId="54A1422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24" w:name="_Toc11620"/>
      <w:bookmarkStart w:id="225" w:name="_Toc22682"/>
      <w:bookmarkStart w:id="226" w:name="_Toc14952"/>
      <w:bookmarkStart w:id="227" w:name="_Toc22957"/>
      <w:bookmarkStart w:id="228" w:name="_Toc15206"/>
      <w:r>
        <w:rPr>
          <w:rFonts w:hint="eastAsia" w:ascii="仿宋_GB2312" w:hAnsi="仿宋_GB2312" w:eastAsia="仿宋_GB2312" w:cs="仿宋_GB2312"/>
          <w:color w:val="auto"/>
          <w:kern w:val="21"/>
          <w:sz w:val="32"/>
          <w:szCs w:val="32"/>
          <w:lang w:val="en-US" w:eastAsia="zh-CN" w:bidi="ar-SA"/>
        </w:rPr>
        <w:t>（4）饮用水水源地突发环境事件（以下简称水源地突发环境事件）</w:t>
      </w:r>
      <w:bookmarkEnd w:id="224"/>
      <w:bookmarkEnd w:id="225"/>
      <w:bookmarkEnd w:id="226"/>
      <w:bookmarkEnd w:id="227"/>
      <w:bookmarkEnd w:id="228"/>
    </w:p>
    <w:p w14:paraId="2647A5C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w:t>
      </w:r>
    </w:p>
    <w:p w14:paraId="11B961E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29" w:name="_Toc20954"/>
      <w:bookmarkStart w:id="230" w:name="_Toc28355"/>
      <w:bookmarkStart w:id="231" w:name="_Toc8022"/>
      <w:bookmarkStart w:id="232" w:name="_Toc24279"/>
      <w:bookmarkStart w:id="233" w:name="_Toc22255"/>
      <w:r>
        <w:rPr>
          <w:rFonts w:hint="eastAsia" w:ascii="仿宋_GB2312" w:hAnsi="仿宋_GB2312" w:eastAsia="仿宋_GB2312" w:cs="仿宋_GB2312"/>
          <w:color w:val="auto"/>
          <w:kern w:val="21"/>
          <w:sz w:val="32"/>
          <w:szCs w:val="32"/>
          <w:lang w:val="en-US" w:eastAsia="zh-CN" w:bidi="ar-SA"/>
        </w:rPr>
        <w:t>（5）水质超标</w:t>
      </w:r>
      <w:bookmarkEnd w:id="229"/>
      <w:bookmarkEnd w:id="230"/>
      <w:bookmarkEnd w:id="231"/>
      <w:bookmarkEnd w:id="232"/>
      <w:bookmarkEnd w:id="233"/>
    </w:p>
    <w:p w14:paraId="2154E5C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指水源地水质超过《地表水环境质量标准》规定的Ⅲ类水质标准或标准限值的要求。</w:t>
      </w:r>
    </w:p>
    <w:p w14:paraId="3A77B48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地表水环境质量标准》未包括的项目，可根据物质本身的危害特性和有关供水单位的净化能力，参考国外有关标准（如世界卫生组织、美国环境保护署等）规定的浓度值，由咸宁市、赤壁市级人民政府组织有关部门会商或依据应急专家组意见确定。</w:t>
      </w:r>
    </w:p>
    <w:p w14:paraId="6456EAA8">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234" w:name="_Toc9993"/>
      <w:bookmarkStart w:id="235" w:name="_Toc16285"/>
      <w:bookmarkStart w:id="236" w:name="_Toc13078"/>
      <w:r>
        <w:rPr>
          <w:rFonts w:hint="eastAsia" w:ascii="黑体" w:hAnsi="黑体" w:eastAsia="黑体" w:cs="黑体"/>
          <w:b w:val="0"/>
          <w:bCs/>
          <w:color w:val="auto"/>
          <w:sz w:val="32"/>
          <w:szCs w:val="32"/>
          <w:lang w:val="en-US" w:eastAsia="zh-CN" w:bidi="ar-SA"/>
        </w:rPr>
        <w:t>6.2 预案解释部门</w:t>
      </w:r>
      <w:bookmarkEnd w:id="234"/>
      <w:bookmarkEnd w:id="235"/>
      <w:bookmarkEnd w:id="236"/>
    </w:p>
    <w:p w14:paraId="2C9A77D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本预案由水环境应急办负责解释。</w:t>
      </w:r>
    </w:p>
    <w:p w14:paraId="3B4F9EF9">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237" w:name="_Toc10344"/>
      <w:bookmarkStart w:id="238" w:name="_Toc14188"/>
      <w:bookmarkStart w:id="239" w:name="_Toc28413"/>
      <w:r>
        <w:rPr>
          <w:rFonts w:hint="eastAsia" w:ascii="黑体" w:hAnsi="黑体" w:eastAsia="黑体" w:cs="黑体"/>
          <w:b w:val="0"/>
          <w:bCs/>
          <w:color w:val="auto"/>
          <w:sz w:val="32"/>
          <w:szCs w:val="32"/>
          <w:lang w:val="en-US" w:eastAsia="zh-CN" w:bidi="ar-SA"/>
        </w:rPr>
        <w:t>6.3 预案演练和修订</w:t>
      </w:r>
      <w:bookmarkEnd w:id="237"/>
      <w:bookmarkEnd w:id="238"/>
      <w:bookmarkEnd w:id="239"/>
    </w:p>
    <w:p w14:paraId="0D35FA0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b/>
          <w:bCs/>
          <w:color w:val="auto"/>
          <w:kern w:val="21"/>
          <w:sz w:val="32"/>
          <w:szCs w:val="32"/>
          <w:lang w:val="en-US" w:eastAsia="zh-CN" w:bidi="ar-SA"/>
        </w:rPr>
      </w:pPr>
      <w:bookmarkStart w:id="240" w:name="_Toc18111"/>
      <w:r>
        <w:rPr>
          <w:rFonts w:hint="eastAsia" w:ascii="仿宋_GB2312" w:hAnsi="仿宋_GB2312" w:eastAsia="仿宋_GB2312" w:cs="仿宋_GB2312"/>
          <w:b w:val="0"/>
          <w:bCs w:val="0"/>
          <w:color w:val="auto"/>
          <w:kern w:val="21"/>
          <w:sz w:val="32"/>
          <w:szCs w:val="32"/>
          <w:lang w:val="en-US" w:eastAsia="zh-CN" w:bidi="ar-SA"/>
        </w:rPr>
        <w:t>（1）应急预案演练</w:t>
      </w:r>
      <w:bookmarkEnd w:id="240"/>
    </w:p>
    <w:p w14:paraId="7DF0D51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环境应急指挥部应定期举行包括水华灾害事件等不同类型水源地突发环境事件的应急演练，以检验、改善和强化应急准备和应急响应能力。演练内容主要包括通讯系统是否正常运作、信息报送流程是否畅通、各应急工作组配合是否协调、应急人员能力是否满足需要等。</w:t>
      </w:r>
    </w:p>
    <w:p w14:paraId="48C89FC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b w:val="0"/>
          <w:bCs w:val="0"/>
          <w:color w:val="auto"/>
          <w:kern w:val="21"/>
          <w:sz w:val="32"/>
          <w:szCs w:val="32"/>
          <w:lang w:val="en-US" w:eastAsia="zh-CN" w:bidi="ar-SA"/>
        </w:rPr>
      </w:pPr>
      <w:bookmarkStart w:id="241" w:name="_Toc26153"/>
      <w:r>
        <w:rPr>
          <w:rFonts w:hint="eastAsia" w:ascii="仿宋_GB2312" w:hAnsi="仿宋_GB2312" w:eastAsia="仿宋_GB2312" w:cs="仿宋_GB2312"/>
          <w:b w:val="0"/>
          <w:bCs w:val="0"/>
          <w:color w:val="auto"/>
          <w:kern w:val="21"/>
          <w:sz w:val="32"/>
          <w:szCs w:val="32"/>
          <w:lang w:val="en-US" w:eastAsia="zh-CN" w:bidi="ar-SA"/>
        </w:rPr>
        <w:t>（2）演练目的</w:t>
      </w:r>
      <w:bookmarkEnd w:id="241"/>
    </w:p>
    <w:p w14:paraId="1574928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①使参加应急响应的各部门熟悉、掌握各自所在应急响应行动中的职责，加强各部门之间的协同能力。</w:t>
      </w:r>
    </w:p>
    <w:p w14:paraId="0F3C2B2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②保证应急响应各有关环节快速、协调、有效地运作。</w:t>
      </w:r>
    </w:p>
    <w:p w14:paraId="24224C7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③考核各级应急响应人员对所学理论与操作技能熟练掌握的程度。</w:t>
      </w:r>
    </w:p>
    <w:p w14:paraId="72BCF55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④及时发现应急响应计划和应急响应系统存在的问题与不足之处，以便予以改进和完善。</w:t>
      </w:r>
    </w:p>
    <w:p w14:paraId="7B5C03D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b w:val="0"/>
          <w:bCs w:val="0"/>
          <w:color w:val="auto"/>
          <w:kern w:val="21"/>
          <w:sz w:val="32"/>
          <w:szCs w:val="32"/>
          <w:lang w:val="en-US" w:eastAsia="zh-CN" w:bidi="ar-SA"/>
        </w:rPr>
      </w:pPr>
      <w:bookmarkStart w:id="242" w:name="_Toc25072"/>
      <w:r>
        <w:rPr>
          <w:rFonts w:hint="eastAsia" w:ascii="仿宋_GB2312" w:hAnsi="仿宋_GB2312" w:eastAsia="仿宋_GB2312" w:cs="仿宋_GB2312"/>
          <w:b w:val="0"/>
          <w:bCs w:val="0"/>
          <w:color w:val="auto"/>
          <w:kern w:val="21"/>
          <w:sz w:val="32"/>
          <w:szCs w:val="32"/>
          <w:lang w:val="en-US" w:eastAsia="zh-CN" w:bidi="ar-SA"/>
        </w:rPr>
        <w:t>（3）演练规模</w:t>
      </w:r>
      <w:bookmarkEnd w:id="242"/>
    </w:p>
    <w:p w14:paraId="39C3EA6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水环境应急指挥部应按照本预案，定期组织相关人员进行应急预案演练。演练规模可分为两种：</w:t>
      </w:r>
    </w:p>
    <w:p w14:paraId="02556F4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①全面、系统的演练，以检验整个应急响应系统各环节的有效性，每年组织至少一次。</w:t>
      </w:r>
    </w:p>
    <w:p w14:paraId="6C522D6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②针对应急响应系统某个环节进行演练，以进一步完善应急反应预案，也可增加应急响应人员熟悉应急反应行动的机会。</w:t>
      </w:r>
    </w:p>
    <w:p w14:paraId="5AE09AC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b w:val="0"/>
          <w:bCs w:val="0"/>
          <w:color w:val="auto"/>
          <w:kern w:val="21"/>
          <w:sz w:val="32"/>
          <w:szCs w:val="32"/>
          <w:lang w:val="en-US" w:eastAsia="zh-CN" w:bidi="ar-SA"/>
        </w:rPr>
      </w:pPr>
      <w:bookmarkStart w:id="243" w:name="_Toc30842"/>
      <w:r>
        <w:rPr>
          <w:rFonts w:hint="eastAsia" w:ascii="仿宋_GB2312" w:hAnsi="仿宋_GB2312" w:eastAsia="仿宋_GB2312" w:cs="仿宋_GB2312"/>
          <w:b w:val="0"/>
          <w:bCs w:val="0"/>
          <w:color w:val="auto"/>
          <w:kern w:val="21"/>
          <w:sz w:val="32"/>
          <w:szCs w:val="32"/>
          <w:lang w:val="en-US" w:eastAsia="zh-CN" w:bidi="ar-SA"/>
        </w:rPr>
        <w:t>（4）演练记录和评价</w:t>
      </w:r>
      <w:bookmarkEnd w:id="243"/>
    </w:p>
    <w:p w14:paraId="1BAF5E5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水环境应急办应对演练情况予以记录，并妥善保存备查。</w:t>
      </w:r>
    </w:p>
    <w:p w14:paraId="00712B9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演练结束后，水环境应急指挥部应对演练情况进行总结评估，并根据演练结果及时修订完善。评估的内容应包括：演练的执行情况，预案的合理性与可操作性，指挥协调和应急联动情况，应急人员的处置情况，演练所用设备装备的适用性，对完善预案、应急准备、应急机制、应急措施等方面的意见和建议等。</w:t>
      </w:r>
    </w:p>
    <w:p w14:paraId="39AFD01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44" w:name="_Toc3948"/>
      <w:r>
        <w:rPr>
          <w:rFonts w:hint="eastAsia" w:ascii="仿宋_GB2312" w:hAnsi="仿宋_GB2312" w:eastAsia="仿宋_GB2312" w:cs="仿宋_GB2312"/>
          <w:color w:val="auto"/>
          <w:kern w:val="21"/>
          <w:sz w:val="32"/>
          <w:szCs w:val="32"/>
          <w:lang w:val="en-US" w:eastAsia="zh-CN" w:bidi="ar-SA"/>
        </w:rPr>
        <w:t>（5）预案修订</w:t>
      </w:r>
      <w:bookmarkEnd w:id="244"/>
    </w:p>
    <w:p w14:paraId="0B7E22E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本预案每三年进行一次评估，必要时进行修订。当环境应急管理的政策法规发生重大变化或成员单位职责、应急资源发生变化，或者应急过程中发现存在问题和出现新的情况，根据情况对本预案进行修改。</w:t>
      </w:r>
    </w:p>
    <w:p w14:paraId="0C5F7A7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本预案由水环境应急办负责管理、修订、完善。</w:t>
      </w:r>
    </w:p>
    <w:p w14:paraId="69EA4A2B">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bookmarkStart w:id="245" w:name="_Toc31267"/>
      <w:bookmarkStart w:id="246" w:name="_Toc20312"/>
      <w:bookmarkStart w:id="247" w:name="_Toc20421"/>
      <w:r>
        <w:rPr>
          <w:rFonts w:hint="eastAsia" w:ascii="黑体" w:hAnsi="黑体" w:eastAsia="黑体" w:cs="黑体"/>
          <w:b w:val="0"/>
          <w:bCs/>
          <w:color w:val="auto"/>
          <w:sz w:val="32"/>
          <w:szCs w:val="32"/>
          <w:lang w:val="en-US" w:eastAsia="zh-CN" w:bidi="ar-SA"/>
        </w:rPr>
        <w:t>6.4 预案实施时间</w:t>
      </w:r>
      <w:bookmarkEnd w:id="245"/>
      <w:bookmarkEnd w:id="246"/>
      <w:bookmarkEnd w:id="247"/>
    </w:p>
    <w:p w14:paraId="7FE9F28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本预案自发布之日起实施，原有版本失效。</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CAB8F5F">
      <w:pPr>
        <w:pStyle w:val="3"/>
        <w:keepNext/>
        <w:keepLines/>
        <w:pageBreakBefore/>
        <w:autoSpaceDE/>
        <w:autoSpaceDN/>
        <w:spacing w:before="340" w:beforeLines="0" w:beforeAutospacing="0" w:after="330" w:afterLines="0" w:afterAutospacing="0" w:line="576" w:lineRule="auto"/>
        <w:ind w:left="0" w:right="0"/>
        <w:jc w:val="center"/>
        <w:rPr>
          <w:rFonts w:hint="eastAsia" w:ascii="Times New Roman" w:hAnsi="Times New Roman" w:eastAsia="宋体" w:cs="Times New Roman"/>
          <w:bCs w:val="0"/>
          <w:color w:val="auto"/>
          <w:kern w:val="44"/>
          <w:sz w:val="44"/>
          <w:szCs w:val="22"/>
          <w:lang w:val="en-US" w:eastAsia="zh-CN" w:bidi="ar-SA"/>
        </w:rPr>
      </w:pPr>
      <w:bookmarkStart w:id="248" w:name="_Toc27641"/>
      <w:bookmarkStart w:id="249" w:name="_Toc3641"/>
      <w:bookmarkStart w:id="250" w:name="_Toc12279"/>
      <w:bookmarkStart w:id="251" w:name="_Toc17163"/>
      <w:r>
        <w:rPr>
          <w:rFonts w:hint="eastAsia" w:ascii="Times New Roman" w:hAnsi="Times New Roman" w:eastAsia="宋体" w:cs="Times New Roman"/>
          <w:bCs w:val="0"/>
          <w:color w:val="auto"/>
          <w:kern w:val="44"/>
          <w:sz w:val="44"/>
          <w:szCs w:val="22"/>
          <w:lang w:val="en-US" w:eastAsia="zh-CN" w:bidi="ar-SA"/>
        </w:rPr>
        <w:t>7 附图、附件</w:t>
      </w:r>
      <w:bookmarkEnd w:id="248"/>
      <w:bookmarkEnd w:id="249"/>
      <w:bookmarkEnd w:id="250"/>
      <w:bookmarkEnd w:id="251"/>
    </w:p>
    <w:p w14:paraId="171B928B">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r>
        <w:rPr>
          <w:rFonts w:hint="eastAsia" w:ascii="黑体" w:hAnsi="黑体" w:eastAsia="黑体" w:cs="黑体"/>
          <w:b w:val="0"/>
          <w:bCs/>
          <w:color w:val="auto"/>
          <w:sz w:val="32"/>
          <w:szCs w:val="32"/>
          <w:lang w:val="en-US" w:eastAsia="zh-CN" w:bidi="ar-SA"/>
        </w:rPr>
        <w:t>7.1附图</w:t>
      </w:r>
    </w:p>
    <w:p w14:paraId="4AE7328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52" w:name="_Toc19152"/>
      <w:bookmarkStart w:id="253" w:name="_Toc28570"/>
      <w:bookmarkStart w:id="254" w:name="_Toc29817"/>
      <w:r>
        <w:rPr>
          <w:rFonts w:hint="eastAsia" w:ascii="仿宋_GB2312" w:hAnsi="仿宋_GB2312" w:eastAsia="仿宋_GB2312" w:cs="仿宋_GB2312"/>
          <w:color w:val="auto"/>
          <w:kern w:val="21"/>
          <w:sz w:val="32"/>
          <w:szCs w:val="32"/>
          <w:lang w:val="en-US" w:eastAsia="zh-CN" w:bidi="ar-SA"/>
        </w:rPr>
        <w:t>附图1：陆水水库饮用水水源地保护区</w:t>
      </w:r>
      <w:bookmarkEnd w:id="252"/>
      <w:bookmarkEnd w:id="253"/>
      <w:bookmarkEnd w:id="254"/>
      <w:r>
        <w:rPr>
          <w:rFonts w:hint="eastAsia" w:ascii="仿宋_GB2312" w:hAnsi="仿宋_GB2312" w:eastAsia="仿宋_GB2312" w:cs="仿宋_GB2312"/>
          <w:color w:val="auto"/>
          <w:kern w:val="21"/>
          <w:sz w:val="32"/>
          <w:szCs w:val="32"/>
          <w:lang w:val="en-US" w:eastAsia="zh-CN" w:bidi="ar-SA"/>
        </w:rPr>
        <w:t>位置及保护范围</w:t>
      </w:r>
    </w:p>
    <w:p w14:paraId="218E5A5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55" w:name="_Toc6705"/>
      <w:bookmarkStart w:id="256" w:name="_Toc7065"/>
      <w:bookmarkStart w:id="257" w:name="_Toc29269"/>
      <w:r>
        <w:rPr>
          <w:rFonts w:hint="eastAsia" w:ascii="仿宋_GB2312" w:hAnsi="仿宋_GB2312" w:eastAsia="仿宋_GB2312" w:cs="仿宋_GB2312"/>
          <w:color w:val="auto"/>
          <w:kern w:val="21"/>
          <w:sz w:val="32"/>
          <w:szCs w:val="32"/>
          <w:lang w:val="en-US" w:eastAsia="zh-CN" w:bidi="ar-SA"/>
        </w:rPr>
        <w:t>附图2：赤壁市集中式地表水饮用水源突发环境事件应急响应程序图</w:t>
      </w:r>
      <w:bookmarkEnd w:id="255"/>
      <w:bookmarkEnd w:id="256"/>
      <w:bookmarkEnd w:id="257"/>
      <w:r>
        <w:rPr>
          <w:rFonts w:hint="eastAsia" w:ascii="仿宋_GB2312" w:hAnsi="仿宋_GB2312" w:eastAsia="仿宋_GB2312" w:cs="仿宋_GB2312"/>
          <w:color w:val="auto"/>
          <w:kern w:val="21"/>
          <w:sz w:val="32"/>
          <w:szCs w:val="32"/>
          <w:lang w:val="en-US" w:eastAsia="zh-CN" w:bidi="ar-SA"/>
        </w:rPr>
        <w:t xml:space="preserve"> </w:t>
      </w:r>
    </w:p>
    <w:p w14:paraId="11114214">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left="0" w:right="0"/>
        <w:jc w:val="both"/>
        <w:textAlignment w:val="auto"/>
        <w:rPr>
          <w:rFonts w:hint="eastAsia" w:ascii="黑体" w:hAnsi="黑体" w:eastAsia="黑体" w:cs="黑体"/>
          <w:b w:val="0"/>
          <w:bCs/>
          <w:color w:val="auto"/>
          <w:sz w:val="32"/>
          <w:szCs w:val="32"/>
          <w:lang w:val="en-US" w:eastAsia="zh-CN" w:bidi="ar-SA"/>
        </w:rPr>
      </w:pPr>
      <w:r>
        <w:rPr>
          <w:rFonts w:hint="eastAsia" w:ascii="黑体" w:hAnsi="黑体" w:eastAsia="黑体" w:cs="黑体"/>
          <w:b w:val="0"/>
          <w:bCs/>
          <w:color w:val="auto"/>
          <w:sz w:val="32"/>
          <w:szCs w:val="32"/>
          <w:lang w:val="en-US" w:eastAsia="zh-CN" w:bidi="ar-SA"/>
        </w:rPr>
        <w:t>7.2附件</w:t>
      </w:r>
    </w:p>
    <w:p w14:paraId="450D45C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58" w:name="_Toc23070"/>
      <w:bookmarkStart w:id="259" w:name="_Toc32021"/>
      <w:r>
        <w:rPr>
          <w:rFonts w:hint="eastAsia" w:ascii="仿宋_GB2312" w:hAnsi="仿宋_GB2312" w:eastAsia="仿宋_GB2312" w:cs="仿宋_GB2312"/>
          <w:color w:val="auto"/>
          <w:kern w:val="21"/>
          <w:sz w:val="32"/>
          <w:szCs w:val="32"/>
          <w:lang w:val="en-US" w:eastAsia="zh-CN" w:bidi="ar-SA"/>
        </w:rPr>
        <w:t>附件 1 陆水水库饮用水水源地概况</w:t>
      </w:r>
      <w:bookmarkEnd w:id="258"/>
    </w:p>
    <w:p w14:paraId="6EF8A8F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60" w:name="_Toc18537"/>
      <w:r>
        <w:rPr>
          <w:rFonts w:hint="eastAsia" w:ascii="仿宋_GB2312" w:hAnsi="仿宋_GB2312" w:eastAsia="仿宋_GB2312" w:cs="仿宋_GB2312"/>
          <w:color w:val="auto"/>
          <w:kern w:val="21"/>
          <w:sz w:val="32"/>
          <w:szCs w:val="32"/>
          <w:lang w:val="en-US" w:eastAsia="zh-CN" w:bidi="ar-SA"/>
        </w:rPr>
        <w:t>附件2：应急处置指挥部组成</w:t>
      </w:r>
      <w:bookmarkEnd w:id="259"/>
      <w:bookmarkEnd w:id="260"/>
    </w:p>
    <w:p w14:paraId="11902A0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61" w:name="_Toc2693"/>
      <w:bookmarkStart w:id="262" w:name="_Toc25949"/>
      <w:r>
        <w:rPr>
          <w:rFonts w:hint="eastAsia" w:ascii="仿宋_GB2312" w:hAnsi="仿宋_GB2312" w:eastAsia="仿宋_GB2312" w:cs="仿宋_GB2312"/>
          <w:color w:val="auto"/>
          <w:kern w:val="21"/>
          <w:sz w:val="32"/>
          <w:szCs w:val="32"/>
          <w:lang w:val="en-US" w:eastAsia="zh-CN" w:bidi="ar-SA"/>
        </w:rPr>
        <w:t>附件3：</w:t>
      </w:r>
      <w:bookmarkEnd w:id="261"/>
      <w:bookmarkEnd w:id="262"/>
      <w:r>
        <w:rPr>
          <w:rFonts w:hint="eastAsia" w:ascii="仿宋_GB2312" w:hAnsi="仿宋_GB2312" w:eastAsia="仿宋_GB2312" w:cs="仿宋_GB2312"/>
          <w:color w:val="auto"/>
          <w:kern w:val="21"/>
          <w:sz w:val="32"/>
          <w:szCs w:val="32"/>
          <w:lang w:val="en-US" w:eastAsia="zh-CN" w:bidi="ar-SA"/>
        </w:rPr>
        <w:t>集中式饮用水水源地突发环境事件应急主要成员单位及职责</w:t>
      </w:r>
    </w:p>
    <w:p w14:paraId="1AFB3DA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63" w:name="_Toc25453"/>
      <w:bookmarkStart w:id="264" w:name="_Toc3256"/>
      <w:r>
        <w:rPr>
          <w:rFonts w:hint="eastAsia" w:ascii="仿宋_GB2312" w:hAnsi="仿宋_GB2312" w:eastAsia="仿宋_GB2312" w:cs="仿宋_GB2312"/>
          <w:color w:val="auto"/>
          <w:kern w:val="21"/>
          <w:sz w:val="32"/>
          <w:szCs w:val="32"/>
          <w:lang w:val="en-US" w:eastAsia="zh-CN" w:bidi="ar-SA"/>
        </w:rPr>
        <w:t>附件4：应急工作组职责</w:t>
      </w:r>
      <w:bookmarkEnd w:id="263"/>
      <w:bookmarkEnd w:id="264"/>
    </w:p>
    <w:p w14:paraId="77579D3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65" w:name="_Toc4543"/>
      <w:bookmarkStart w:id="266" w:name="_Toc26734"/>
      <w:r>
        <w:rPr>
          <w:rFonts w:hint="eastAsia" w:ascii="仿宋_GB2312" w:hAnsi="仿宋_GB2312" w:eastAsia="仿宋_GB2312" w:cs="仿宋_GB2312"/>
          <w:color w:val="auto"/>
          <w:kern w:val="21"/>
          <w:sz w:val="32"/>
          <w:szCs w:val="32"/>
          <w:lang w:val="en-US" w:eastAsia="zh-CN" w:bidi="ar-SA"/>
        </w:rPr>
        <w:t>附件5：集中式饮用水水源地突发污染事件应急常用物资表</w:t>
      </w:r>
      <w:bookmarkEnd w:id="265"/>
      <w:bookmarkEnd w:id="266"/>
      <w:r>
        <w:rPr>
          <w:rFonts w:hint="eastAsia" w:ascii="仿宋_GB2312" w:hAnsi="仿宋_GB2312" w:eastAsia="仿宋_GB2312" w:cs="仿宋_GB2312"/>
          <w:color w:val="auto"/>
          <w:kern w:val="21"/>
          <w:sz w:val="32"/>
          <w:szCs w:val="32"/>
          <w:lang w:val="en-US" w:eastAsia="zh-CN" w:bidi="ar-SA"/>
        </w:rPr>
        <w:t xml:space="preserve"> </w:t>
      </w:r>
    </w:p>
    <w:p w14:paraId="16B9829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67" w:name="_Toc32342"/>
      <w:bookmarkStart w:id="268" w:name="_Toc8685"/>
      <w:r>
        <w:rPr>
          <w:rFonts w:hint="eastAsia" w:ascii="仿宋_GB2312" w:hAnsi="仿宋_GB2312" w:eastAsia="仿宋_GB2312" w:cs="仿宋_GB2312"/>
          <w:color w:val="auto"/>
          <w:kern w:val="21"/>
          <w:sz w:val="32"/>
          <w:szCs w:val="32"/>
          <w:lang w:val="en-US" w:eastAsia="zh-CN" w:bidi="ar-SA"/>
        </w:rPr>
        <w:t>附件6：常见化学品引发水污染事故的简要处置方法</w:t>
      </w:r>
      <w:bookmarkEnd w:id="267"/>
      <w:bookmarkEnd w:id="268"/>
    </w:p>
    <w:p w14:paraId="3CDEF28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69" w:name="_Toc29916"/>
      <w:bookmarkStart w:id="270" w:name="_Toc16058"/>
      <w:r>
        <w:rPr>
          <w:rFonts w:hint="eastAsia" w:ascii="仿宋_GB2312" w:hAnsi="仿宋_GB2312" w:eastAsia="仿宋_GB2312" w:cs="仿宋_GB2312"/>
          <w:color w:val="auto"/>
          <w:kern w:val="21"/>
          <w:sz w:val="32"/>
          <w:szCs w:val="32"/>
          <w:lang w:val="en-US" w:eastAsia="zh-CN" w:bidi="ar-SA"/>
        </w:rPr>
        <w:t>附件7：适用处理不同超标项目的推荐技术</w:t>
      </w:r>
    </w:p>
    <w:p w14:paraId="76CD820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附件8：风险防控应急体系建设</w:t>
      </w:r>
      <w:bookmarkEnd w:id="269"/>
      <w:bookmarkEnd w:id="270"/>
    </w:p>
    <w:p w14:paraId="60253E0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71" w:name="_Toc16255"/>
      <w:bookmarkStart w:id="272" w:name="_Toc13053"/>
      <w:r>
        <w:rPr>
          <w:rFonts w:hint="eastAsia" w:ascii="仿宋_GB2312" w:hAnsi="仿宋_GB2312" w:eastAsia="仿宋_GB2312" w:cs="仿宋_GB2312"/>
          <w:color w:val="auto"/>
          <w:kern w:val="21"/>
          <w:sz w:val="32"/>
          <w:szCs w:val="32"/>
          <w:lang w:val="en-US" w:eastAsia="zh-CN" w:bidi="ar-SA"/>
        </w:rPr>
        <w:t>附件9：赤壁市集中式地表水饮用水水源地风险源清单</w:t>
      </w:r>
      <w:bookmarkEnd w:id="271"/>
      <w:bookmarkEnd w:id="272"/>
    </w:p>
    <w:p w14:paraId="33A4BA7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73" w:name="_Toc29761"/>
      <w:bookmarkStart w:id="274" w:name="_Toc14862"/>
      <w:r>
        <w:rPr>
          <w:rFonts w:hint="eastAsia" w:ascii="仿宋_GB2312" w:hAnsi="仿宋_GB2312" w:eastAsia="仿宋_GB2312" w:cs="仿宋_GB2312"/>
          <w:color w:val="auto"/>
          <w:kern w:val="21"/>
          <w:sz w:val="32"/>
          <w:szCs w:val="32"/>
          <w:lang w:val="en-US" w:eastAsia="zh-CN" w:bidi="ar-SA"/>
        </w:rPr>
        <w:t>附件10：赤壁市集中式地表水饮用水水源地突发环境事件情景应急处置措施</w:t>
      </w:r>
      <w:bookmarkEnd w:id="273"/>
      <w:bookmarkEnd w:id="274"/>
    </w:p>
    <w:p w14:paraId="128D744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75" w:name="_Toc7212"/>
      <w:r>
        <w:rPr>
          <w:rFonts w:hint="eastAsia" w:ascii="仿宋_GB2312" w:hAnsi="仿宋_GB2312" w:eastAsia="仿宋_GB2312" w:cs="仿宋_GB2312"/>
          <w:color w:val="auto"/>
          <w:kern w:val="21"/>
          <w:sz w:val="32"/>
          <w:szCs w:val="32"/>
          <w:lang w:val="en-US" w:eastAsia="zh-CN" w:bidi="ar-SA"/>
        </w:rPr>
        <w:t>附件11：赤壁市集中式地表水饮用水水源地突发环境事件现场调查表</w:t>
      </w:r>
      <w:bookmarkEnd w:id="275"/>
    </w:p>
    <w:p w14:paraId="47CBBCD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76" w:name="_Toc1333"/>
      <w:r>
        <w:rPr>
          <w:rFonts w:hint="eastAsia" w:ascii="仿宋_GB2312" w:hAnsi="仿宋_GB2312" w:eastAsia="仿宋_GB2312" w:cs="仿宋_GB2312"/>
          <w:color w:val="auto"/>
          <w:kern w:val="21"/>
          <w:sz w:val="32"/>
          <w:szCs w:val="32"/>
          <w:lang w:val="en-US" w:eastAsia="zh-CN" w:bidi="ar-SA"/>
        </w:rPr>
        <w:t>附件12：赤壁市集中式地表水饮用水水源地突发环境事件信息报送内容</w:t>
      </w:r>
      <w:bookmarkEnd w:id="276"/>
    </w:p>
    <w:p w14:paraId="2E46A01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bookmarkStart w:id="277" w:name="_Toc17817"/>
      <w:r>
        <w:rPr>
          <w:rFonts w:hint="eastAsia" w:ascii="仿宋_GB2312" w:hAnsi="仿宋_GB2312" w:eastAsia="仿宋_GB2312" w:cs="仿宋_GB2312"/>
          <w:color w:val="auto"/>
          <w:kern w:val="21"/>
          <w:sz w:val="32"/>
          <w:szCs w:val="32"/>
          <w:lang w:val="en-US" w:eastAsia="zh-CN" w:bidi="ar-SA"/>
        </w:rPr>
        <w:t>附件13：赤壁市集中式地表水饮用水水源地突发环境事件启动令和终止令格式内容</w:t>
      </w:r>
      <w:bookmarkEnd w:id="277"/>
    </w:p>
    <w:p w14:paraId="6CD165B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附件14：应急预案演习记录表</w:t>
      </w:r>
    </w:p>
    <w:p w14:paraId="03723D5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附件15：应急组织指挥体系框架图</w:t>
      </w:r>
    </w:p>
    <w:p w14:paraId="72F6CD2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附件16：湖北省县级以上集中式饮用水水源保护区划分方案</w:t>
      </w:r>
    </w:p>
    <w:p w14:paraId="2059DDA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附件17：省环保厅关于咸宁市撤销赤壁市供水总公司三水厂饮用水水源保护区有关意见的函</w:t>
      </w:r>
    </w:p>
    <w:p w14:paraId="0D6AC29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附件18：赤壁市人民政府关于《赤壁市陆水水库饮用水源地环境保护规划》的批复</w:t>
      </w:r>
    </w:p>
    <w:p w14:paraId="1399F70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both"/>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附件19：饮用水源地应急预案（征求意见稿）意见反馈（各部门）</w:t>
      </w:r>
    </w:p>
    <w:p w14:paraId="22322E5D">
      <w:pPr>
        <w:pStyle w:val="2"/>
        <w:rPr>
          <w:rFonts w:hint="eastAsia" w:ascii="仿宋_GB2312" w:hAnsi="仿宋_GB2312" w:eastAsia="仿宋_GB2312" w:cs="仿宋_GB2312"/>
          <w:color w:val="auto"/>
          <w:kern w:val="21"/>
          <w:sz w:val="32"/>
          <w:szCs w:val="32"/>
          <w:lang w:val="en-US" w:eastAsia="zh-CN" w:bidi="ar-SA"/>
        </w:rPr>
      </w:pPr>
    </w:p>
    <w:p w14:paraId="1C89200F">
      <w:pPr>
        <w:pStyle w:val="11"/>
        <w:pageBreakBefore w:val="0"/>
        <w:widowControl w:val="0"/>
        <w:kinsoku/>
        <w:wordWrap/>
        <w:overflowPunct/>
        <w:topLinePunct w:val="0"/>
        <w:bidi w:val="0"/>
        <w:spacing w:before="0" w:after="0" w:line="360" w:lineRule="auto"/>
        <w:ind w:left="0" w:leftChars="0" w:right="0" w:rightChars="0" w:firstLine="0" w:firstLine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340350" cy="4740910"/>
            <wp:effectExtent l="0" t="0" r="12700" b="2540"/>
            <wp:docPr id="23" name="图片 23" descr="QQ截图2021070917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210709170542"/>
                    <pic:cNvPicPr>
                      <a:picLocks noChangeAspect="1"/>
                    </pic:cNvPicPr>
                  </pic:nvPicPr>
                  <pic:blipFill>
                    <a:blip r:embed="rId16"/>
                    <a:stretch>
                      <a:fillRect/>
                    </a:stretch>
                  </pic:blipFill>
                  <pic:spPr>
                    <a:xfrm>
                      <a:off x="0" y="0"/>
                      <a:ext cx="5340350" cy="4740910"/>
                    </a:xfrm>
                    <a:prstGeom prst="rect">
                      <a:avLst/>
                    </a:prstGeom>
                  </pic:spPr>
                </pic:pic>
              </a:graphicData>
            </a:graphic>
          </wp:inline>
        </w:drawing>
      </w:r>
    </w:p>
    <w:p w14:paraId="3649C6CE">
      <w:pPr>
        <w:pStyle w:val="11"/>
        <w:pageBreakBefore w:val="0"/>
        <w:widowControl w:val="0"/>
        <w:kinsoku/>
        <w:wordWrap/>
        <w:overflowPunct/>
        <w:topLinePunct w:val="0"/>
        <w:bidi w:val="0"/>
        <w:spacing w:before="0" w:after="0" w:line="360" w:lineRule="auto"/>
        <w:ind w:left="0" w:leftChars="0" w:right="0" w:rightChars="0" w:firstLine="0" w:firstLine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bidi="ar-SA"/>
        </w:rPr>
        <w:t>图2-1 应急组织指挥体系框架图</w:t>
      </w:r>
    </w:p>
    <w:p w14:paraId="052209FD">
      <w:pPr>
        <w:pStyle w:val="2"/>
        <w:rPr>
          <w:rFonts w:hint="eastAsia" w:ascii="仿宋_GB2312" w:hAnsi="仿宋_GB2312" w:eastAsia="仿宋_GB2312" w:cs="仿宋_GB2312"/>
          <w:color w:val="auto"/>
          <w:kern w:val="21"/>
          <w:sz w:val="32"/>
          <w:szCs w:val="32"/>
          <w:lang w:val="en-US" w:eastAsia="zh-CN" w:bidi="ar-SA"/>
        </w:rPr>
        <w:sectPr>
          <w:footerReference r:id="rId13" w:type="default"/>
          <w:pgSz w:w="11906" w:h="16838"/>
          <w:pgMar w:top="1587" w:right="1587" w:bottom="1587" w:left="1587" w:header="1134" w:footer="1219"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3503DB05">
      <w:pPr>
        <w:pStyle w:val="2"/>
        <w:jc w:val="center"/>
        <w:rPr>
          <w:rFonts w:hint="eastAsia" w:eastAsia="宋体"/>
          <w:color w:val="auto"/>
          <w:lang w:eastAsia="zh-CN"/>
        </w:rPr>
      </w:pPr>
      <w:r>
        <w:rPr>
          <w:rFonts w:hint="eastAsia" w:eastAsia="宋体"/>
          <w:color w:val="auto"/>
          <w:lang w:eastAsia="zh-CN"/>
        </w:rPr>
        <w:drawing>
          <wp:inline distT="0" distB="0" distL="114300" distR="114300">
            <wp:extent cx="8888095" cy="5701030"/>
            <wp:effectExtent l="0" t="0" r="8255" b="13970"/>
            <wp:docPr id="8" name="图片 8" descr="页面提取自－2018赤壁市陆水水库饮用水水源保护区划分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页面提取自－2018赤壁市陆水水库饮用水水源保护区划分方案"/>
                    <pic:cNvPicPr>
                      <a:picLocks noChangeAspect="1"/>
                    </pic:cNvPicPr>
                  </pic:nvPicPr>
                  <pic:blipFill>
                    <a:blip r:embed="rId17"/>
                    <a:stretch>
                      <a:fillRect/>
                    </a:stretch>
                  </pic:blipFill>
                  <pic:spPr>
                    <a:xfrm>
                      <a:off x="0" y="0"/>
                      <a:ext cx="8888095" cy="5701030"/>
                    </a:xfrm>
                    <a:prstGeom prst="rect">
                      <a:avLst/>
                    </a:prstGeom>
                  </pic:spPr>
                </pic:pic>
              </a:graphicData>
            </a:graphic>
          </wp:inline>
        </w:drawing>
      </w:r>
    </w:p>
    <w:p w14:paraId="4CFE79E0">
      <w:pPr>
        <w:pStyle w:val="11"/>
        <w:pageBreakBefore w:val="0"/>
        <w:widowControl w:val="0"/>
        <w:kinsoku/>
        <w:wordWrap/>
        <w:overflowPunct/>
        <w:topLinePunct w:val="0"/>
        <w:bidi w:val="0"/>
        <w:spacing w:before="0" w:after="0" w:line="360" w:lineRule="auto"/>
        <w:ind w:left="0" w:leftChars="0" w:right="0" w:rightChars="0" w:firstLine="0" w:firstLineChars="0"/>
        <w:jc w:val="center"/>
        <w:rPr>
          <w:rFonts w:hint="eastAsia"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附图1  陆水水库水源地保护区位置及保护范围</w:t>
      </w:r>
    </w:p>
    <w:p w14:paraId="13D31262">
      <w:pPr>
        <w:pStyle w:val="2"/>
        <w:jc w:val="center"/>
        <w:rPr>
          <w:rFonts w:hint="eastAsia" w:ascii="Times New Roman" w:hAnsi="Times New Roman" w:eastAsia="宋体" w:cs="Times New Roman"/>
          <w:b/>
          <w:bCs/>
          <w:color w:val="auto"/>
          <w:kern w:val="21"/>
          <w:sz w:val="24"/>
          <w:szCs w:val="24"/>
          <w:lang w:val="en-US" w:eastAsia="zh-CN" w:bidi="ar-SA"/>
        </w:rPr>
      </w:pPr>
      <w:r>
        <w:rPr>
          <w:rFonts w:hint="eastAsia" w:ascii="Times New Roman" w:hAnsi="Times New Roman" w:eastAsia="宋体" w:cs="Times New Roman"/>
          <w:b/>
          <w:bCs/>
          <w:color w:val="auto"/>
          <w:kern w:val="21"/>
          <w:sz w:val="24"/>
          <w:szCs w:val="24"/>
          <w:lang w:val="en-US" w:eastAsia="zh-CN" w:bidi="ar-SA"/>
        </w:rPr>
        <w:drawing>
          <wp:inline distT="0" distB="0" distL="114300" distR="114300">
            <wp:extent cx="7764145" cy="5531485"/>
            <wp:effectExtent l="0" t="0" r="8255" b="12065"/>
            <wp:docPr id="9" name="图片 9" descr="页面提取自－集中式地表水饮用水水源地 突发环境事件应急预案编制指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页面提取自－集中式地表水饮用水水源地 突发环境事件应急预案编制指南-2"/>
                    <pic:cNvPicPr>
                      <a:picLocks noChangeAspect="1"/>
                    </pic:cNvPicPr>
                  </pic:nvPicPr>
                  <pic:blipFill>
                    <a:blip r:embed="rId18"/>
                    <a:stretch>
                      <a:fillRect/>
                    </a:stretch>
                  </pic:blipFill>
                  <pic:spPr>
                    <a:xfrm>
                      <a:off x="0" y="0"/>
                      <a:ext cx="7764145" cy="5531485"/>
                    </a:xfrm>
                    <a:prstGeom prst="rect">
                      <a:avLst/>
                    </a:prstGeom>
                  </pic:spPr>
                </pic:pic>
              </a:graphicData>
            </a:graphic>
          </wp:inline>
        </w:drawing>
      </w:r>
    </w:p>
    <w:p w14:paraId="0B6054B4">
      <w:pPr>
        <w:pStyle w:val="2"/>
        <w:jc w:val="center"/>
        <w:rPr>
          <w:rFonts w:hint="eastAsia"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附图2  突发污染事件应急处置工作流程图</w:t>
      </w:r>
    </w:p>
    <w:p w14:paraId="0CA7E514">
      <w:pPr>
        <w:pStyle w:val="2"/>
        <w:jc w:val="center"/>
        <w:rPr>
          <w:rFonts w:hint="eastAsia" w:ascii="仿宋_GB2312" w:hAnsi="仿宋_GB2312" w:eastAsia="仿宋_GB2312" w:cs="仿宋_GB2312"/>
          <w:b/>
          <w:bCs/>
          <w:color w:val="auto"/>
          <w:sz w:val="32"/>
          <w:szCs w:val="32"/>
          <w:lang w:val="en-US" w:eastAsia="zh-CN" w:bidi="ar-SA"/>
        </w:rPr>
      </w:pPr>
      <w:r>
        <w:rPr>
          <w:rFonts w:hint="eastAsia" w:ascii="黑体" w:hAnsi="黑体" w:eastAsia="黑体" w:cs="黑体"/>
          <w:b w:val="0"/>
          <w:bCs w:val="0"/>
          <w:color w:val="auto"/>
          <w:sz w:val="32"/>
          <w:szCs w:val="32"/>
          <w:lang w:val="en-US" w:eastAsia="zh-CN" w:bidi="ar-SA"/>
        </w:rPr>
        <w:t>附件1</w:t>
      </w:r>
      <w:r>
        <w:rPr>
          <w:rFonts w:hint="eastAsia" w:ascii="仿宋_GB2312" w:hAnsi="仿宋_GB2312" w:eastAsia="仿宋_GB2312" w:cs="仿宋_GB2312"/>
          <w:b/>
          <w:bCs/>
          <w:color w:val="auto"/>
          <w:sz w:val="32"/>
          <w:szCs w:val="32"/>
          <w:lang w:val="en-US" w:eastAsia="zh-CN" w:bidi="ar-SA"/>
        </w:rPr>
        <w:t xml:space="preserve">  陆水水库饮用水水源地概况</w:t>
      </w:r>
    </w:p>
    <w:p w14:paraId="799AF8E9">
      <w:pPr>
        <w:pStyle w:val="2"/>
        <w:rPr>
          <w:rFonts w:hint="eastAsia" w:eastAsia="宋体"/>
          <w:color w:val="auto"/>
          <w:lang w:val="en-US" w:eastAsia="zh-CN"/>
        </w:rPr>
      </w:pPr>
    </w:p>
    <w:tbl>
      <w:tblPr>
        <w:tblStyle w:val="17"/>
        <w:tblW w:w="156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270"/>
        <w:gridCol w:w="1351"/>
        <w:gridCol w:w="1445"/>
        <w:gridCol w:w="1282"/>
        <w:gridCol w:w="1032"/>
        <w:gridCol w:w="1664"/>
        <w:gridCol w:w="1261"/>
        <w:gridCol w:w="1261"/>
        <w:gridCol w:w="1261"/>
        <w:gridCol w:w="1492"/>
        <w:gridCol w:w="1329"/>
      </w:tblGrid>
      <w:tr w14:paraId="06889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966" w:type="dxa"/>
            <w:tcBorders>
              <w:tl2br w:val="nil"/>
              <w:tr2bl w:val="nil"/>
            </w:tcBorders>
            <w:noWrap w:val="0"/>
            <w:vAlign w:val="center"/>
          </w:tcPr>
          <w:p w14:paraId="5E866149">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县市区</w:t>
            </w:r>
          </w:p>
        </w:tc>
        <w:tc>
          <w:tcPr>
            <w:tcW w:w="1270" w:type="dxa"/>
            <w:tcBorders>
              <w:tl2br w:val="nil"/>
              <w:tr2bl w:val="nil"/>
            </w:tcBorders>
            <w:noWrap w:val="0"/>
            <w:vAlign w:val="center"/>
          </w:tcPr>
          <w:p w14:paraId="3C78E3AF">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区域</w:t>
            </w:r>
          </w:p>
        </w:tc>
        <w:tc>
          <w:tcPr>
            <w:tcW w:w="1351" w:type="dxa"/>
            <w:tcBorders>
              <w:tl2br w:val="nil"/>
              <w:tr2bl w:val="nil"/>
            </w:tcBorders>
            <w:noWrap w:val="0"/>
            <w:vAlign w:val="center"/>
          </w:tcPr>
          <w:p w14:paraId="0B6F3B3B">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水源地</w:t>
            </w:r>
          </w:p>
          <w:p w14:paraId="4BEDE1ED">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w:t>
            </w:r>
          </w:p>
        </w:tc>
        <w:tc>
          <w:tcPr>
            <w:tcW w:w="1445" w:type="dxa"/>
            <w:tcBorders>
              <w:tl2br w:val="nil"/>
              <w:tr2bl w:val="nil"/>
            </w:tcBorders>
            <w:noWrap w:val="0"/>
            <w:vAlign w:val="center"/>
          </w:tcPr>
          <w:p w14:paraId="591BD936">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水厂名称</w:t>
            </w:r>
          </w:p>
        </w:tc>
        <w:tc>
          <w:tcPr>
            <w:tcW w:w="1282" w:type="dxa"/>
            <w:tcBorders>
              <w:tl2br w:val="nil"/>
              <w:tr2bl w:val="nil"/>
            </w:tcBorders>
            <w:noWrap w:val="0"/>
            <w:vAlign w:val="center"/>
          </w:tcPr>
          <w:p w14:paraId="51066725">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水源地所在水体</w:t>
            </w:r>
          </w:p>
        </w:tc>
        <w:tc>
          <w:tcPr>
            <w:tcW w:w="1032" w:type="dxa"/>
            <w:tcBorders>
              <w:tl2br w:val="nil"/>
              <w:tr2bl w:val="nil"/>
            </w:tcBorders>
            <w:noWrap w:val="0"/>
            <w:vAlign w:val="center"/>
          </w:tcPr>
          <w:p w14:paraId="3F8DFD93">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水源地类型</w:t>
            </w:r>
          </w:p>
        </w:tc>
        <w:tc>
          <w:tcPr>
            <w:tcW w:w="1664" w:type="dxa"/>
            <w:tcBorders>
              <w:tl2br w:val="nil"/>
              <w:tr2bl w:val="nil"/>
            </w:tcBorders>
            <w:noWrap w:val="0"/>
            <w:vAlign w:val="center"/>
          </w:tcPr>
          <w:p w14:paraId="12AB85F3">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供水服务区域</w:t>
            </w:r>
          </w:p>
        </w:tc>
        <w:tc>
          <w:tcPr>
            <w:tcW w:w="1261" w:type="dxa"/>
            <w:tcBorders>
              <w:tl2br w:val="nil"/>
              <w:tr2bl w:val="nil"/>
            </w:tcBorders>
            <w:noWrap w:val="0"/>
            <w:vAlign w:val="center"/>
          </w:tcPr>
          <w:p w14:paraId="15FA5AEB">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实际服务人口（人）</w:t>
            </w:r>
          </w:p>
        </w:tc>
        <w:tc>
          <w:tcPr>
            <w:tcW w:w="1261" w:type="dxa"/>
            <w:tcBorders>
              <w:tl2br w:val="nil"/>
              <w:tr2bl w:val="nil"/>
            </w:tcBorders>
            <w:noWrap w:val="0"/>
            <w:vAlign w:val="center"/>
          </w:tcPr>
          <w:p w14:paraId="6C4E5182">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设计年取水量（万吨/年）</w:t>
            </w:r>
          </w:p>
        </w:tc>
        <w:tc>
          <w:tcPr>
            <w:tcW w:w="1261" w:type="dxa"/>
            <w:tcBorders>
              <w:tl2br w:val="nil"/>
              <w:tr2bl w:val="nil"/>
            </w:tcBorders>
            <w:noWrap w:val="0"/>
            <w:vAlign w:val="center"/>
          </w:tcPr>
          <w:p w14:paraId="7FD0F46A">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实际年取水量（万吨/年）</w:t>
            </w:r>
          </w:p>
        </w:tc>
        <w:tc>
          <w:tcPr>
            <w:tcW w:w="1492" w:type="dxa"/>
            <w:tcBorders>
              <w:tl2br w:val="nil"/>
              <w:tr2bl w:val="nil"/>
            </w:tcBorders>
            <w:noWrap w:val="0"/>
            <w:vAlign w:val="center"/>
          </w:tcPr>
          <w:p w14:paraId="0F866A07">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设计日供水量（万吨/天）</w:t>
            </w:r>
          </w:p>
        </w:tc>
        <w:tc>
          <w:tcPr>
            <w:tcW w:w="1329" w:type="dxa"/>
            <w:tcBorders>
              <w:tl2br w:val="nil"/>
              <w:tr2bl w:val="nil"/>
            </w:tcBorders>
            <w:noWrap w:val="0"/>
            <w:vAlign w:val="center"/>
          </w:tcPr>
          <w:p w14:paraId="5DE64614">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实际日供水量（万吨/天）</w:t>
            </w:r>
          </w:p>
        </w:tc>
      </w:tr>
      <w:tr w14:paraId="59232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966" w:type="dxa"/>
            <w:vMerge w:val="restart"/>
            <w:tcBorders>
              <w:tl2br w:val="nil"/>
              <w:tr2bl w:val="nil"/>
            </w:tcBorders>
            <w:noWrap w:val="0"/>
            <w:vAlign w:val="center"/>
          </w:tcPr>
          <w:p w14:paraId="23BB5B0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赤壁</w:t>
            </w:r>
          </w:p>
        </w:tc>
        <w:tc>
          <w:tcPr>
            <w:tcW w:w="1270" w:type="dxa"/>
            <w:vMerge w:val="restart"/>
            <w:tcBorders>
              <w:tl2br w:val="nil"/>
              <w:tr2bl w:val="nil"/>
            </w:tcBorders>
            <w:noWrap w:val="0"/>
            <w:vAlign w:val="center"/>
          </w:tcPr>
          <w:p w14:paraId="17B96C0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sz w:val="24"/>
                <w:szCs w:val="24"/>
                <w:lang w:val="en-US" w:eastAsia="zh-CN"/>
              </w:rPr>
              <w:t>陆水湖风景名胜区</w:t>
            </w:r>
          </w:p>
        </w:tc>
        <w:tc>
          <w:tcPr>
            <w:tcW w:w="1351" w:type="dxa"/>
            <w:vMerge w:val="restart"/>
            <w:tcBorders>
              <w:tl2br w:val="nil"/>
              <w:tr2bl w:val="nil"/>
            </w:tcBorders>
            <w:noWrap w:val="0"/>
            <w:vAlign w:val="center"/>
          </w:tcPr>
          <w:p w14:paraId="555B922D">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sz w:val="24"/>
                <w:szCs w:val="24"/>
                <w:lang w:val="en-US" w:eastAsia="zh-CN"/>
              </w:rPr>
              <w:t>陆水水库</w:t>
            </w:r>
          </w:p>
        </w:tc>
        <w:tc>
          <w:tcPr>
            <w:tcW w:w="1445" w:type="dxa"/>
            <w:tcBorders>
              <w:tl2br w:val="nil"/>
              <w:tr2bl w:val="nil"/>
            </w:tcBorders>
            <w:noWrap w:val="0"/>
            <w:vAlign w:val="center"/>
          </w:tcPr>
          <w:p w14:paraId="62F94C72">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sz w:val="24"/>
                <w:szCs w:val="24"/>
                <w:lang w:val="en-US" w:eastAsia="zh-CN"/>
              </w:rPr>
              <w:t>一水厂</w:t>
            </w:r>
          </w:p>
        </w:tc>
        <w:tc>
          <w:tcPr>
            <w:tcW w:w="1282" w:type="dxa"/>
            <w:vMerge w:val="restart"/>
            <w:tcBorders>
              <w:tl2br w:val="nil"/>
              <w:tr2bl w:val="nil"/>
            </w:tcBorders>
            <w:noWrap w:val="0"/>
            <w:vAlign w:val="center"/>
          </w:tcPr>
          <w:p w14:paraId="3CADD3D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sz w:val="24"/>
                <w:szCs w:val="24"/>
                <w:lang w:val="en-US" w:eastAsia="zh-CN"/>
              </w:rPr>
              <w:t>陆水</w:t>
            </w:r>
          </w:p>
        </w:tc>
        <w:tc>
          <w:tcPr>
            <w:tcW w:w="1032" w:type="dxa"/>
            <w:vMerge w:val="restart"/>
            <w:tcBorders>
              <w:tl2br w:val="nil"/>
              <w:tr2bl w:val="nil"/>
            </w:tcBorders>
            <w:noWrap w:val="0"/>
            <w:vAlign w:val="center"/>
          </w:tcPr>
          <w:p w14:paraId="79E0A1B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sz w:val="24"/>
                <w:szCs w:val="24"/>
                <w:lang w:val="en-US" w:eastAsia="zh-CN"/>
              </w:rPr>
              <w:t>水库</w:t>
            </w:r>
          </w:p>
        </w:tc>
        <w:tc>
          <w:tcPr>
            <w:tcW w:w="1664" w:type="dxa"/>
            <w:vMerge w:val="restart"/>
            <w:tcBorders>
              <w:tl2br w:val="nil"/>
              <w:tr2bl w:val="nil"/>
            </w:tcBorders>
            <w:noWrap w:val="0"/>
            <w:vAlign w:val="center"/>
          </w:tcPr>
          <w:p w14:paraId="43908E8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赤壁</w:t>
            </w:r>
          </w:p>
          <w:p w14:paraId="56A6D6E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sz w:val="24"/>
                <w:szCs w:val="24"/>
                <w:lang w:val="en-US" w:eastAsia="zh-CN"/>
              </w:rPr>
              <w:t>市城区、工业园区及周边部分村组</w:t>
            </w:r>
          </w:p>
        </w:tc>
        <w:tc>
          <w:tcPr>
            <w:tcW w:w="1261" w:type="dxa"/>
            <w:vMerge w:val="restart"/>
            <w:tcBorders>
              <w:tl2br w:val="nil"/>
              <w:tr2bl w:val="nil"/>
            </w:tcBorders>
            <w:noWrap w:val="0"/>
            <w:vAlign w:val="center"/>
          </w:tcPr>
          <w:p w14:paraId="084F882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sz w:val="24"/>
                <w:szCs w:val="24"/>
                <w:lang w:val="en-US" w:eastAsia="zh-CN"/>
              </w:rPr>
              <w:t>28万人</w:t>
            </w:r>
          </w:p>
        </w:tc>
        <w:tc>
          <w:tcPr>
            <w:tcW w:w="1261" w:type="dxa"/>
            <w:vMerge w:val="restart"/>
            <w:tcBorders>
              <w:tl2br w:val="nil"/>
              <w:tr2bl w:val="nil"/>
            </w:tcBorders>
            <w:noWrap w:val="0"/>
            <w:vAlign w:val="center"/>
          </w:tcPr>
          <w:p w14:paraId="31126EF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3650</w:t>
            </w:r>
          </w:p>
        </w:tc>
        <w:tc>
          <w:tcPr>
            <w:tcW w:w="1261" w:type="dxa"/>
            <w:vMerge w:val="restart"/>
            <w:tcBorders>
              <w:tl2br w:val="nil"/>
              <w:tr2bl w:val="nil"/>
            </w:tcBorders>
            <w:noWrap w:val="0"/>
            <w:vAlign w:val="center"/>
          </w:tcPr>
          <w:p w14:paraId="0C641F8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sz w:val="24"/>
                <w:szCs w:val="24"/>
                <w:lang w:val="en-US" w:eastAsia="zh-CN"/>
              </w:rPr>
              <w:t>2568</w:t>
            </w:r>
          </w:p>
        </w:tc>
        <w:tc>
          <w:tcPr>
            <w:tcW w:w="1492" w:type="dxa"/>
            <w:vMerge w:val="restart"/>
            <w:tcBorders>
              <w:tl2br w:val="nil"/>
              <w:tr2bl w:val="nil"/>
            </w:tcBorders>
            <w:noWrap w:val="0"/>
            <w:vAlign w:val="center"/>
          </w:tcPr>
          <w:p w14:paraId="0B485B1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10</w:t>
            </w:r>
          </w:p>
        </w:tc>
        <w:tc>
          <w:tcPr>
            <w:tcW w:w="1329" w:type="dxa"/>
            <w:vMerge w:val="restart"/>
            <w:tcBorders>
              <w:tl2br w:val="nil"/>
              <w:tr2bl w:val="nil"/>
            </w:tcBorders>
            <w:noWrap w:val="0"/>
            <w:vAlign w:val="center"/>
          </w:tcPr>
          <w:p w14:paraId="2F0BF75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7</w:t>
            </w:r>
          </w:p>
        </w:tc>
      </w:tr>
      <w:tr w14:paraId="112B7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966" w:type="dxa"/>
            <w:vMerge w:val="continue"/>
            <w:tcBorders>
              <w:tl2br w:val="nil"/>
              <w:tr2bl w:val="nil"/>
            </w:tcBorders>
            <w:noWrap w:val="0"/>
            <w:vAlign w:val="center"/>
          </w:tcPr>
          <w:p w14:paraId="3A30A5DA">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p>
        </w:tc>
        <w:tc>
          <w:tcPr>
            <w:tcW w:w="1270" w:type="dxa"/>
            <w:vMerge w:val="continue"/>
            <w:tcBorders>
              <w:tl2br w:val="nil"/>
              <w:tr2bl w:val="nil"/>
            </w:tcBorders>
            <w:noWrap w:val="0"/>
            <w:vAlign w:val="center"/>
          </w:tcPr>
          <w:p w14:paraId="63C90670">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p>
        </w:tc>
        <w:tc>
          <w:tcPr>
            <w:tcW w:w="1351" w:type="dxa"/>
            <w:vMerge w:val="continue"/>
            <w:tcBorders>
              <w:tl2br w:val="nil"/>
              <w:tr2bl w:val="nil"/>
            </w:tcBorders>
            <w:noWrap w:val="0"/>
            <w:vAlign w:val="center"/>
          </w:tcPr>
          <w:p w14:paraId="442B63FA">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p>
        </w:tc>
        <w:tc>
          <w:tcPr>
            <w:tcW w:w="1445" w:type="dxa"/>
            <w:tcBorders>
              <w:tl2br w:val="nil"/>
              <w:tr2bl w:val="nil"/>
            </w:tcBorders>
            <w:noWrap w:val="0"/>
            <w:vAlign w:val="center"/>
          </w:tcPr>
          <w:p w14:paraId="3707F44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sz w:val="24"/>
                <w:szCs w:val="24"/>
                <w:lang w:val="en-US" w:eastAsia="zh-CN"/>
              </w:rPr>
              <w:t>二水厂</w:t>
            </w:r>
          </w:p>
        </w:tc>
        <w:tc>
          <w:tcPr>
            <w:tcW w:w="1282" w:type="dxa"/>
            <w:vMerge w:val="continue"/>
            <w:tcBorders>
              <w:tl2br w:val="nil"/>
              <w:tr2bl w:val="nil"/>
            </w:tcBorders>
            <w:noWrap w:val="0"/>
            <w:vAlign w:val="center"/>
          </w:tcPr>
          <w:p w14:paraId="16423F68">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p>
        </w:tc>
        <w:tc>
          <w:tcPr>
            <w:tcW w:w="1032" w:type="dxa"/>
            <w:vMerge w:val="continue"/>
            <w:tcBorders>
              <w:tl2br w:val="nil"/>
              <w:tr2bl w:val="nil"/>
            </w:tcBorders>
            <w:noWrap w:val="0"/>
            <w:vAlign w:val="center"/>
          </w:tcPr>
          <w:p w14:paraId="25417CFC">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p>
        </w:tc>
        <w:tc>
          <w:tcPr>
            <w:tcW w:w="1664" w:type="dxa"/>
            <w:vMerge w:val="continue"/>
            <w:tcBorders>
              <w:tl2br w:val="nil"/>
              <w:tr2bl w:val="nil"/>
            </w:tcBorders>
            <w:noWrap w:val="0"/>
            <w:vAlign w:val="center"/>
          </w:tcPr>
          <w:p w14:paraId="374496C7">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p>
        </w:tc>
        <w:tc>
          <w:tcPr>
            <w:tcW w:w="1261" w:type="dxa"/>
            <w:vMerge w:val="continue"/>
            <w:tcBorders>
              <w:tl2br w:val="nil"/>
              <w:tr2bl w:val="nil"/>
            </w:tcBorders>
            <w:noWrap w:val="0"/>
            <w:vAlign w:val="center"/>
          </w:tcPr>
          <w:p w14:paraId="05B1BF0E">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p>
        </w:tc>
        <w:tc>
          <w:tcPr>
            <w:tcW w:w="1261" w:type="dxa"/>
            <w:vMerge w:val="continue"/>
            <w:tcBorders>
              <w:tl2br w:val="nil"/>
              <w:tr2bl w:val="nil"/>
            </w:tcBorders>
            <w:noWrap w:val="0"/>
            <w:vAlign w:val="center"/>
          </w:tcPr>
          <w:p w14:paraId="788D7BE7">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p>
        </w:tc>
        <w:tc>
          <w:tcPr>
            <w:tcW w:w="1261" w:type="dxa"/>
            <w:vMerge w:val="continue"/>
            <w:tcBorders>
              <w:tl2br w:val="nil"/>
              <w:tr2bl w:val="nil"/>
            </w:tcBorders>
            <w:noWrap w:val="0"/>
            <w:vAlign w:val="center"/>
          </w:tcPr>
          <w:p w14:paraId="13FA7505">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p>
        </w:tc>
        <w:tc>
          <w:tcPr>
            <w:tcW w:w="1492" w:type="dxa"/>
            <w:vMerge w:val="continue"/>
            <w:tcBorders>
              <w:tl2br w:val="nil"/>
              <w:tr2bl w:val="nil"/>
            </w:tcBorders>
            <w:noWrap w:val="0"/>
            <w:vAlign w:val="center"/>
          </w:tcPr>
          <w:p w14:paraId="51207AF5">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p>
        </w:tc>
        <w:tc>
          <w:tcPr>
            <w:tcW w:w="1329" w:type="dxa"/>
            <w:vMerge w:val="continue"/>
            <w:tcBorders>
              <w:tl2br w:val="nil"/>
              <w:tr2bl w:val="nil"/>
            </w:tcBorders>
            <w:noWrap w:val="0"/>
            <w:vAlign w:val="center"/>
          </w:tcPr>
          <w:p w14:paraId="2DE37CD4">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lang w:val="en-US" w:eastAsia="zh-CN"/>
              </w:rPr>
            </w:pPr>
          </w:p>
        </w:tc>
      </w:tr>
    </w:tbl>
    <w:p w14:paraId="6F0D19FD">
      <w:pPr>
        <w:pStyle w:val="8"/>
        <w:rPr>
          <w:rFonts w:hint="eastAsia"/>
          <w:lang w:val="en-US" w:eastAsia="zh-CN"/>
        </w:rPr>
        <w:sectPr>
          <w:pgSz w:w="16838" w:h="11906" w:orient="landscape"/>
          <w:pgMar w:top="720" w:right="720" w:bottom="720" w:left="720" w:header="1134" w:footer="1219"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619EC5E3">
      <w:pPr>
        <w:pStyle w:val="2"/>
        <w:jc w:val="center"/>
        <w:rPr>
          <w:rFonts w:hint="eastAsia" w:ascii="仿宋_GB2312" w:hAnsi="仿宋_GB2312" w:eastAsia="仿宋_GB2312" w:cs="仿宋_GB2312"/>
          <w:b/>
          <w:bCs/>
          <w:color w:val="auto"/>
          <w:sz w:val="32"/>
          <w:szCs w:val="32"/>
          <w:lang w:val="en-US" w:eastAsia="zh-CN" w:bidi="ar-SA"/>
        </w:rPr>
      </w:pPr>
      <w:bookmarkStart w:id="278" w:name="_Toc6281"/>
      <w:bookmarkStart w:id="279" w:name="_Toc11042"/>
      <w:r>
        <w:rPr>
          <w:rFonts w:hint="eastAsia" w:ascii="黑体" w:hAnsi="黑体" w:eastAsia="黑体" w:cs="黑体"/>
          <w:b w:val="0"/>
          <w:bCs w:val="0"/>
          <w:color w:val="auto"/>
          <w:sz w:val="32"/>
          <w:szCs w:val="32"/>
          <w:lang w:val="en-US" w:eastAsia="zh-CN" w:bidi="ar-SA"/>
        </w:rPr>
        <w:t>附件2</w:t>
      </w:r>
      <w:r>
        <w:rPr>
          <w:rFonts w:hint="eastAsia" w:ascii="仿宋_GB2312" w:hAnsi="仿宋_GB2312" w:eastAsia="仿宋_GB2312" w:cs="仿宋_GB2312"/>
          <w:b/>
          <w:bCs/>
          <w:color w:val="auto"/>
          <w:sz w:val="32"/>
          <w:szCs w:val="32"/>
          <w:lang w:val="en-US" w:eastAsia="zh-CN" w:bidi="ar-SA"/>
        </w:rPr>
        <w:t xml:space="preserve">  集中式饮用水水源地突发环境事件应急指挥</w:t>
      </w:r>
      <w:bookmarkEnd w:id="278"/>
      <w:bookmarkEnd w:id="279"/>
      <w:r>
        <w:rPr>
          <w:rFonts w:hint="eastAsia" w:ascii="仿宋_GB2312" w:hAnsi="仿宋_GB2312" w:eastAsia="仿宋_GB2312" w:cs="仿宋_GB2312"/>
          <w:b/>
          <w:bCs/>
          <w:color w:val="auto"/>
          <w:sz w:val="32"/>
          <w:szCs w:val="32"/>
          <w:lang w:val="en-US" w:eastAsia="zh-CN" w:bidi="ar-SA"/>
        </w:rPr>
        <w:t>部通讯录</w:t>
      </w:r>
    </w:p>
    <w:tbl>
      <w:tblPr>
        <w:tblStyle w:val="17"/>
        <w:tblW w:w="99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424"/>
        <w:gridCol w:w="2097"/>
        <w:gridCol w:w="1273"/>
        <w:gridCol w:w="3942"/>
      </w:tblGrid>
      <w:tr w14:paraId="091C8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0" w:type="dxa"/>
            <w:gridSpan w:val="2"/>
            <w:tcBorders>
              <w:top w:val="single" w:color="auto" w:sz="12" w:space="0"/>
              <w:bottom w:val="single" w:color="auto" w:sz="12" w:space="0"/>
            </w:tcBorders>
            <w:noWrap w:val="0"/>
            <w:vAlign w:val="center"/>
          </w:tcPr>
          <w:p w14:paraId="6FE0335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应急组织指挥机构组成</w:t>
            </w:r>
          </w:p>
        </w:tc>
        <w:tc>
          <w:tcPr>
            <w:tcW w:w="2097" w:type="dxa"/>
            <w:tcBorders>
              <w:top w:val="single" w:color="auto" w:sz="12" w:space="0"/>
              <w:bottom w:val="single" w:color="auto" w:sz="12" w:space="0"/>
            </w:tcBorders>
            <w:noWrap w:val="0"/>
            <w:vAlign w:val="center"/>
          </w:tcPr>
          <w:p w14:paraId="3F3360E9">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职务</w:t>
            </w:r>
          </w:p>
        </w:tc>
        <w:tc>
          <w:tcPr>
            <w:tcW w:w="1273" w:type="dxa"/>
            <w:tcBorders>
              <w:top w:val="single" w:color="auto" w:sz="12" w:space="0"/>
              <w:bottom w:val="single" w:color="auto" w:sz="12" w:space="0"/>
            </w:tcBorders>
            <w:noWrap w:val="0"/>
            <w:vAlign w:val="center"/>
          </w:tcPr>
          <w:p w14:paraId="25D9DF4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联系电话</w:t>
            </w:r>
          </w:p>
        </w:tc>
        <w:tc>
          <w:tcPr>
            <w:tcW w:w="3942" w:type="dxa"/>
            <w:tcBorders>
              <w:top w:val="single" w:color="auto" w:sz="12" w:space="0"/>
              <w:bottom w:val="single" w:color="auto" w:sz="12" w:space="0"/>
            </w:tcBorders>
            <w:noWrap w:val="0"/>
            <w:vAlign w:val="center"/>
          </w:tcPr>
          <w:p w14:paraId="4DBE1F5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工作职责</w:t>
            </w:r>
          </w:p>
        </w:tc>
      </w:tr>
      <w:tr w14:paraId="26C0D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6" w:type="dxa"/>
            <w:tcBorders>
              <w:top w:val="single" w:color="auto" w:sz="12" w:space="0"/>
            </w:tcBorders>
            <w:noWrap w:val="0"/>
            <w:vAlign w:val="center"/>
          </w:tcPr>
          <w:p w14:paraId="25BE7C4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总指挥</w:t>
            </w:r>
          </w:p>
        </w:tc>
        <w:tc>
          <w:tcPr>
            <w:tcW w:w="1424" w:type="dxa"/>
            <w:tcBorders>
              <w:top w:val="single" w:color="auto" w:sz="12" w:space="0"/>
            </w:tcBorders>
            <w:noWrap w:val="0"/>
            <w:vAlign w:val="center"/>
          </w:tcPr>
          <w:p w14:paraId="67AF55C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赤壁市人民政府</w:t>
            </w:r>
          </w:p>
        </w:tc>
        <w:tc>
          <w:tcPr>
            <w:tcW w:w="2097" w:type="dxa"/>
            <w:tcBorders>
              <w:top w:val="single" w:color="auto" w:sz="12" w:space="0"/>
            </w:tcBorders>
            <w:noWrap w:val="0"/>
            <w:vAlign w:val="center"/>
          </w:tcPr>
          <w:p w14:paraId="651C354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市分管环保工作副市长</w:t>
            </w:r>
          </w:p>
        </w:tc>
        <w:tc>
          <w:tcPr>
            <w:tcW w:w="1273" w:type="dxa"/>
            <w:vMerge w:val="restart"/>
            <w:tcBorders>
              <w:top w:val="single" w:color="auto" w:sz="12" w:space="0"/>
            </w:tcBorders>
            <w:noWrap w:val="0"/>
            <w:vAlign w:val="center"/>
          </w:tcPr>
          <w:p w14:paraId="5F08E16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0715-5350099</w:t>
            </w:r>
          </w:p>
        </w:tc>
        <w:tc>
          <w:tcPr>
            <w:tcW w:w="3942" w:type="dxa"/>
            <w:tcBorders>
              <w:top w:val="single" w:color="auto" w:sz="12" w:space="0"/>
            </w:tcBorders>
            <w:noWrap w:val="0"/>
            <w:vAlign w:val="center"/>
          </w:tcPr>
          <w:p w14:paraId="3B1FEFD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val="en-US" w:eastAsia="zh-CN"/>
              </w:rPr>
              <w:t>发生水源地突发环境事件时，亲自（或委托副总指挥）赶赴现场进行指挥，组织开展 现场应急处置；贯彻执行当地或上级人民政府及有关部门的应急指令；按照预警、应急启动或终止条件，决定预案的启动或终止 研判突发环境事件发展态势，组织制定 并批准现场处置方案；组织开展损害评估等后期工作。</w:t>
            </w:r>
          </w:p>
        </w:tc>
      </w:tr>
      <w:tr w14:paraId="68BB1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6" w:type="dxa"/>
            <w:noWrap w:val="0"/>
            <w:vAlign w:val="center"/>
          </w:tcPr>
          <w:p w14:paraId="2C35C37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副总指挥</w:t>
            </w:r>
          </w:p>
        </w:tc>
        <w:tc>
          <w:tcPr>
            <w:tcW w:w="1424" w:type="dxa"/>
            <w:noWrap w:val="0"/>
            <w:vAlign w:val="center"/>
          </w:tcPr>
          <w:p w14:paraId="0E7CE13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赤壁市人民政府</w:t>
            </w:r>
          </w:p>
        </w:tc>
        <w:tc>
          <w:tcPr>
            <w:tcW w:w="2097" w:type="dxa"/>
            <w:noWrap w:val="0"/>
            <w:vAlign w:val="center"/>
          </w:tcPr>
          <w:p w14:paraId="680BBF8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市分管环保工作办公室副主任</w:t>
            </w:r>
          </w:p>
        </w:tc>
        <w:tc>
          <w:tcPr>
            <w:tcW w:w="1273" w:type="dxa"/>
            <w:vMerge w:val="continue"/>
            <w:noWrap w:val="0"/>
            <w:vAlign w:val="center"/>
          </w:tcPr>
          <w:p w14:paraId="4012F7E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p>
        </w:tc>
        <w:tc>
          <w:tcPr>
            <w:tcW w:w="3942" w:type="dxa"/>
            <w:vMerge w:val="restart"/>
            <w:noWrap w:val="0"/>
            <w:vAlign w:val="center"/>
          </w:tcPr>
          <w:p w14:paraId="34A97AF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val="en-US" w:eastAsia="zh-CN"/>
              </w:rPr>
              <w:t>协助总指挥组织开展现场应急处置；根据分工或总指挥安排，负责现场的具体指挥协调；负责提出有关应急处置建议；负责向场外人员通报有关应急信息；负责协调现场与场外应急处置工作；停止取水后，负责协调保障居民用水；处置现场出现的紧急情况。</w:t>
            </w:r>
          </w:p>
        </w:tc>
      </w:tr>
      <w:tr w14:paraId="3D78A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6" w:type="dxa"/>
            <w:noWrap w:val="0"/>
            <w:vAlign w:val="center"/>
          </w:tcPr>
          <w:p w14:paraId="610B90C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副总指挥</w:t>
            </w:r>
          </w:p>
        </w:tc>
        <w:tc>
          <w:tcPr>
            <w:tcW w:w="1424" w:type="dxa"/>
            <w:noWrap w:val="0"/>
            <w:vAlign w:val="center"/>
          </w:tcPr>
          <w:p w14:paraId="172EF5F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咸宁市生态环境局赤壁市分局</w:t>
            </w:r>
          </w:p>
        </w:tc>
        <w:tc>
          <w:tcPr>
            <w:tcW w:w="2097" w:type="dxa"/>
            <w:noWrap w:val="0"/>
            <w:vAlign w:val="center"/>
          </w:tcPr>
          <w:p w14:paraId="2314AB1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咸宁市生态环境局赤壁市分局主要负责人</w:t>
            </w:r>
          </w:p>
        </w:tc>
        <w:tc>
          <w:tcPr>
            <w:tcW w:w="1273" w:type="dxa"/>
            <w:vMerge w:val="restart"/>
            <w:noWrap w:val="0"/>
            <w:vAlign w:val="center"/>
          </w:tcPr>
          <w:p w14:paraId="3367C7E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val="en-US" w:eastAsia="zh-CN"/>
              </w:rPr>
              <w:t>0715-5355351</w:t>
            </w:r>
          </w:p>
        </w:tc>
        <w:tc>
          <w:tcPr>
            <w:tcW w:w="3942" w:type="dxa"/>
            <w:vMerge w:val="continue"/>
            <w:noWrap w:val="0"/>
            <w:vAlign w:val="center"/>
          </w:tcPr>
          <w:p w14:paraId="37273FE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1"/>
                <w:szCs w:val="21"/>
                <w:lang w:eastAsia="zh-CN"/>
              </w:rPr>
            </w:pPr>
          </w:p>
        </w:tc>
      </w:tr>
      <w:tr w14:paraId="09761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6" w:type="dxa"/>
            <w:noWrap w:val="0"/>
            <w:vAlign w:val="center"/>
          </w:tcPr>
          <w:p w14:paraId="7A5908F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应急指挥部办公室主任</w:t>
            </w:r>
          </w:p>
        </w:tc>
        <w:tc>
          <w:tcPr>
            <w:tcW w:w="1424" w:type="dxa"/>
            <w:noWrap w:val="0"/>
            <w:vAlign w:val="center"/>
          </w:tcPr>
          <w:p w14:paraId="0742CEC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咸宁市生态环境局赤壁市分局</w:t>
            </w:r>
          </w:p>
        </w:tc>
        <w:tc>
          <w:tcPr>
            <w:tcW w:w="2097" w:type="dxa"/>
            <w:noWrap w:val="0"/>
            <w:vAlign w:val="center"/>
          </w:tcPr>
          <w:p w14:paraId="324F456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t>咸宁市生态环境局赤壁市分局局办负责人</w:t>
            </w:r>
          </w:p>
        </w:tc>
        <w:tc>
          <w:tcPr>
            <w:tcW w:w="1273" w:type="dxa"/>
            <w:vMerge w:val="continue"/>
            <w:noWrap w:val="0"/>
            <w:vAlign w:val="center"/>
          </w:tcPr>
          <w:p w14:paraId="3495109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1"/>
                <w:szCs w:val="21"/>
                <w:lang w:eastAsia="zh-CN"/>
              </w:rPr>
            </w:pPr>
          </w:p>
        </w:tc>
        <w:tc>
          <w:tcPr>
            <w:tcW w:w="3942" w:type="dxa"/>
            <w:noWrap w:val="0"/>
            <w:vAlign w:val="center"/>
          </w:tcPr>
          <w:p w14:paraId="4D6B4FE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val="en-US" w:eastAsia="zh-CN"/>
              </w:rPr>
              <w:t>贯彻执行总指挥、副总指挥的各项指令和要求；负责信息汇总上报，并与有关的外部应急部门、组织和机构进行联络；负责调动应急人员、调配应急资源和联络外部应急组织或机构；收集整理有关事件数据。</w:t>
            </w:r>
          </w:p>
        </w:tc>
      </w:tr>
    </w:tbl>
    <w:p w14:paraId="09E732A1">
      <w:pPr>
        <w:pStyle w:val="8"/>
        <w:rPr>
          <w:rFonts w:hint="eastAsia"/>
          <w:lang w:val="en-US" w:eastAsia="zh-CN"/>
        </w:rPr>
        <w:sectPr>
          <w:pgSz w:w="11906" w:h="16838"/>
          <w:pgMar w:top="1440" w:right="1080" w:bottom="1440" w:left="1080" w:header="1134" w:footer="1219"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67612C5A">
      <w:pPr>
        <w:pStyle w:val="2"/>
        <w:jc w:val="center"/>
        <w:rPr>
          <w:rFonts w:hint="eastAsia" w:ascii="仿宋_GB2312" w:hAnsi="仿宋_GB2312" w:eastAsia="仿宋_GB2312" w:cs="仿宋_GB2312"/>
          <w:b/>
          <w:bCs/>
          <w:color w:val="auto"/>
          <w:sz w:val="32"/>
          <w:szCs w:val="32"/>
          <w:lang w:val="en-US" w:eastAsia="zh-CN" w:bidi="ar-SA"/>
        </w:rPr>
      </w:pPr>
      <w:r>
        <w:rPr>
          <w:rFonts w:hint="eastAsia" w:ascii="黑体" w:hAnsi="黑体" w:eastAsia="黑体" w:cs="黑体"/>
          <w:b w:val="0"/>
          <w:bCs w:val="0"/>
          <w:color w:val="auto"/>
          <w:sz w:val="32"/>
          <w:szCs w:val="32"/>
          <w:lang w:val="en-US" w:eastAsia="zh-CN" w:bidi="ar-SA"/>
        </w:rPr>
        <w:t>附件3</w:t>
      </w:r>
      <w:r>
        <w:rPr>
          <w:rFonts w:hint="eastAsia" w:ascii="仿宋_GB2312" w:hAnsi="仿宋_GB2312" w:eastAsia="仿宋_GB2312" w:cs="仿宋_GB2312"/>
          <w:b/>
          <w:bCs/>
          <w:color w:val="auto"/>
          <w:sz w:val="32"/>
          <w:szCs w:val="32"/>
          <w:lang w:val="en-US" w:eastAsia="zh-CN" w:bidi="ar-SA"/>
        </w:rPr>
        <w:t xml:space="preserve">  集中式饮用水水源地突发环境事件应急主要成员单位及职责</w:t>
      </w:r>
    </w:p>
    <w:tbl>
      <w:tblPr>
        <w:tblStyle w:val="17"/>
        <w:tblW w:w="15398" w:type="dxa"/>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730"/>
        <w:gridCol w:w="2036"/>
        <w:gridCol w:w="1679"/>
        <w:gridCol w:w="10953"/>
      </w:tblGrid>
      <w:tr w14:paraId="145F640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6" w:hRule="atLeast"/>
          <w:tblHeader/>
        </w:trPr>
        <w:tc>
          <w:tcPr>
            <w:tcW w:w="730" w:type="dxa"/>
            <w:tcBorders>
              <w:tl2br w:val="nil"/>
              <w:tr2bl w:val="nil"/>
            </w:tcBorders>
            <w:vAlign w:val="center"/>
          </w:tcPr>
          <w:p w14:paraId="52C81AB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序号</w:t>
            </w:r>
          </w:p>
        </w:tc>
        <w:tc>
          <w:tcPr>
            <w:tcW w:w="2036" w:type="dxa"/>
            <w:tcBorders>
              <w:tl2br w:val="nil"/>
              <w:tr2bl w:val="nil"/>
            </w:tcBorders>
            <w:vAlign w:val="center"/>
          </w:tcPr>
          <w:p w14:paraId="0E1690D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成员单位</w:t>
            </w:r>
          </w:p>
        </w:tc>
        <w:tc>
          <w:tcPr>
            <w:tcW w:w="1679" w:type="dxa"/>
            <w:tcBorders>
              <w:tl2br w:val="nil"/>
              <w:tr2bl w:val="nil"/>
            </w:tcBorders>
            <w:vAlign w:val="center"/>
          </w:tcPr>
          <w:p w14:paraId="22E7844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联系方式</w:t>
            </w:r>
          </w:p>
        </w:tc>
        <w:tc>
          <w:tcPr>
            <w:tcW w:w="10953" w:type="dxa"/>
            <w:tcBorders>
              <w:tl2br w:val="nil"/>
              <w:tr2bl w:val="nil"/>
            </w:tcBorders>
            <w:vAlign w:val="center"/>
          </w:tcPr>
          <w:p w14:paraId="25FC61D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职责</w:t>
            </w:r>
          </w:p>
        </w:tc>
      </w:tr>
      <w:tr w14:paraId="0B2ED59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730" w:type="dxa"/>
            <w:tcBorders>
              <w:tl2br w:val="nil"/>
              <w:tr2bl w:val="nil"/>
            </w:tcBorders>
            <w:vAlign w:val="center"/>
          </w:tcPr>
          <w:p w14:paraId="4494FDB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1</w:t>
            </w:r>
          </w:p>
        </w:tc>
        <w:tc>
          <w:tcPr>
            <w:tcW w:w="2036" w:type="dxa"/>
            <w:tcBorders>
              <w:tl2br w:val="nil"/>
              <w:tr2bl w:val="nil"/>
            </w:tcBorders>
            <w:vAlign w:val="center"/>
          </w:tcPr>
          <w:p w14:paraId="1610E46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应急管理局</w:t>
            </w:r>
          </w:p>
        </w:tc>
        <w:tc>
          <w:tcPr>
            <w:tcW w:w="1679" w:type="dxa"/>
            <w:tcBorders>
              <w:tl2br w:val="nil"/>
              <w:tr2bl w:val="nil"/>
            </w:tcBorders>
            <w:vAlign w:val="center"/>
          </w:tcPr>
          <w:p w14:paraId="1611C9C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0715-5353630</w:t>
            </w:r>
          </w:p>
        </w:tc>
        <w:tc>
          <w:tcPr>
            <w:tcW w:w="10953" w:type="dxa"/>
            <w:tcBorders>
              <w:tl2br w:val="nil"/>
              <w:tr2bl w:val="nil"/>
            </w:tcBorders>
            <w:vAlign w:val="center"/>
          </w:tcPr>
          <w:p w14:paraId="7C29DC62">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负责应对饮用水突发 环境事件中抢险、救援、处置工作。</w:t>
            </w:r>
          </w:p>
        </w:tc>
      </w:tr>
      <w:tr w14:paraId="11B0A74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730" w:type="dxa"/>
            <w:tcBorders>
              <w:tl2br w:val="nil"/>
              <w:tr2bl w:val="nil"/>
            </w:tcBorders>
            <w:vAlign w:val="center"/>
          </w:tcPr>
          <w:p w14:paraId="161B820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2</w:t>
            </w:r>
          </w:p>
        </w:tc>
        <w:tc>
          <w:tcPr>
            <w:tcW w:w="2036" w:type="dxa"/>
            <w:tcBorders>
              <w:tl2br w:val="nil"/>
              <w:tr2bl w:val="nil"/>
            </w:tcBorders>
            <w:vAlign w:val="center"/>
          </w:tcPr>
          <w:p w14:paraId="64033479">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委宣传部</w:t>
            </w:r>
          </w:p>
        </w:tc>
        <w:tc>
          <w:tcPr>
            <w:tcW w:w="1679" w:type="dxa"/>
            <w:tcBorders>
              <w:tl2br w:val="nil"/>
              <w:tr2bl w:val="nil"/>
            </w:tcBorders>
            <w:vAlign w:val="center"/>
          </w:tcPr>
          <w:p w14:paraId="436ABA0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0715-5355891</w:t>
            </w:r>
          </w:p>
        </w:tc>
        <w:tc>
          <w:tcPr>
            <w:tcW w:w="10953" w:type="dxa"/>
            <w:tcBorders>
              <w:tl2br w:val="nil"/>
              <w:tr2bl w:val="nil"/>
            </w:tcBorders>
            <w:vAlign w:val="center"/>
          </w:tcPr>
          <w:p w14:paraId="1437BC2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rPr>
              <w:t>负负责组织新闻媒体、本地论坛等做好集中式饮用水水源地突发环境事件的相关信息发布和应急宣传工作，对涉及相关网络舆情进行监测、管控和处置，准确把握舆论导向，及时做好突发事件舆论引导工作</w:t>
            </w:r>
            <w:r>
              <w:rPr>
                <w:rFonts w:hint="eastAsia" w:ascii="仿宋" w:hAnsi="仿宋" w:eastAsia="仿宋" w:cs="仿宋"/>
                <w:b w:val="0"/>
                <w:bCs/>
                <w:color w:val="auto"/>
                <w:sz w:val="24"/>
                <w:szCs w:val="24"/>
                <w:lang w:eastAsia="zh-CN"/>
              </w:rPr>
              <w:t>。</w:t>
            </w:r>
          </w:p>
        </w:tc>
      </w:tr>
      <w:tr w14:paraId="2F1EF3A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730" w:type="dxa"/>
            <w:tcBorders>
              <w:tl2br w:val="nil"/>
              <w:tr2bl w:val="nil"/>
            </w:tcBorders>
            <w:vAlign w:val="center"/>
          </w:tcPr>
          <w:p w14:paraId="5ED4F11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3</w:t>
            </w:r>
          </w:p>
        </w:tc>
        <w:tc>
          <w:tcPr>
            <w:tcW w:w="2036" w:type="dxa"/>
            <w:tcBorders>
              <w:tl2br w:val="nil"/>
              <w:tr2bl w:val="nil"/>
            </w:tcBorders>
            <w:vAlign w:val="center"/>
          </w:tcPr>
          <w:p w14:paraId="34D85F79">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公安局</w:t>
            </w:r>
          </w:p>
        </w:tc>
        <w:tc>
          <w:tcPr>
            <w:tcW w:w="1679" w:type="dxa"/>
            <w:tcBorders>
              <w:tl2br w:val="nil"/>
              <w:tr2bl w:val="nil"/>
            </w:tcBorders>
            <w:vAlign w:val="center"/>
          </w:tcPr>
          <w:p w14:paraId="3624783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0715-5263411</w:t>
            </w:r>
          </w:p>
        </w:tc>
        <w:tc>
          <w:tcPr>
            <w:tcW w:w="10953" w:type="dxa"/>
            <w:tcBorders>
              <w:tl2br w:val="nil"/>
              <w:tr2bl w:val="nil"/>
            </w:tcBorders>
            <w:vAlign w:val="center"/>
          </w:tcPr>
          <w:p w14:paraId="0E5EE4A9">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负责指导、协调、组织饮用水突发环境事件发生地公安机关对涉嫌环境违法犯罪的侦查，危险区域实施治安警戒，维护事发地区的社会治安，做好群众疏散工作，维护当地社会治安和道路交通秩序。</w:t>
            </w:r>
          </w:p>
        </w:tc>
      </w:tr>
      <w:tr w14:paraId="23BBB44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43" w:hRule="atLeast"/>
        </w:trPr>
        <w:tc>
          <w:tcPr>
            <w:tcW w:w="730" w:type="dxa"/>
            <w:tcBorders>
              <w:tl2br w:val="nil"/>
              <w:tr2bl w:val="nil"/>
            </w:tcBorders>
            <w:vAlign w:val="center"/>
          </w:tcPr>
          <w:p w14:paraId="6ADE7A3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4</w:t>
            </w:r>
          </w:p>
        </w:tc>
        <w:tc>
          <w:tcPr>
            <w:tcW w:w="2036" w:type="dxa"/>
            <w:tcBorders>
              <w:tl2br w:val="nil"/>
              <w:tr2bl w:val="nil"/>
            </w:tcBorders>
            <w:vAlign w:val="center"/>
          </w:tcPr>
          <w:p w14:paraId="36CF751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咸宁市生态环境局</w:t>
            </w:r>
            <w:r>
              <w:rPr>
                <w:rFonts w:hint="eastAsia" w:ascii="仿宋" w:hAnsi="仿宋" w:eastAsia="仿宋" w:cs="仿宋"/>
                <w:b w:val="0"/>
                <w:bCs/>
                <w:color w:val="auto"/>
                <w:sz w:val="24"/>
                <w:szCs w:val="24"/>
                <w:lang w:eastAsia="zh-CN"/>
              </w:rPr>
              <w:t>赤壁市</w:t>
            </w:r>
            <w:r>
              <w:rPr>
                <w:rFonts w:hint="eastAsia" w:ascii="仿宋" w:hAnsi="仿宋" w:eastAsia="仿宋" w:cs="仿宋"/>
                <w:b w:val="0"/>
                <w:bCs/>
                <w:color w:val="auto"/>
                <w:sz w:val="24"/>
                <w:szCs w:val="24"/>
              </w:rPr>
              <w:t>分局</w:t>
            </w:r>
          </w:p>
        </w:tc>
        <w:tc>
          <w:tcPr>
            <w:tcW w:w="1679" w:type="dxa"/>
            <w:tcBorders>
              <w:tl2br w:val="nil"/>
              <w:tr2bl w:val="nil"/>
            </w:tcBorders>
            <w:vAlign w:val="center"/>
          </w:tcPr>
          <w:p w14:paraId="7631D18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0715-5355351</w:t>
            </w:r>
          </w:p>
        </w:tc>
        <w:tc>
          <w:tcPr>
            <w:tcW w:w="10953" w:type="dxa"/>
            <w:tcBorders>
              <w:tl2br w:val="nil"/>
              <w:tr2bl w:val="nil"/>
            </w:tcBorders>
            <w:vAlign w:val="center"/>
          </w:tcPr>
          <w:p w14:paraId="5EF78C3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加强饮用水水源地地环境质量、水质监测和污染源的监控，依法发布环境状况公报，实施饮用水水源地地污染防治监督管理；集中式饮用水水源地突发环境事件发生后，做好水质的应急监测工作；协助做好事故调查工作。</w:t>
            </w:r>
          </w:p>
        </w:tc>
      </w:tr>
      <w:tr w14:paraId="430E2EE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730" w:type="dxa"/>
            <w:tcBorders>
              <w:tl2br w:val="nil"/>
              <w:tr2bl w:val="nil"/>
            </w:tcBorders>
            <w:vAlign w:val="center"/>
          </w:tcPr>
          <w:p w14:paraId="0DD7048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w:t>
            </w:r>
          </w:p>
        </w:tc>
        <w:tc>
          <w:tcPr>
            <w:tcW w:w="2036" w:type="dxa"/>
            <w:tcBorders>
              <w:tl2br w:val="nil"/>
              <w:tr2bl w:val="nil"/>
            </w:tcBorders>
            <w:vAlign w:val="center"/>
          </w:tcPr>
          <w:p w14:paraId="0FAE8AE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水利和湖泊局</w:t>
            </w:r>
          </w:p>
        </w:tc>
        <w:tc>
          <w:tcPr>
            <w:tcW w:w="1679" w:type="dxa"/>
            <w:tcBorders>
              <w:tl2br w:val="nil"/>
              <w:tr2bl w:val="nil"/>
            </w:tcBorders>
            <w:vAlign w:val="center"/>
          </w:tcPr>
          <w:p w14:paraId="5FF4154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0715-5351315</w:t>
            </w:r>
          </w:p>
        </w:tc>
        <w:tc>
          <w:tcPr>
            <w:tcW w:w="10953" w:type="dxa"/>
            <w:tcBorders>
              <w:tl2br w:val="nil"/>
              <w:tr2bl w:val="nil"/>
            </w:tcBorders>
            <w:vAlign w:val="center"/>
          </w:tcPr>
          <w:p w14:paraId="2D058CA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依法发布水文预报，保障饮用水源地的水量供给；负责应急调度水利工程改善水源地水质；配合供水部门做好启用备用水源和应急水源的工作；参与相关善后处置等工作。</w:t>
            </w:r>
          </w:p>
        </w:tc>
      </w:tr>
      <w:tr w14:paraId="72D8F6B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730" w:type="dxa"/>
            <w:tcBorders>
              <w:tl2br w:val="nil"/>
              <w:tr2bl w:val="nil"/>
            </w:tcBorders>
            <w:vAlign w:val="center"/>
          </w:tcPr>
          <w:p w14:paraId="62952F12">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6</w:t>
            </w:r>
          </w:p>
        </w:tc>
        <w:tc>
          <w:tcPr>
            <w:tcW w:w="2036" w:type="dxa"/>
            <w:tcBorders>
              <w:tl2br w:val="nil"/>
              <w:tr2bl w:val="nil"/>
            </w:tcBorders>
            <w:vAlign w:val="center"/>
          </w:tcPr>
          <w:p w14:paraId="14F2A1E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市住建局</w:t>
            </w:r>
          </w:p>
        </w:tc>
        <w:tc>
          <w:tcPr>
            <w:tcW w:w="1679" w:type="dxa"/>
            <w:tcBorders>
              <w:tl2br w:val="nil"/>
              <w:tr2bl w:val="nil"/>
            </w:tcBorders>
            <w:vAlign w:val="center"/>
          </w:tcPr>
          <w:p w14:paraId="724F3E2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0715-5359180</w:t>
            </w:r>
          </w:p>
        </w:tc>
        <w:tc>
          <w:tcPr>
            <w:tcW w:w="10953" w:type="dxa"/>
            <w:tcBorders>
              <w:tl2br w:val="nil"/>
              <w:tr2bl w:val="nil"/>
            </w:tcBorders>
            <w:vAlign w:val="center"/>
          </w:tcPr>
          <w:p w14:paraId="4ACF5B09">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负责协调和指导供水单位做好饮用水水源地突发环境事件预警和应急处置相关工作，组织供水单位进行应急监测，落实停止取水、启动深度处理设施和切换备用水源等应急工作安排</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确保有序供水。</w:t>
            </w:r>
          </w:p>
        </w:tc>
      </w:tr>
      <w:tr w14:paraId="08A0F8D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45" w:hRule="atLeast"/>
        </w:trPr>
        <w:tc>
          <w:tcPr>
            <w:tcW w:w="730" w:type="dxa"/>
            <w:tcBorders>
              <w:tl2br w:val="nil"/>
              <w:tr2bl w:val="nil"/>
            </w:tcBorders>
            <w:vAlign w:val="center"/>
          </w:tcPr>
          <w:p w14:paraId="4F2112A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7</w:t>
            </w:r>
          </w:p>
        </w:tc>
        <w:tc>
          <w:tcPr>
            <w:tcW w:w="2036" w:type="dxa"/>
            <w:tcBorders>
              <w:tl2br w:val="nil"/>
              <w:tr2bl w:val="nil"/>
            </w:tcBorders>
            <w:vAlign w:val="center"/>
          </w:tcPr>
          <w:p w14:paraId="354728E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农业农村局</w:t>
            </w:r>
          </w:p>
        </w:tc>
        <w:tc>
          <w:tcPr>
            <w:tcW w:w="1679" w:type="dxa"/>
            <w:tcBorders>
              <w:tl2br w:val="nil"/>
              <w:tr2bl w:val="nil"/>
            </w:tcBorders>
            <w:vAlign w:val="center"/>
          </w:tcPr>
          <w:p w14:paraId="444A6EA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rPr>
            </w:pPr>
            <w:r>
              <w:rPr>
                <w:rFonts w:hint="eastAsia" w:ascii="仿宋" w:hAnsi="仿宋" w:eastAsia="仿宋" w:cs="仿宋"/>
                <w:b w:val="0"/>
                <w:bCs/>
                <w:color w:val="auto"/>
                <w:sz w:val="24"/>
                <w:szCs w:val="24"/>
                <w:lang w:val="en-US" w:eastAsia="zh-CN"/>
              </w:rPr>
              <w:t>0715-5366612</w:t>
            </w:r>
          </w:p>
        </w:tc>
        <w:tc>
          <w:tcPr>
            <w:tcW w:w="10953" w:type="dxa"/>
            <w:tcBorders>
              <w:tl2br w:val="nil"/>
              <w:tr2bl w:val="nil"/>
            </w:tcBorders>
            <w:vAlign w:val="center"/>
          </w:tcPr>
          <w:p w14:paraId="25D0530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责开展流域内农业非点源污染调查，开展农业非点源污染预防知识和法律宣传，推广无污染农业技术。及时对受污染农作物、农产品污染损害程度、范围及经济损失做出鉴定并制定出补救措施；对受污染区域农药、化肥的使用等情况加强监控，减少排放量。负责对水源保护区因发生水质污染导致鱼类中毒事件进行现场监督、勘验和分析，对鱼类生态环境的破坏及恢复提出处理意见，并制定相应的处理措施。负责</w:t>
            </w:r>
            <w:r>
              <w:rPr>
                <w:rFonts w:hint="eastAsia" w:ascii="仿宋" w:hAnsi="仿宋" w:eastAsia="仿宋" w:cs="仿宋"/>
                <w:b w:val="0"/>
                <w:bCs/>
                <w:color w:val="auto"/>
                <w:sz w:val="24"/>
                <w:szCs w:val="24"/>
                <w:lang w:eastAsia="zh-CN"/>
              </w:rPr>
              <w:t>对</w:t>
            </w:r>
            <w:r>
              <w:rPr>
                <w:rFonts w:hint="eastAsia" w:ascii="仿宋" w:hAnsi="仿宋" w:eastAsia="仿宋" w:cs="仿宋"/>
                <w:b w:val="0"/>
                <w:bCs/>
                <w:color w:val="auto"/>
                <w:sz w:val="24"/>
                <w:szCs w:val="24"/>
              </w:rPr>
              <w:t>水源保护区因畜禽养殖废弃物导致水质污染事件进行现场监督、勘验和分析，加强流域内畜禽养殖场废弃物综合利用的指导和服务。</w:t>
            </w:r>
          </w:p>
        </w:tc>
      </w:tr>
      <w:tr w14:paraId="40FB58B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730" w:type="dxa"/>
            <w:tcBorders>
              <w:tl2br w:val="nil"/>
              <w:tr2bl w:val="nil"/>
            </w:tcBorders>
            <w:vAlign w:val="center"/>
          </w:tcPr>
          <w:p w14:paraId="0572B22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8</w:t>
            </w:r>
          </w:p>
        </w:tc>
        <w:tc>
          <w:tcPr>
            <w:tcW w:w="2036" w:type="dxa"/>
            <w:tcBorders>
              <w:tl2br w:val="nil"/>
              <w:tr2bl w:val="nil"/>
            </w:tcBorders>
            <w:vAlign w:val="center"/>
          </w:tcPr>
          <w:p w14:paraId="0B155AA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卫生健康局</w:t>
            </w:r>
          </w:p>
        </w:tc>
        <w:tc>
          <w:tcPr>
            <w:tcW w:w="1679" w:type="dxa"/>
            <w:tcBorders>
              <w:tl2br w:val="nil"/>
              <w:tr2bl w:val="nil"/>
            </w:tcBorders>
            <w:vAlign w:val="center"/>
          </w:tcPr>
          <w:p w14:paraId="2BED82C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0715-5354188</w:t>
            </w:r>
          </w:p>
        </w:tc>
        <w:tc>
          <w:tcPr>
            <w:tcW w:w="10953" w:type="dxa"/>
            <w:tcBorders>
              <w:tl2br w:val="nil"/>
              <w:tr2bl w:val="nil"/>
            </w:tcBorders>
            <w:vAlign w:val="center"/>
          </w:tcPr>
          <w:p w14:paraId="2E05F41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责对饮用水水质进行监测分析，组织协调饮用水突发环境事件应急医疗卫生救援工作，组织医疗机构实施医疗救护和卫生监测、防疫工作，并及时为地方医疗机构提供技术支持。提供涉及饮用水污染所致疾病防治等相关信息。</w:t>
            </w:r>
          </w:p>
        </w:tc>
      </w:tr>
      <w:tr w14:paraId="26B56A5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730" w:type="dxa"/>
            <w:tcBorders>
              <w:tl2br w:val="nil"/>
              <w:tr2bl w:val="nil"/>
            </w:tcBorders>
            <w:vAlign w:val="center"/>
          </w:tcPr>
          <w:p w14:paraId="7E7EBF9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9</w:t>
            </w:r>
          </w:p>
        </w:tc>
        <w:tc>
          <w:tcPr>
            <w:tcW w:w="2036" w:type="dxa"/>
            <w:tcBorders>
              <w:tl2br w:val="nil"/>
              <w:tr2bl w:val="nil"/>
            </w:tcBorders>
            <w:vAlign w:val="center"/>
          </w:tcPr>
          <w:p w14:paraId="006E801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市委监委</w:t>
            </w:r>
          </w:p>
        </w:tc>
        <w:tc>
          <w:tcPr>
            <w:tcW w:w="1679" w:type="dxa"/>
            <w:tcBorders>
              <w:tl2br w:val="nil"/>
              <w:tr2bl w:val="nil"/>
            </w:tcBorders>
            <w:vAlign w:val="center"/>
          </w:tcPr>
          <w:p w14:paraId="6682EF7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rPr>
            </w:pPr>
            <w:r>
              <w:rPr>
                <w:rFonts w:hint="eastAsia" w:ascii="仿宋" w:hAnsi="仿宋" w:eastAsia="仿宋" w:cs="仿宋"/>
                <w:b w:val="0"/>
                <w:bCs/>
                <w:color w:val="auto"/>
                <w:sz w:val="24"/>
                <w:szCs w:val="24"/>
                <w:lang w:val="en-US" w:eastAsia="zh-CN"/>
              </w:rPr>
              <w:t>0715-5353850</w:t>
            </w:r>
          </w:p>
        </w:tc>
        <w:tc>
          <w:tcPr>
            <w:tcW w:w="10953" w:type="dxa"/>
            <w:tcBorders>
              <w:tl2br w:val="nil"/>
              <w:tr2bl w:val="nil"/>
            </w:tcBorders>
            <w:vAlign w:val="center"/>
          </w:tcPr>
          <w:p w14:paraId="656D1EB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参与集中式饮用水水源地突发环境事件的调查工作；对相关部门、单位及其工作人员未按法律、法规规定履行职责的行为，依据党政纪有关规定进行调查处理。</w:t>
            </w:r>
          </w:p>
        </w:tc>
      </w:tr>
      <w:tr w14:paraId="12833B5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730" w:type="dxa"/>
            <w:tcBorders>
              <w:tl2br w:val="nil"/>
              <w:tr2bl w:val="nil"/>
            </w:tcBorders>
            <w:vAlign w:val="center"/>
          </w:tcPr>
          <w:p w14:paraId="20C1BA6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10</w:t>
            </w:r>
          </w:p>
        </w:tc>
        <w:tc>
          <w:tcPr>
            <w:tcW w:w="2036" w:type="dxa"/>
            <w:tcBorders>
              <w:tl2br w:val="nil"/>
              <w:tr2bl w:val="nil"/>
            </w:tcBorders>
            <w:vAlign w:val="center"/>
          </w:tcPr>
          <w:p w14:paraId="513E148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财政局</w:t>
            </w:r>
          </w:p>
        </w:tc>
        <w:tc>
          <w:tcPr>
            <w:tcW w:w="1679" w:type="dxa"/>
            <w:tcBorders>
              <w:tl2br w:val="nil"/>
              <w:tr2bl w:val="nil"/>
            </w:tcBorders>
            <w:vAlign w:val="center"/>
          </w:tcPr>
          <w:p w14:paraId="08F784F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rPr>
            </w:pPr>
            <w:r>
              <w:rPr>
                <w:rFonts w:hint="eastAsia" w:ascii="仿宋" w:hAnsi="仿宋" w:eastAsia="仿宋" w:cs="仿宋"/>
                <w:b w:val="0"/>
                <w:bCs/>
                <w:color w:val="auto"/>
                <w:sz w:val="24"/>
                <w:szCs w:val="24"/>
                <w:lang w:val="en-US" w:eastAsia="zh-CN"/>
              </w:rPr>
              <w:t>0715-5236470</w:t>
            </w:r>
          </w:p>
        </w:tc>
        <w:tc>
          <w:tcPr>
            <w:tcW w:w="10953" w:type="dxa"/>
            <w:tcBorders>
              <w:tl2br w:val="nil"/>
              <w:tr2bl w:val="nil"/>
            </w:tcBorders>
            <w:vAlign w:val="center"/>
          </w:tcPr>
          <w:p w14:paraId="282117F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根据有关规定安排应急工作所需的通讯和信息化设备、监测仪器、防护用具、应急交通工具等经费，确保饮用水突发环境事件预防、监测、处置等工作的正常进行。</w:t>
            </w:r>
          </w:p>
        </w:tc>
      </w:tr>
      <w:tr w14:paraId="7250EC5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730" w:type="dxa"/>
            <w:tcBorders>
              <w:tl2br w:val="nil"/>
              <w:tr2bl w:val="nil"/>
            </w:tcBorders>
            <w:vAlign w:val="center"/>
          </w:tcPr>
          <w:p w14:paraId="0F1397E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11</w:t>
            </w:r>
          </w:p>
        </w:tc>
        <w:tc>
          <w:tcPr>
            <w:tcW w:w="2036" w:type="dxa"/>
            <w:tcBorders>
              <w:tl2br w:val="nil"/>
              <w:tr2bl w:val="nil"/>
            </w:tcBorders>
            <w:vAlign w:val="center"/>
          </w:tcPr>
          <w:p w14:paraId="16F5C1D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交通运输局</w:t>
            </w:r>
          </w:p>
        </w:tc>
        <w:tc>
          <w:tcPr>
            <w:tcW w:w="1679" w:type="dxa"/>
            <w:tcBorders>
              <w:tl2br w:val="nil"/>
              <w:tr2bl w:val="nil"/>
            </w:tcBorders>
            <w:vAlign w:val="center"/>
          </w:tcPr>
          <w:p w14:paraId="5C4688E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0715-5362001</w:t>
            </w:r>
          </w:p>
        </w:tc>
        <w:tc>
          <w:tcPr>
            <w:tcW w:w="10953" w:type="dxa"/>
            <w:tcBorders>
              <w:tl2br w:val="nil"/>
              <w:tr2bl w:val="nil"/>
            </w:tcBorders>
            <w:vAlign w:val="center"/>
          </w:tcPr>
          <w:p w14:paraId="168A617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指导公路部门在水源保护区范围内的危险路段负责设置公路防撞栏；维持水源保护区内养护公路正常通行。组织对化学品运输车辆泄漏或交通事故的现场处置和调查处理工作；协助污染事故监测单位建立有毒有害物资的生产、储备和运输信息数据库。</w:t>
            </w:r>
          </w:p>
        </w:tc>
      </w:tr>
      <w:tr w14:paraId="0753357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730" w:type="dxa"/>
            <w:tcBorders>
              <w:tl2br w:val="nil"/>
              <w:tr2bl w:val="nil"/>
            </w:tcBorders>
            <w:vAlign w:val="center"/>
          </w:tcPr>
          <w:p w14:paraId="1A510DB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12</w:t>
            </w:r>
          </w:p>
        </w:tc>
        <w:tc>
          <w:tcPr>
            <w:tcW w:w="2036" w:type="dxa"/>
            <w:tcBorders>
              <w:tl2br w:val="nil"/>
              <w:tr2bl w:val="nil"/>
            </w:tcBorders>
            <w:vAlign w:val="center"/>
          </w:tcPr>
          <w:p w14:paraId="5DCBC69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气象局</w:t>
            </w:r>
          </w:p>
        </w:tc>
        <w:tc>
          <w:tcPr>
            <w:tcW w:w="1679" w:type="dxa"/>
            <w:tcBorders>
              <w:tl2br w:val="nil"/>
              <w:tr2bl w:val="nil"/>
            </w:tcBorders>
            <w:vAlign w:val="center"/>
          </w:tcPr>
          <w:p w14:paraId="46CA6DB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0715-5355896</w:t>
            </w:r>
          </w:p>
        </w:tc>
        <w:tc>
          <w:tcPr>
            <w:tcW w:w="10953" w:type="dxa"/>
            <w:tcBorders>
              <w:tl2br w:val="nil"/>
              <w:tr2bl w:val="nil"/>
            </w:tcBorders>
            <w:vAlign w:val="center"/>
          </w:tcPr>
          <w:p w14:paraId="33F348F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负责卫星遥感分析和气象情况监测，分析气象条件对饮用水水源</w:t>
            </w:r>
            <w:r>
              <w:rPr>
                <w:rFonts w:hint="eastAsia" w:ascii="仿宋" w:hAnsi="仿宋" w:eastAsia="仿宋" w:cs="仿宋"/>
                <w:b w:val="0"/>
                <w:bCs/>
                <w:color w:val="auto"/>
                <w:sz w:val="24"/>
                <w:szCs w:val="24"/>
                <w:lang w:eastAsia="zh-CN"/>
              </w:rPr>
              <w:t>地</w:t>
            </w:r>
            <w:r>
              <w:rPr>
                <w:rFonts w:hint="eastAsia" w:ascii="仿宋" w:hAnsi="仿宋" w:eastAsia="仿宋" w:cs="仿宋"/>
                <w:b w:val="0"/>
                <w:bCs/>
                <w:color w:val="auto"/>
                <w:sz w:val="24"/>
                <w:szCs w:val="24"/>
              </w:rPr>
              <w:t>水质可能产生的影响，提出水源地水质污染的气象条件预警；根据天气条件组织实施人工影响天气作业，增加水量。</w:t>
            </w:r>
          </w:p>
        </w:tc>
      </w:tr>
      <w:tr w14:paraId="7D9C42F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730" w:type="dxa"/>
            <w:tcBorders>
              <w:tl2br w:val="nil"/>
              <w:tr2bl w:val="nil"/>
            </w:tcBorders>
            <w:vAlign w:val="center"/>
          </w:tcPr>
          <w:p w14:paraId="0D1408A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13</w:t>
            </w:r>
          </w:p>
        </w:tc>
        <w:tc>
          <w:tcPr>
            <w:tcW w:w="2036" w:type="dxa"/>
            <w:tcBorders>
              <w:tl2br w:val="nil"/>
              <w:tr2bl w:val="nil"/>
            </w:tcBorders>
            <w:vAlign w:val="center"/>
          </w:tcPr>
          <w:p w14:paraId="5F05744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民政局</w:t>
            </w:r>
          </w:p>
        </w:tc>
        <w:tc>
          <w:tcPr>
            <w:tcW w:w="1679" w:type="dxa"/>
            <w:tcBorders>
              <w:tl2br w:val="nil"/>
              <w:tr2bl w:val="nil"/>
            </w:tcBorders>
            <w:vAlign w:val="center"/>
          </w:tcPr>
          <w:p w14:paraId="211E227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0715-5331509</w:t>
            </w:r>
          </w:p>
        </w:tc>
        <w:tc>
          <w:tcPr>
            <w:tcW w:w="10953" w:type="dxa"/>
            <w:tcBorders>
              <w:tl2br w:val="nil"/>
              <w:tr2bl w:val="nil"/>
            </w:tcBorders>
            <w:vAlign w:val="center"/>
          </w:tcPr>
          <w:p w14:paraId="6659EC62">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负责根据污染事故的危害程度和影响范围，做好生活救援工作，及时发放救援物资，组织指导人员转移、安置和临时生活安排。</w:t>
            </w:r>
          </w:p>
        </w:tc>
      </w:tr>
      <w:tr w14:paraId="4DA9D2C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730" w:type="dxa"/>
            <w:tcBorders>
              <w:tl2br w:val="nil"/>
              <w:tr2bl w:val="nil"/>
            </w:tcBorders>
            <w:vAlign w:val="center"/>
          </w:tcPr>
          <w:p w14:paraId="08189D9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14</w:t>
            </w:r>
          </w:p>
        </w:tc>
        <w:tc>
          <w:tcPr>
            <w:tcW w:w="2036" w:type="dxa"/>
            <w:tcBorders>
              <w:tl2br w:val="nil"/>
              <w:tr2bl w:val="nil"/>
            </w:tcBorders>
            <w:vAlign w:val="center"/>
          </w:tcPr>
          <w:p w14:paraId="281A02E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商务局</w:t>
            </w:r>
          </w:p>
        </w:tc>
        <w:tc>
          <w:tcPr>
            <w:tcW w:w="1679" w:type="dxa"/>
            <w:tcBorders>
              <w:tl2br w:val="nil"/>
              <w:tr2bl w:val="nil"/>
            </w:tcBorders>
            <w:vAlign w:val="center"/>
          </w:tcPr>
          <w:p w14:paraId="5C04226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0715-5222972</w:t>
            </w:r>
          </w:p>
        </w:tc>
        <w:tc>
          <w:tcPr>
            <w:tcW w:w="10953" w:type="dxa"/>
            <w:tcBorders>
              <w:tl2br w:val="nil"/>
              <w:tr2bl w:val="nil"/>
            </w:tcBorders>
            <w:vAlign w:val="center"/>
          </w:tcPr>
          <w:p w14:paraId="61DFEA5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负责协调集中式饮用水水源地突发污染事件处置基本生活物资的调拨和紧急供应</w:t>
            </w:r>
          </w:p>
        </w:tc>
      </w:tr>
      <w:tr w14:paraId="4910BA6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730" w:type="dxa"/>
            <w:tcBorders>
              <w:tl2br w:val="nil"/>
              <w:tr2bl w:val="nil"/>
            </w:tcBorders>
            <w:vAlign w:val="center"/>
          </w:tcPr>
          <w:p w14:paraId="6BE4D80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15</w:t>
            </w:r>
          </w:p>
        </w:tc>
        <w:tc>
          <w:tcPr>
            <w:tcW w:w="2036" w:type="dxa"/>
            <w:tcBorders>
              <w:tl2br w:val="nil"/>
              <w:tr2bl w:val="nil"/>
            </w:tcBorders>
            <w:vAlign w:val="center"/>
          </w:tcPr>
          <w:p w14:paraId="5D1A97F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陆水湖风景区管理委员会</w:t>
            </w:r>
          </w:p>
        </w:tc>
        <w:tc>
          <w:tcPr>
            <w:tcW w:w="1679" w:type="dxa"/>
            <w:tcBorders>
              <w:tl2br w:val="nil"/>
              <w:tr2bl w:val="nil"/>
            </w:tcBorders>
            <w:vAlign w:val="center"/>
          </w:tcPr>
          <w:p w14:paraId="796BDFF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0715-5367538</w:t>
            </w:r>
          </w:p>
        </w:tc>
        <w:tc>
          <w:tcPr>
            <w:tcW w:w="10953" w:type="dxa"/>
            <w:tcBorders>
              <w:tl2br w:val="nil"/>
              <w:tr2bl w:val="nil"/>
            </w:tcBorders>
            <w:vAlign w:val="center"/>
          </w:tcPr>
          <w:p w14:paraId="0415496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协助组织陆水湖饮用水突发环境事件应急处置；协同相关部门分析污染事故原因，确定污染物，提出处理意见，防止污染扩大。</w:t>
            </w:r>
          </w:p>
        </w:tc>
      </w:tr>
      <w:tr w14:paraId="4A4979F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730" w:type="dxa"/>
            <w:tcBorders>
              <w:tl2br w:val="nil"/>
              <w:tr2bl w:val="nil"/>
            </w:tcBorders>
            <w:vAlign w:val="center"/>
          </w:tcPr>
          <w:p w14:paraId="00784E6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16</w:t>
            </w:r>
          </w:p>
        </w:tc>
        <w:tc>
          <w:tcPr>
            <w:tcW w:w="2036" w:type="dxa"/>
            <w:tcBorders>
              <w:tl2br w:val="nil"/>
              <w:tr2bl w:val="nil"/>
            </w:tcBorders>
            <w:vAlign w:val="center"/>
          </w:tcPr>
          <w:p w14:paraId="291B1F9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长江委陆水试验枢纽管理局</w:t>
            </w:r>
          </w:p>
        </w:tc>
        <w:tc>
          <w:tcPr>
            <w:tcW w:w="1679" w:type="dxa"/>
            <w:tcBorders>
              <w:tl2br w:val="nil"/>
              <w:tr2bl w:val="nil"/>
            </w:tcBorders>
            <w:vAlign w:val="center"/>
          </w:tcPr>
          <w:p w14:paraId="2FA62E29">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0715-5259114</w:t>
            </w:r>
          </w:p>
        </w:tc>
        <w:tc>
          <w:tcPr>
            <w:tcW w:w="10953" w:type="dxa"/>
            <w:tcBorders>
              <w:tl2br w:val="nil"/>
              <w:tr2bl w:val="nil"/>
            </w:tcBorders>
            <w:vAlign w:val="center"/>
          </w:tcPr>
          <w:p w14:paraId="0422299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负责水文监测并提供相关水文资料和陆水水库饮用水突发环境事件应急处置。</w:t>
            </w:r>
          </w:p>
        </w:tc>
      </w:tr>
      <w:tr w14:paraId="713F817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730" w:type="dxa"/>
            <w:vMerge w:val="restart"/>
            <w:tcBorders>
              <w:tl2br w:val="nil"/>
              <w:tr2bl w:val="nil"/>
            </w:tcBorders>
            <w:vAlign w:val="center"/>
          </w:tcPr>
          <w:p w14:paraId="1274A60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17</w:t>
            </w:r>
          </w:p>
        </w:tc>
        <w:tc>
          <w:tcPr>
            <w:tcW w:w="2036" w:type="dxa"/>
            <w:tcBorders>
              <w:tl2br w:val="nil"/>
              <w:tr2bl w:val="nil"/>
            </w:tcBorders>
            <w:vAlign w:val="center"/>
          </w:tcPr>
          <w:p w14:paraId="3172672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rPr>
            </w:pPr>
            <w:r>
              <w:rPr>
                <w:rFonts w:hint="eastAsia" w:ascii="仿宋" w:hAnsi="仿宋" w:eastAsia="仿宋" w:cs="仿宋"/>
                <w:b w:val="0"/>
                <w:bCs/>
                <w:color w:val="auto"/>
                <w:sz w:val="24"/>
                <w:szCs w:val="24"/>
                <w:lang w:val="en-US" w:eastAsia="zh-CN"/>
              </w:rPr>
              <w:t>官塘驿镇人民政府</w:t>
            </w:r>
          </w:p>
        </w:tc>
        <w:tc>
          <w:tcPr>
            <w:tcW w:w="1679" w:type="dxa"/>
            <w:tcBorders>
              <w:tl2br w:val="nil"/>
              <w:tr2bl w:val="nil"/>
            </w:tcBorders>
            <w:vAlign w:val="center"/>
          </w:tcPr>
          <w:p w14:paraId="6AB6B7F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0715-5677501</w:t>
            </w:r>
          </w:p>
        </w:tc>
        <w:tc>
          <w:tcPr>
            <w:tcW w:w="10953" w:type="dxa"/>
            <w:vMerge w:val="restart"/>
            <w:tcBorders>
              <w:tl2br w:val="nil"/>
              <w:tr2bl w:val="nil"/>
            </w:tcBorders>
            <w:vAlign w:val="center"/>
          </w:tcPr>
          <w:p w14:paraId="64C373C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按照</w:t>
            </w:r>
            <w:r>
              <w:rPr>
                <w:rFonts w:hint="eastAsia" w:ascii="仿宋" w:hAnsi="仿宋" w:eastAsia="仿宋" w:cs="仿宋"/>
                <w:b w:val="0"/>
                <w:bCs/>
                <w:color w:val="auto"/>
                <w:sz w:val="24"/>
                <w:szCs w:val="24"/>
                <w:lang w:eastAsia="zh-CN"/>
              </w:rPr>
              <w:t>水环境应急指挥部</w:t>
            </w:r>
            <w:r>
              <w:rPr>
                <w:rFonts w:hint="eastAsia" w:ascii="仿宋" w:hAnsi="仿宋" w:eastAsia="仿宋" w:cs="仿宋"/>
                <w:b w:val="0"/>
                <w:bCs/>
                <w:color w:val="auto"/>
                <w:sz w:val="24"/>
                <w:szCs w:val="24"/>
              </w:rPr>
              <w:t>统一领导，及时开展辖区内饮用水突发环境事件应急工作。</w:t>
            </w:r>
          </w:p>
        </w:tc>
      </w:tr>
      <w:tr w14:paraId="52B86B1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730" w:type="dxa"/>
            <w:vMerge w:val="continue"/>
            <w:tcBorders>
              <w:tl2br w:val="nil"/>
              <w:tr2bl w:val="nil"/>
            </w:tcBorders>
            <w:vAlign w:val="center"/>
          </w:tcPr>
          <w:p w14:paraId="29715E1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2036" w:type="dxa"/>
            <w:tcBorders>
              <w:tl2br w:val="nil"/>
              <w:tr2bl w:val="nil"/>
            </w:tcBorders>
            <w:vAlign w:val="center"/>
          </w:tcPr>
          <w:p w14:paraId="3383F49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中伙铺镇人民政府</w:t>
            </w:r>
          </w:p>
        </w:tc>
        <w:tc>
          <w:tcPr>
            <w:tcW w:w="1679" w:type="dxa"/>
            <w:tcBorders>
              <w:tl2br w:val="nil"/>
              <w:tr2bl w:val="nil"/>
            </w:tcBorders>
            <w:vAlign w:val="center"/>
          </w:tcPr>
          <w:p w14:paraId="5FC56D4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0715-5600349</w:t>
            </w:r>
          </w:p>
        </w:tc>
        <w:tc>
          <w:tcPr>
            <w:tcW w:w="10953" w:type="dxa"/>
            <w:vMerge w:val="continue"/>
            <w:tcBorders>
              <w:tl2br w:val="nil"/>
              <w:tr2bl w:val="nil"/>
            </w:tcBorders>
            <w:vAlign w:val="center"/>
          </w:tcPr>
          <w:p w14:paraId="716BC4A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r>
      <w:tr w14:paraId="77A062B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730" w:type="dxa"/>
            <w:vMerge w:val="continue"/>
            <w:tcBorders>
              <w:tl2br w:val="nil"/>
              <w:tr2bl w:val="nil"/>
            </w:tcBorders>
            <w:vAlign w:val="center"/>
          </w:tcPr>
          <w:p w14:paraId="2DD2930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2036" w:type="dxa"/>
            <w:tcBorders>
              <w:tl2br w:val="nil"/>
              <w:tr2bl w:val="nil"/>
            </w:tcBorders>
            <w:vAlign w:val="center"/>
          </w:tcPr>
          <w:p w14:paraId="0B08352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陆水湖街道办事处</w:t>
            </w:r>
          </w:p>
        </w:tc>
        <w:tc>
          <w:tcPr>
            <w:tcW w:w="1679" w:type="dxa"/>
            <w:tcBorders>
              <w:tl2br w:val="nil"/>
              <w:tr2bl w:val="nil"/>
            </w:tcBorders>
            <w:vAlign w:val="center"/>
          </w:tcPr>
          <w:p w14:paraId="6920752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0715-5510037</w:t>
            </w:r>
          </w:p>
        </w:tc>
        <w:tc>
          <w:tcPr>
            <w:tcW w:w="10953" w:type="dxa"/>
            <w:vMerge w:val="continue"/>
            <w:tcBorders>
              <w:tl2br w:val="nil"/>
              <w:tr2bl w:val="nil"/>
            </w:tcBorders>
            <w:vAlign w:val="center"/>
          </w:tcPr>
          <w:p w14:paraId="7A3F8DE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r>
      <w:tr w14:paraId="2D64562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730" w:type="dxa"/>
            <w:vMerge w:val="continue"/>
            <w:tcBorders>
              <w:tl2br w:val="nil"/>
              <w:tr2bl w:val="nil"/>
            </w:tcBorders>
            <w:vAlign w:val="center"/>
          </w:tcPr>
          <w:p w14:paraId="517314E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2036" w:type="dxa"/>
            <w:tcBorders>
              <w:tl2br w:val="nil"/>
              <w:tr2bl w:val="nil"/>
            </w:tcBorders>
            <w:vAlign w:val="center"/>
          </w:tcPr>
          <w:p w14:paraId="65113BB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蒲圻街道办事处</w:t>
            </w:r>
          </w:p>
        </w:tc>
        <w:tc>
          <w:tcPr>
            <w:tcW w:w="1679" w:type="dxa"/>
            <w:tcBorders>
              <w:tl2br w:val="nil"/>
              <w:tr2bl w:val="nil"/>
            </w:tcBorders>
            <w:vAlign w:val="center"/>
          </w:tcPr>
          <w:p w14:paraId="6690A0C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rPr>
            </w:pPr>
            <w:r>
              <w:rPr>
                <w:rFonts w:hint="eastAsia" w:ascii="仿宋" w:hAnsi="仿宋" w:eastAsia="仿宋" w:cs="仿宋"/>
                <w:b w:val="0"/>
                <w:bCs/>
                <w:color w:val="auto"/>
                <w:sz w:val="24"/>
                <w:szCs w:val="24"/>
                <w:lang w:val="en-US" w:eastAsia="zh-CN"/>
              </w:rPr>
              <w:t>0715-5239998</w:t>
            </w:r>
          </w:p>
        </w:tc>
        <w:tc>
          <w:tcPr>
            <w:tcW w:w="10953" w:type="dxa"/>
            <w:vMerge w:val="continue"/>
            <w:tcBorders>
              <w:tl2br w:val="nil"/>
              <w:tr2bl w:val="nil"/>
            </w:tcBorders>
            <w:vAlign w:val="center"/>
          </w:tcPr>
          <w:p w14:paraId="18EDD43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r>
    </w:tbl>
    <w:p w14:paraId="3C445269">
      <w:pPr>
        <w:rPr>
          <w:rFonts w:hint="eastAsia"/>
          <w:lang w:val="en-US" w:eastAsia="zh-CN"/>
        </w:rPr>
      </w:pPr>
      <w:r>
        <w:rPr>
          <w:rFonts w:hint="eastAsia"/>
          <w:lang w:val="en-US" w:eastAsia="zh-CN"/>
        </w:rPr>
        <w:br w:type="page"/>
      </w:r>
    </w:p>
    <w:p w14:paraId="3FBA401A">
      <w:pPr>
        <w:pStyle w:val="2"/>
        <w:jc w:val="center"/>
        <w:rPr>
          <w:rFonts w:hint="eastAsia" w:ascii="仿宋_GB2312" w:hAnsi="仿宋_GB2312" w:eastAsia="仿宋_GB2312" w:cs="仿宋_GB2312"/>
          <w:b/>
          <w:bCs/>
          <w:color w:val="auto"/>
          <w:sz w:val="32"/>
          <w:szCs w:val="32"/>
          <w:lang w:val="en-US" w:eastAsia="zh-CN" w:bidi="ar-SA"/>
        </w:rPr>
      </w:pPr>
      <w:bookmarkStart w:id="280" w:name="_Toc17670"/>
      <w:bookmarkStart w:id="281" w:name="_Toc27173"/>
      <w:r>
        <w:rPr>
          <w:rFonts w:hint="eastAsia" w:ascii="黑体" w:hAnsi="黑体" w:eastAsia="黑体" w:cs="黑体"/>
          <w:b w:val="0"/>
          <w:bCs w:val="0"/>
          <w:color w:val="auto"/>
          <w:sz w:val="32"/>
          <w:szCs w:val="32"/>
          <w:lang w:val="en-US" w:eastAsia="zh-CN" w:bidi="ar-SA"/>
        </w:rPr>
        <w:t>附件4</w:t>
      </w:r>
      <w:r>
        <w:rPr>
          <w:rFonts w:hint="eastAsia" w:ascii="仿宋_GB2312" w:hAnsi="仿宋_GB2312" w:eastAsia="仿宋_GB2312" w:cs="仿宋_GB2312"/>
          <w:b/>
          <w:bCs/>
          <w:color w:val="auto"/>
          <w:sz w:val="32"/>
          <w:szCs w:val="32"/>
          <w:lang w:val="en-US" w:eastAsia="zh-CN" w:bidi="ar-SA"/>
        </w:rPr>
        <w:t xml:space="preserve">  应急工作组职责</w:t>
      </w:r>
      <w:bookmarkEnd w:id="280"/>
      <w:bookmarkEnd w:id="281"/>
    </w:p>
    <w:tbl>
      <w:tblPr>
        <w:tblStyle w:val="18"/>
        <w:tblW w:w="15602" w:type="dxa"/>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317"/>
        <w:gridCol w:w="3124"/>
        <w:gridCol w:w="3833"/>
        <w:gridCol w:w="7328"/>
      </w:tblGrid>
      <w:tr w14:paraId="06162E2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8274" w:type="dxa"/>
            <w:gridSpan w:val="3"/>
            <w:tcBorders>
              <w:tl2br w:val="nil"/>
              <w:tr2bl w:val="nil"/>
            </w:tcBorders>
            <w:shd w:val="clear" w:color="auto" w:fill="auto"/>
            <w:vAlign w:val="center"/>
          </w:tcPr>
          <w:p w14:paraId="1266822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应急工作组成</w:t>
            </w:r>
          </w:p>
        </w:tc>
        <w:tc>
          <w:tcPr>
            <w:tcW w:w="7328" w:type="dxa"/>
            <w:tcBorders>
              <w:tl2br w:val="nil"/>
              <w:tr2bl w:val="nil"/>
            </w:tcBorders>
            <w:shd w:val="clear" w:color="auto" w:fill="auto"/>
            <w:vAlign w:val="center"/>
          </w:tcPr>
          <w:p w14:paraId="4078414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应急职责</w:t>
            </w:r>
          </w:p>
        </w:tc>
      </w:tr>
      <w:tr w14:paraId="6AC8B61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1317" w:type="dxa"/>
            <w:tcBorders>
              <w:tl2br w:val="nil"/>
              <w:tr2bl w:val="nil"/>
            </w:tcBorders>
            <w:shd w:val="clear" w:color="auto" w:fill="auto"/>
            <w:vAlign w:val="center"/>
          </w:tcPr>
          <w:p w14:paraId="56577DA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应急处置组</w:t>
            </w:r>
          </w:p>
        </w:tc>
        <w:tc>
          <w:tcPr>
            <w:tcW w:w="3124" w:type="dxa"/>
            <w:tcBorders>
              <w:tl2br w:val="nil"/>
              <w:tr2bl w:val="nil"/>
            </w:tcBorders>
            <w:shd w:val="clear" w:color="auto" w:fill="auto"/>
            <w:vAlign w:val="center"/>
          </w:tcPr>
          <w:p w14:paraId="6D43359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由咸宁市生态环境局</w:t>
            </w:r>
            <w:r>
              <w:rPr>
                <w:rFonts w:hint="eastAsia" w:ascii="仿宋" w:hAnsi="仿宋" w:eastAsia="仿宋" w:cs="仿宋"/>
                <w:b w:val="0"/>
                <w:bCs/>
                <w:color w:val="auto"/>
                <w:sz w:val="24"/>
                <w:szCs w:val="24"/>
                <w:lang w:eastAsia="zh-CN"/>
              </w:rPr>
              <w:t>赤壁市</w:t>
            </w:r>
            <w:r>
              <w:rPr>
                <w:rFonts w:hint="eastAsia" w:ascii="仿宋" w:hAnsi="仿宋" w:eastAsia="仿宋" w:cs="仿宋"/>
                <w:b w:val="0"/>
                <w:bCs/>
                <w:color w:val="auto"/>
                <w:sz w:val="24"/>
                <w:szCs w:val="24"/>
              </w:rPr>
              <w:t>分局、</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住建局</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水利和湖泊局、</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农业农村局、</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卫生健康局等部门联合组成</w:t>
            </w:r>
          </w:p>
        </w:tc>
        <w:tc>
          <w:tcPr>
            <w:tcW w:w="3833" w:type="dxa"/>
            <w:tcBorders>
              <w:tl2br w:val="nil"/>
              <w:tr2bl w:val="nil"/>
            </w:tcBorders>
            <w:shd w:val="clear" w:color="auto" w:fill="auto"/>
            <w:vAlign w:val="center"/>
          </w:tcPr>
          <w:p w14:paraId="2E90D6E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rPr>
              <w:t>咸宁市生态环境局</w:t>
            </w:r>
            <w:r>
              <w:rPr>
                <w:rFonts w:hint="eastAsia" w:ascii="仿宋" w:hAnsi="仿宋" w:eastAsia="仿宋" w:cs="仿宋"/>
                <w:b w:val="0"/>
                <w:bCs/>
                <w:color w:val="auto"/>
                <w:sz w:val="24"/>
                <w:szCs w:val="24"/>
                <w:lang w:eastAsia="zh-CN"/>
              </w:rPr>
              <w:t>赤壁市</w:t>
            </w:r>
            <w:r>
              <w:rPr>
                <w:rFonts w:hint="eastAsia" w:ascii="仿宋" w:hAnsi="仿宋" w:eastAsia="仿宋" w:cs="仿宋"/>
                <w:b w:val="0"/>
                <w:bCs/>
                <w:color w:val="auto"/>
                <w:sz w:val="24"/>
                <w:szCs w:val="24"/>
              </w:rPr>
              <w:t>分局</w:t>
            </w:r>
            <w:r>
              <w:rPr>
                <w:rFonts w:hint="eastAsia" w:ascii="仿宋" w:hAnsi="仿宋" w:eastAsia="仿宋" w:cs="仿宋"/>
                <w:b w:val="0"/>
                <w:bCs/>
                <w:color w:val="auto"/>
                <w:sz w:val="24"/>
                <w:szCs w:val="24"/>
                <w:lang w:eastAsia="zh-CN"/>
              </w:rPr>
              <w:t>：</w:t>
            </w:r>
          </w:p>
          <w:p w14:paraId="52A8AF7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 5355351</w:t>
            </w:r>
          </w:p>
          <w:p w14:paraId="557D053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住建局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5359180</w:t>
            </w:r>
          </w:p>
          <w:p w14:paraId="468366D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水利和湖泊局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5351315</w:t>
            </w:r>
          </w:p>
          <w:p w14:paraId="447B74F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农业农村局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5366612</w:t>
            </w:r>
          </w:p>
          <w:p w14:paraId="3C6E3ED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卫生健康局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5354188</w:t>
            </w:r>
          </w:p>
        </w:tc>
        <w:tc>
          <w:tcPr>
            <w:tcW w:w="7328" w:type="dxa"/>
            <w:tcBorders>
              <w:tl2br w:val="nil"/>
              <w:tr2bl w:val="nil"/>
            </w:tcBorders>
            <w:shd w:val="clear" w:color="auto" w:fill="auto"/>
            <w:vAlign w:val="center"/>
          </w:tcPr>
          <w:p w14:paraId="018A3A8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负责制订实施突发环境事件应急救援处置方案，依据各自职责，按照应急救援处置方案开展应急处置工作。</w:t>
            </w:r>
          </w:p>
        </w:tc>
      </w:tr>
      <w:tr w14:paraId="366BDCE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1317" w:type="dxa"/>
            <w:tcBorders>
              <w:tl2br w:val="nil"/>
              <w:tr2bl w:val="nil"/>
            </w:tcBorders>
            <w:shd w:val="clear" w:color="auto" w:fill="auto"/>
            <w:vAlign w:val="center"/>
          </w:tcPr>
          <w:p w14:paraId="3126951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lang w:val="zh-CN" w:eastAsia="zh-CN"/>
              </w:rPr>
              <w:t>应急监测组</w:t>
            </w:r>
          </w:p>
        </w:tc>
        <w:tc>
          <w:tcPr>
            <w:tcW w:w="3124" w:type="dxa"/>
            <w:tcBorders>
              <w:tl2br w:val="nil"/>
              <w:tr2bl w:val="nil"/>
            </w:tcBorders>
            <w:shd w:val="clear" w:color="auto" w:fill="auto"/>
            <w:vAlign w:val="center"/>
          </w:tcPr>
          <w:p w14:paraId="1537FA1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由咸宁市生态环境局</w:t>
            </w:r>
            <w:r>
              <w:rPr>
                <w:rFonts w:hint="eastAsia" w:ascii="仿宋" w:hAnsi="仿宋" w:eastAsia="仿宋" w:cs="仿宋"/>
                <w:b w:val="0"/>
                <w:bCs/>
                <w:color w:val="auto"/>
                <w:sz w:val="24"/>
                <w:szCs w:val="24"/>
                <w:lang w:eastAsia="zh-CN"/>
              </w:rPr>
              <w:t>赤壁市</w:t>
            </w:r>
            <w:r>
              <w:rPr>
                <w:rFonts w:hint="eastAsia" w:ascii="仿宋" w:hAnsi="仿宋" w:eastAsia="仿宋" w:cs="仿宋"/>
                <w:b w:val="0"/>
                <w:bCs/>
                <w:color w:val="auto"/>
                <w:sz w:val="24"/>
                <w:szCs w:val="24"/>
              </w:rPr>
              <w:t>分局负责牵头，</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水利和湖泊局、</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卫生健康局和</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气象局等部门联合组成</w:t>
            </w:r>
          </w:p>
        </w:tc>
        <w:tc>
          <w:tcPr>
            <w:tcW w:w="3833" w:type="dxa"/>
            <w:tcBorders>
              <w:tl2br w:val="nil"/>
              <w:tr2bl w:val="nil"/>
            </w:tcBorders>
            <w:shd w:val="clear" w:color="auto" w:fill="auto"/>
            <w:vAlign w:val="center"/>
          </w:tcPr>
          <w:p w14:paraId="02B01D0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rPr>
              <w:t>咸宁市生态环境局</w:t>
            </w:r>
            <w:r>
              <w:rPr>
                <w:rFonts w:hint="eastAsia" w:ascii="仿宋" w:hAnsi="仿宋" w:eastAsia="仿宋" w:cs="仿宋"/>
                <w:b w:val="0"/>
                <w:bCs/>
                <w:color w:val="auto"/>
                <w:sz w:val="24"/>
                <w:szCs w:val="24"/>
                <w:lang w:eastAsia="zh-CN"/>
              </w:rPr>
              <w:t>赤壁市</w:t>
            </w:r>
            <w:r>
              <w:rPr>
                <w:rFonts w:hint="eastAsia" w:ascii="仿宋" w:hAnsi="仿宋" w:eastAsia="仿宋" w:cs="仿宋"/>
                <w:b w:val="0"/>
                <w:bCs/>
                <w:color w:val="auto"/>
                <w:sz w:val="24"/>
                <w:szCs w:val="24"/>
              </w:rPr>
              <w:t>分局</w:t>
            </w:r>
            <w:r>
              <w:rPr>
                <w:rFonts w:hint="eastAsia" w:ascii="仿宋" w:hAnsi="仿宋" w:eastAsia="仿宋" w:cs="仿宋"/>
                <w:b w:val="0"/>
                <w:bCs/>
                <w:color w:val="auto"/>
                <w:sz w:val="24"/>
                <w:szCs w:val="24"/>
                <w:lang w:eastAsia="zh-CN"/>
              </w:rPr>
              <w:t>：</w:t>
            </w:r>
          </w:p>
          <w:p w14:paraId="5BC32D3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 5355351</w:t>
            </w:r>
          </w:p>
          <w:p w14:paraId="0B0B70D2">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水利和湖泊局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5351315</w:t>
            </w:r>
          </w:p>
          <w:p w14:paraId="06AD53B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卫生健康局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5366612</w:t>
            </w:r>
          </w:p>
          <w:p w14:paraId="56E113E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气象局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w:t>
            </w:r>
            <w:r>
              <w:rPr>
                <w:rFonts w:hint="eastAsia" w:ascii="仿宋" w:hAnsi="仿宋" w:eastAsia="仿宋" w:cs="仿宋"/>
                <w:b w:val="0"/>
                <w:bCs/>
                <w:color w:val="auto"/>
                <w:sz w:val="24"/>
                <w:szCs w:val="24"/>
                <w:lang w:eastAsia="zh-CN"/>
              </w:rPr>
              <w:t>5355896</w:t>
            </w:r>
          </w:p>
        </w:tc>
        <w:tc>
          <w:tcPr>
            <w:tcW w:w="7328" w:type="dxa"/>
            <w:tcBorders>
              <w:tl2br w:val="nil"/>
              <w:tr2bl w:val="nil"/>
            </w:tcBorders>
            <w:shd w:val="clear" w:color="auto" w:fill="auto"/>
            <w:vAlign w:val="center"/>
          </w:tcPr>
          <w:p w14:paraId="7DF0465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负责对现场开展应急监测工作，分析污染种类和数量及可能造成的影响，判断事件的变化趋势，向现场指挥部提出控制和消除影响的科学建议。其中咸宁市生态环境局</w:t>
            </w:r>
            <w:r>
              <w:rPr>
                <w:rFonts w:hint="eastAsia" w:ascii="仿宋" w:hAnsi="仿宋" w:eastAsia="仿宋" w:cs="仿宋"/>
                <w:b w:val="0"/>
                <w:bCs/>
                <w:color w:val="auto"/>
                <w:sz w:val="24"/>
                <w:szCs w:val="24"/>
                <w:lang w:eastAsia="zh-CN"/>
              </w:rPr>
              <w:t>赤壁市</w:t>
            </w:r>
            <w:r>
              <w:rPr>
                <w:rFonts w:hint="eastAsia" w:ascii="仿宋" w:hAnsi="仿宋" w:eastAsia="仿宋" w:cs="仿宋"/>
                <w:b w:val="0"/>
                <w:bCs/>
                <w:color w:val="auto"/>
                <w:sz w:val="24"/>
                <w:szCs w:val="24"/>
              </w:rPr>
              <w:t>分局负责饮用水</w:t>
            </w:r>
            <w:r>
              <w:rPr>
                <w:rFonts w:hint="eastAsia" w:ascii="仿宋" w:hAnsi="仿宋" w:eastAsia="仿宋" w:cs="仿宋"/>
                <w:b w:val="0"/>
                <w:bCs/>
                <w:color w:val="auto"/>
                <w:sz w:val="24"/>
                <w:szCs w:val="24"/>
                <w:lang w:eastAsia="zh-CN"/>
              </w:rPr>
              <w:t>水源地</w:t>
            </w:r>
            <w:r>
              <w:rPr>
                <w:rFonts w:hint="eastAsia" w:ascii="仿宋" w:hAnsi="仿宋" w:eastAsia="仿宋" w:cs="仿宋"/>
                <w:b w:val="0"/>
                <w:bCs/>
                <w:color w:val="auto"/>
                <w:sz w:val="24"/>
                <w:szCs w:val="24"/>
              </w:rPr>
              <w:t>的水质监测和水体污染情况监测，</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水利和湖泊局负责</w:t>
            </w:r>
            <w:r>
              <w:rPr>
                <w:rFonts w:hint="eastAsia" w:ascii="仿宋" w:hAnsi="仿宋" w:eastAsia="仿宋" w:cs="仿宋"/>
                <w:b w:val="0"/>
                <w:bCs/>
                <w:color w:val="auto"/>
                <w:sz w:val="24"/>
                <w:szCs w:val="24"/>
                <w:lang w:val="en-US" w:eastAsia="zh-CN"/>
              </w:rPr>
              <w:t>协调相关部门</w:t>
            </w:r>
            <w:r>
              <w:rPr>
                <w:rFonts w:hint="eastAsia" w:ascii="仿宋" w:hAnsi="仿宋" w:eastAsia="仿宋" w:cs="仿宋"/>
                <w:b w:val="0"/>
                <w:bCs/>
                <w:color w:val="auto"/>
                <w:sz w:val="24"/>
                <w:szCs w:val="24"/>
              </w:rPr>
              <w:t>调水通道、饮用水水源</w:t>
            </w:r>
            <w:r>
              <w:rPr>
                <w:rFonts w:hint="eastAsia" w:ascii="仿宋" w:hAnsi="仿宋" w:eastAsia="仿宋" w:cs="仿宋"/>
                <w:b w:val="0"/>
                <w:bCs/>
                <w:color w:val="auto"/>
                <w:sz w:val="24"/>
                <w:szCs w:val="24"/>
                <w:lang w:eastAsia="zh-CN"/>
              </w:rPr>
              <w:t>地</w:t>
            </w:r>
            <w:r>
              <w:rPr>
                <w:rFonts w:hint="eastAsia" w:ascii="仿宋" w:hAnsi="仿宋" w:eastAsia="仿宋" w:cs="仿宋"/>
                <w:b w:val="0"/>
                <w:bCs/>
                <w:color w:val="auto"/>
                <w:sz w:val="24"/>
                <w:szCs w:val="24"/>
              </w:rPr>
              <w:t>的水量、流向情况的监测，</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住建局负责取水口进出水水质监测，</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卫生健康局负责对集中式供水单位出厂水质和末梢水水质监测，</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气象局负责气象要素的监测。</w:t>
            </w:r>
          </w:p>
        </w:tc>
      </w:tr>
      <w:tr w14:paraId="68292E3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1317" w:type="dxa"/>
            <w:tcBorders>
              <w:tl2br w:val="nil"/>
              <w:tr2bl w:val="nil"/>
            </w:tcBorders>
            <w:shd w:val="clear" w:color="auto" w:fill="auto"/>
            <w:vAlign w:val="center"/>
          </w:tcPr>
          <w:p w14:paraId="123865E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lang w:val="zh-CN" w:eastAsia="zh-CN"/>
              </w:rPr>
              <w:t>应急供水保障组</w:t>
            </w:r>
          </w:p>
        </w:tc>
        <w:tc>
          <w:tcPr>
            <w:tcW w:w="3124" w:type="dxa"/>
            <w:tcBorders>
              <w:tl2br w:val="nil"/>
              <w:tr2bl w:val="nil"/>
            </w:tcBorders>
            <w:shd w:val="clear" w:color="auto" w:fill="auto"/>
            <w:vAlign w:val="center"/>
          </w:tcPr>
          <w:p w14:paraId="442FABC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rPr>
              <w:t>由</w:t>
            </w:r>
            <w:r>
              <w:rPr>
                <w:rFonts w:hint="eastAsia" w:ascii="仿宋" w:hAnsi="仿宋" w:eastAsia="仿宋" w:cs="仿宋"/>
                <w:b w:val="0"/>
                <w:bCs/>
                <w:color w:val="auto"/>
                <w:sz w:val="24"/>
                <w:szCs w:val="24"/>
                <w:lang w:eastAsia="zh-CN"/>
              </w:rPr>
              <w:t>市住建局</w:t>
            </w:r>
            <w:r>
              <w:rPr>
                <w:rFonts w:hint="eastAsia" w:ascii="仿宋" w:hAnsi="仿宋" w:eastAsia="仿宋" w:cs="仿宋"/>
                <w:b w:val="0"/>
                <w:bCs/>
                <w:color w:val="auto"/>
                <w:sz w:val="24"/>
                <w:szCs w:val="24"/>
              </w:rPr>
              <w:t>负责牵头</w:t>
            </w:r>
            <w:r>
              <w:rPr>
                <w:rFonts w:hint="eastAsia" w:ascii="仿宋" w:hAnsi="仿宋" w:eastAsia="仿宋" w:cs="仿宋"/>
                <w:b w:val="0"/>
                <w:bCs/>
                <w:color w:val="auto"/>
                <w:sz w:val="24"/>
                <w:szCs w:val="24"/>
                <w:lang w:eastAsia="zh-CN"/>
              </w:rPr>
              <w:t>，市水务集团、市商务局、市应急管理局组成</w:t>
            </w:r>
          </w:p>
        </w:tc>
        <w:tc>
          <w:tcPr>
            <w:tcW w:w="3833" w:type="dxa"/>
            <w:tcBorders>
              <w:tl2br w:val="nil"/>
              <w:tr2bl w:val="nil"/>
            </w:tcBorders>
            <w:shd w:val="clear" w:color="auto" w:fill="auto"/>
            <w:vAlign w:val="center"/>
          </w:tcPr>
          <w:p w14:paraId="7B9ED0E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市住建</w:t>
            </w:r>
            <w:r>
              <w:rPr>
                <w:rFonts w:hint="eastAsia" w:ascii="仿宋" w:hAnsi="仿宋" w:eastAsia="仿宋" w:cs="仿宋"/>
                <w:b w:val="0"/>
                <w:bCs/>
                <w:color w:val="auto"/>
                <w:sz w:val="24"/>
                <w:szCs w:val="24"/>
              </w:rPr>
              <w:t>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5359180</w:t>
            </w:r>
          </w:p>
          <w:p w14:paraId="5455335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市水务集团： 5220777</w:t>
            </w:r>
          </w:p>
          <w:p w14:paraId="72A30099">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市商务局： 5222972</w:t>
            </w:r>
          </w:p>
          <w:p w14:paraId="3E79171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市应急管理局： 5353630</w:t>
            </w:r>
          </w:p>
        </w:tc>
        <w:tc>
          <w:tcPr>
            <w:tcW w:w="7328" w:type="dxa"/>
            <w:tcBorders>
              <w:tl2br w:val="nil"/>
              <w:tr2bl w:val="nil"/>
            </w:tcBorders>
            <w:shd w:val="clear" w:color="auto" w:fill="auto"/>
            <w:vAlign w:val="center"/>
          </w:tcPr>
          <w:p w14:paraId="7A23325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督促供水企业落实应急物资和技术储备，在应急期间采取各种应急处置措施，保证出厂水质质量，保障居民饮用水供应。必要时采取停水措施，由</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商务局和</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应急管理局负责组织净水的供应。</w:t>
            </w:r>
          </w:p>
        </w:tc>
      </w:tr>
      <w:tr w14:paraId="798A7BA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1317" w:type="dxa"/>
            <w:tcBorders>
              <w:tl2br w:val="nil"/>
              <w:tr2bl w:val="nil"/>
            </w:tcBorders>
            <w:shd w:val="clear" w:color="auto" w:fill="auto"/>
            <w:vAlign w:val="center"/>
          </w:tcPr>
          <w:p w14:paraId="64CFF5A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应急物资保障组</w:t>
            </w:r>
          </w:p>
        </w:tc>
        <w:tc>
          <w:tcPr>
            <w:tcW w:w="3124" w:type="dxa"/>
            <w:tcBorders>
              <w:tl2br w:val="nil"/>
              <w:tr2bl w:val="nil"/>
            </w:tcBorders>
            <w:shd w:val="clear" w:color="auto" w:fill="auto"/>
            <w:vAlign w:val="center"/>
          </w:tcPr>
          <w:p w14:paraId="3935DEE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由民政局负责牵头，</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应急管理局、</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商务局、</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公安局、</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财政局、</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交通运输局等组成</w:t>
            </w:r>
          </w:p>
        </w:tc>
        <w:tc>
          <w:tcPr>
            <w:tcW w:w="3833" w:type="dxa"/>
            <w:tcBorders>
              <w:tl2br w:val="nil"/>
              <w:tr2bl w:val="nil"/>
            </w:tcBorders>
            <w:shd w:val="clear" w:color="auto" w:fill="auto"/>
            <w:vAlign w:val="center"/>
          </w:tcPr>
          <w:p w14:paraId="4603536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市民政局： 5236470</w:t>
            </w:r>
          </w:p>
          <w:p w14:paraId="3751CDC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应急管理局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5353630</w:t>
            </w:r>
          </w:p>
          <w:p w14:paraId="042C8B7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商务局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5222972</w:t>
            </w:r>
          </w:p>
          <w:p w14:paraId="4FBBEEF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公安局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5263411</w:t>
            </w:r>
          </w:p>
          <w:p w14:paraId="3D36C5C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财政局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5330997</w:t>
            </w:r>
          </w:p>
          <w:p w14:paraId="5C48B04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交通运输局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5362001</w:t>
            </w:r>
          </w:p>
        </w:tc>
        <w:tc>
          <w:tcPr>
            <w:tcW w:w="7328" w:type="dxa"/>
            <w:tcBorders>
              <w:tl2br w:val="nil"/>
              <w:tr2bl w:val="nil"/>
            </w:tcBorders>
            <w:shd w:val="clear" w:color="auto" w:fill="auto"/>
            <w:vAlign w:val="center"/>
          </w:tcPr>
          <w:p w14:paraId="4B549A7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民政局负责救援物资发放，</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应急管理局负责相关应急物资调集，</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商务局负责协调基本生活物资的调拨和紧急供应，</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公安局负责维护社会治安、保障道路交通畅通工作，</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财政局负责调拨事件应急体系运行经费，</w:t>
            </w: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交通运输局负责协调应急处置所需的交通运输。</w:t>
            </w:r>
          </w:p>
        </w:tc>
      </w:tr>
      <w:tr w14:paraId="02FB4E4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1317" w:type="dxa"/>
            <w:tcBorders>
              <w:tl2br w:val="nil"/>
              <w:tr2bl w:val="nil"/>
            </w:tcBorders>
            <w:shd w:val="clear" w:color="auto" w:fill="auto"/>
            <w:vAlign w:val="center"/>
          </w:tcPr>
          <w:p w14:paraId="2794DE8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应急专家组</w:t>
            </w:r>
          </w:p>
        </w:tc>
        <w:tc>
          <w:tcPr>
            <w:tcW w:w="3124" w:type="dxa"/>
            <w:tcBorders>
              <w:tl2br w:val="nil"/>
              <w:tr2bl w:val="nil"/>
            </w:tcBorders>
            <w:shd w:val="clear" w:color="auto" w:fill="auto"/>
            <w:vAlign w:val="center"/>
          </w:tcPr>
          <w:p w14:paraId="6AF248E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根据需要聘请饮用水水源地安全危机的应急处置专家</w:t>
            </w:r>
          </w:p>
        </w:tc>
        <w:tc>
          <w:tcPr>
            <w:tcW w:w="3833" w:type="dxa"/>
            <w:tcBorders>
              <w:tl2br w:val="nil"/>
              <w:tr2bl w:val="nil"/>
            </w:tcBorders>
            <w:shd w:val="clear" w:color="auto" w:fill="auto"/>
            <w:vAlign w:val="center"/>
          </w:tcPr>
          <w:p w14:paraId="5F04026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rPr>
              <w:t>咸宁市生态环境局</w:t>
            </w:r>
            <w:r>
              <w:rPr>
                <w:rFonts w:hint="eastAsia" w:ascii="仿宋" w:hAnsi="仿宋" w:eastAsia="仿宋" w:cs="仿宋"/>
                <w:b w:val="0"/>
                <w:bCs/>
                <w:color w:val="auto"/>
                <w:sz w:val="24"/>
                <w:szCs w:val="24"/>
                <w:lang w:eastAsia="zh-CN"/>
              </w:rPr>
              <w:t>赤壁市</w:t>
            </w:r>
            <w:r>
              <w:rPr>
                <w:rFonts w:hint="eastAsia" w:ascii="仿宋" w:hAnsi="仿宋" w:eastAsia="仿宋" w:cs="仿宋"/>
                <w:b w:val="0"/>
                <w:bCs/>
                <w:color w:val="auto"/>
                <w:sz w:val="24"/>
                <w:szCs w:val="24"/>
              </w:rPr>
              <w:t>分局</w:t>
            </w:r>
            <w:r>
              <w:rPr>
                <w:rFonts w:hint="eastAsia" w:ascii="仿宋" w:hAnsi="仿宋" w:eastAsia="仿宋" w:cs="仿宋"/>
                <w:b w:val="0"/>
                <w:bCs/>
                <w:color w:val="auto"/>
                <w:sz w:val="24"/>
                <w:szCs w:val="24"/>
                <w:lang w:eastAsia="zh-CN"/>
              </w:rPr>
              <w:t>：</w:t>
            </w:r>
          </w:p>
          <w:p w14:paraId="085382E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 5355351</w:t>
            </w:r>
          </w:p>
          <w:p w14:paraId="26A48D9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水利和湖泊局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5351315</w:t>
            </w:r>
          </w:p>
          <w:p w14:paraId="2B5D4DA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卫生健康局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5354188</w:t>
            </w:r>
          </w:p>
        </w:tc>
        <w:tc>
          <w:tcPr>
            <w:tcW w:w="7328" w:type="dxa"/>
            <w:tcBorders>
              <w:tl2br w:val="nil"/>
              <w:tr2bl w:val="nil"/>
            </w:tcBorders>
            <w:shd w:val="clear" w:color="auto" w:fill="auto"/>
            <w:vAlign w:val="center"/>
          </w:tcPr>
          <w:p w14:paraId="2F66D4D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根据需要聘请饮用水水源地安全危机的应急处置专家，分析情况。根据专家的建议，通知相关应急救援力量随时待命，为应急指挥机构提供技术支持；必要时请示上一级应急指挥部调集事发地周边地区专业应急力量实施增援。</w:t>
            </w:r>
          </w:p>
        </w:tc>
      </w:tr>
      <w:tr w14:paraId="6B66838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1317" w:type="dxa"/>
            <w:tcBorders>
              <w:tl2br w:val="nil"/>
              <w:tr2bl w:val="nil"/>
            </w:tcBorders>
            <w:shd w:val="clear" w:color="auto" w:fill="auto"/>
            <w:vAlign w:val="center"/>
          </w:tcPr>
          <w:p w14:paraId="32C7940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舆情管控组</w:t>
            </w:r>
          </w:p>
        </w:tc>
        <w:tc>
          <w:tcPr>
            <w:tcW w:w="3124" w:type="dxa"/>
            <w:tcBorders>
              <w:tl2br w:val="nil"/>
              <w:tr2bl w:val="nil"/>
            </w:tcBorders>
            <w:shd w:val="clear" w:color="auto" w:fill="auto"/>
            <w:vAlign w:val="center"/>
          </w:tcPr>
          <w:p w14:paraId="3E69EF8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由市委宣传部牵头，咸宁市生态环境局赤壁市分局、市应急管理局、市水利和湖泊局、市农业农村局、市卫生健康局、市民政局、市商务局、陆水湖风景区管理委员会、市交通运输局、各乡镇政府等相关单位参加</w:t>
            </w:r>
          </w:p>
        </w:tc>
        <w:tc>
          <w:tcPr>
            <w:tcW w:w="3833" w:type="dxa"/>
            <w:tcBorders>
              <w:tl2br w:val="nil"/>
              <w:tr2bl w:val="nil"/>
            </w:tcBorders>
            <w:shd w:val="clear" w:color="auto" w:fill="auto"/>
            <w:vAlign w:val="center"/>
          </w:tcPr>
          <w:p w14:paraId="7F811CE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委宣传部</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5355891</w:t>
            </w:r>
          </w:p>
          <w:p w14:paraId="271F50F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rPr>
              <w:t>咸宁市生态环境局</w:t>
            </w:r>
            <w:r>
              <w:rPr>
                <w:rFonts w:hint="eastAsia" w:ascii="仿宋" w:hAnsi="仿宋" w:eastAsia="仿宋" w:cs="仿宋"/>
                <w:b w:val="0"/>
                <w:bCs/>
                <w:color w:val="auto"/>
                <w:sz w:val="24"/>
                <w:szCs w:val="24"/>
                <w:lang w:eastAsia="zh-CN"/>
              </w:rPr>
              <w:t>赤壁市</w:t>
            </w:r>
            <w:r>
              <w:rPr>
                <w:rFonts w:hint="eastAsia" w:ascii="仿宋" w:hAnsi="仿宋" w:eastAsia="仿宋" w:cs="仿宋"/>
                <w:b w:val="0"/>
                <w:bCs/>
                <w:color w:val="auto"/>
                <w:sz w:val="24"/>
                <w:szCs w:val="24"/>
              </w:rPr>
              <w:t>分局</w:t>
            </w:r>
            <w:r>
              <w:rPr>
                <w:rFonts w:hint="eastAsia" w:ascii="仿宋" w:hAnsi="仿宋" w:eastAsia="仿宋" w:cs="仿宋"/>
                <w:b w:val="0"/>
                <w:bCs/>
                <w:color w:val="auto"/>
                <w:sz w:val="24"/>
                <w:szCs w:val="24"/>
                <w:lang w:eastAsia="zh-CN"/>
              </w:rPr>
              <w:t>：</w:t>
            </w:r>
          </w:p>
          <w:p w14:paraId="4911F7B9">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 5355351</w:t>
            </w:r>
          </w:p>
          <w:p w14:paraId="7A4DE83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应急管理局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5353630</w:t>
            </w:r>
          </w:p>
          <w:p w14:paraId="7FC4EDF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水利和湖泊局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5351315</w:t>
            </w:r>
          </w:p>
          <w:p w14:paraId="4C1452C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农业农村局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5366612</w:t>
            </w:r>
          </w:p>
          <w:p w14:paraId="1E43CEA2">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卫生健康局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5354188</w:t>
            </w:r>
          </w:p>
          <w:p w14:paraId="5AE6772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民政局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5236470</w:t>
            </w:r>
          </w:p>
          <w:p w14:paraId="421BFD8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市商务局： 5222972</w:t>
            </w:r>
          </w:p>
          <w:p w14:paraId="14C1BD9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市</w:t>
            </w:r>
            <w:r>
              <w:rPr>
                <w:rFonts w:hint="eastAsia" w:ascii="仿宋" w:hAnsi="仿宋" w:eastAsia="仿宋" w:cs="仿宋"/>
                <w:b w:val="0"/>
                <w:bCs/>
                <w:color w:val="auto"/>
                <w:sz w:val="24"/>
                <w:szCs w:val="24"/>
              </w:rPr>
              <w:t>交通运输局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 xml:space="preserve"> 5362001</w:t>
            </w:r>
          </w:p>
          <w:p w14:paraId="38EB3FC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陆水湖风景区管理委员会：</w:t>
            </w:r>
          </w:p>
          <w:p w14:paraId="706DE7F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0715-</w:t>
            </w:r>
            <w:r>
              <w:rPr>
                <w:rFonts w:hint="eastAsia" w:ascii="仿宋" w:hAnsi="仿宋" w:eastAsia="仿宋" w:cs="仿宋"/>
                <w:b w:val="0"/>
                <w:bCs/>
                <w:color w:val="auto"/>
                <w:sz w:val="24"/>
                <w:szCs w:val="24"/>
                <w:lang w:val="en-US" w:eastAsia="zh-CN"/>
              </w:rPr>
              <w:t>5367538</w:t>
            </w:r>
          </w:p>
          <w:p w14:paraId="6B3CC36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官塘驿镇人民政府 </w:t>
            </w:r>
          </w:p>
          <w:p w14:paraId="0860D56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0715-5677501</w:t>
            </w:r>
          </w:p>
          <w:p w14:paraId="5DA4FCA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中伙铺镇人民政府 </w:t>
            </w:r>
          </w:p>
          <w:p w14:paraId="1711B21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0715-5600349</w:t>
            </w:r>
          </w:p>
          <w:p w14:paraId="0CE9700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陆水湖街道办事处 </w:t>
            </w:r>
          </w:p>
          <w:p w14:paraId="2EE3643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0715-5510037</w:t>
            </w:r>
          </w:p>
          <w:p w14:paraId="50062EB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蒲圻街道办事处</w:t>
            </w:r>
            <w:r>
              <w:rPr>
                <w:rFonts w:hint="eastAsia" w:ascii="仿宋" w:hAnsi="仿宋" w:eastAsia="仿宋" w:cs="仿宋"/>
                <w:b w:val="0"/>
                <w:bCs/>
                <w:color w:val="auto"/>
                <w:sz w:val="24"/>
                <w:szCs w:val="24"/>
                <w:lang w:val="en-US" w:eastAsia="zh-CN"/>
              </w:rPr>
              <w:tab/>
            </w:r>
          </w:p>
          <w:p w14:paraId="03C3B08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val="en-US" w:eastAsia="zh-CN"/>
              </w:rPr>
              <w:t>0715-5239998</w:t>
            </w:r>
          </w:p>
        </w:tc>
        <w:tc>
          <w:tcPr>
            <w:tcW w:w="7328" w:type="dxa"/>
            <w:tcBorders>
              <w:tl2br w:val="nil"/>
              <w:tr2bl w:val="nil"/>
            </w:tcBorders>
            <w:shd w:val="clear" w:color="auto" w:fill="auto"/>
            <w:vAlign w:val="center"/>
          </w:tcPr>
          <w:p w14:paraId="0F03957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责协调饮用水水源地突发环境污染事件应急处理情况的网络舆情监测、管控和处置等工作；由市水环境应急指挥部指定新闻发言人，通过新闻发布会，及时向新闻媒体和社会各界及时准确发布事件权威信息，安定民心，维护社会稳定。</w:t>
            </w:r>
          </w:p>
        </w:tc>
      </w:tr>
    </w:tbl>
    <w:p w14:paraId="6DFBD526">
      <w:pPr>
        <w:pStyle w:val="2"/>
        <w:jc w:val="center"/>
        <w:rPr>
          <w:rFonts w:hint="eastAsia" w:ascii="仿宋_GB2312" w:hAnsi="仿宋_GB2312" w:eastAsia="仿宋_GB2312" w:cs="仿宋_GB2312"/>
          <w:b/>
          <w:bCs/>
          <w:color w:val="auto"/>
          <w:sz w:val="32"/>
          <w:szCs w:val="32"/>
          <w:lang w:val="en-US" w:eastAsia="zh-CN" w:bidi="ar-SA"/>
        </w:rPr>
        <w:sectPr>
          <w:pgSz w:w="16838" w:h="11906" w:orient="landscape"/>
          <w:pgMar w:top="720" w:right="720" w:bottom="720" w:left="720" w:header="1134" w:footer="1219"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2D7EB579">
      <w:pPr>
        <w:pStyle w:val="2"/>
        <w:jc w:val="center"/>
        <w:rPr>
          <w:rFonts w:hint="eastAsia" w:ascii="仿宋_GB2312" w:hAnsi="仿宋_GB2312" w:eastAsia="仿宋_GB2312" w:cs="仿宋_GB2312"/>
          <w:b/>
          <w:bCs/>
          <w:color w:val="auto"/>
          <w:sz w:val="32"/>
          <w:szCs w:val="32"/>
          <w:lang w:val="en-US" w:eastAsia="zh-CN" w:bidi="ar-SA"/>
        </w:rPr>
      </w:pPr>
      <w:bookmarkStart w:id="282" w:name="_Toc18119"/>
      <w:bookmarkStart w:id="283" w:name="_Toc27542"/>
      <w:r>
        <w:rPr>
          <w:rFonts w:hint="eastAsia" w:ascii="黑体" w:hAnsi="黑体" w:eastAsia="黑体" w:cs="黑体"/>
          <w:b w:val="0"/>
          <w:bCs w:val="0"/>
          <w:color w:val="auto"/>
          <w:sz w:val="32"/>
          <w:szCs w:val="32"/>
          <w:lang w:val="en-US" w:eastAsia="zh-CN" w:bidi="ar-SA"/>
        </w:rPr>
        <w:t>附件5</w:t>
      </w:r>
      <w:r>
        <w:rPr>
          <w:rFonts w:hint="eastAsia" w:ascii="仿宋_GB2312" w:hAnsi="仿宋_GB2312" w:eastAsia="仿宋_GB2312" w:cs="仿宋_GB2312"/>
          <w:b/>
          <w:bCs/>
          <w:color w:val="auto"/>
          <w:sz w:val="32"/>
          <w:szCs w:val="32"/>
          <w:lang w:val="en-US" w:eastAsia="zh-CN" w:bidi="ar-SA"/>
        </w:rPr>
        <w:t xml:space="preserve">  集中式饮用水水源地突发污染事件应急常用物资表</w:t>
      </w:r>
      <w:bookmarkEnd w:id="282"/>
      <w:bookmarkEnd w:id="283"/>
    </w:p>
    <w:tbl>
      <w:tblPr>
        <w:tblStyle w:val="17"/>
        <w:tblW w:w="832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8"/>
        <w:gridCol w:w="4059"/>
        <w:gridCol w:w="3732"/>
      </w:tblGrid>
      <w:tr w14:paraId="0ECC1D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538" w:type="dxa"/>
            <w:tcBorders>
              <w:tl2br w:val="nil"/>
              <w:tr2bl w:val="nil"/>
            </w:tcBorders>
            <w:vAlign w:val="center"/>
          </w:tcPr>
          <w:p w14:paraId="3C76958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序号</w:t>
            </w:r>
          </w:p>
        </w:tc>
        <w:tc>
          <w:tcPr>
            <w:tcW w:w="4059" w:type="dxa"/>
            <w:tcBorders>
              <w:tl2br w:val="nil"/>
              <w:tr2bl w:val="nil"/>
            </w:tcBorders>
            <w:vAlign w:val="center"/>
          </w:tcPr>
          <w:p w14:paraId="45AC467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类别</w:t>
            </w:r>
          </w:p>
        </w:tc>
        <w:tc>
          <w:tcPr>
            <w:tcW w:w="3732" w:type="dxa"/>
            <w:tcBorders>
              <w:tl2br w:val="nil"/>
              <w:tr2bl w:val="nil"/>
            </w:tcBorders>
            <w:vAlign w:val="center"/>
          </w:tcPr>
          <w:p w14:paraId="46CA773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常用物质</w:t>
            </w:r>
          </w:p>
        </w:tc>
      </w:tr>
      <w:tr w14:paraId="607B78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538" w:type="dxa"/>
            <w:tcBorders>
              <w:tl2br w:val="nil"/>
              <w:tr2bl w:val="nil"/>
            </w:tcBorders>
            <w:vAlign w:val="center"/>
          </w:tcPr>
          <w:p w14:paraId="7159638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1</w:t>
            </w:r>
          </w:p>
        </w:tc>
        <w:tc>
          <w:tcPr>
            <w:tcW w:w="4059" w:type="dxa"/>
            <w:tcBorders>
              <w:tl2br w:val="nil"/>
              <w:tr2bl w:val="nil"/>
            </w:tcBorders>
            <w:vAlign w:val="center"/>
          </w:tcPr>
          <w:p w14:paraId="63A8488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对水体内污染物进行打捞和拦截的物资、装备和设施</w:t>
            </w:r>
          </w:p>
        </w:tc>
        <w:tc>
          <w:tcPr>
            <w:tcW w:w="3732" w:type="dxa"/>
            <w:tcBorders>
              <w:tl2br w:val="nil"/>
              <w:tr2bl w:val="nil"/>
            </w:tcBorders>
            <w:vAlign w:val="center"/>
          </w:tcPr>
          <w:p w14:paraId="444B01E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救援打捞设备、油毡、围油栏、筑坝材料、溢出控制装备等。</w:t>
            </w:r>
          </w:p>
        </w:tc>
      </w:tr>
      <w:tr w14:paraId="6A735A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8" w:type="dxa"/>
            <w:tcBorders>
              <w:tl2br w:val="nil"/>
              <w:tr2bl w:val="nil"/>
            </w:tcBorders>
            <w:vAlign w:val="center"/>
          </w:tcPr>
          <w:p w14:paraId="28B115E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2</w:t>
            </w:r>
          </w:p>
        </w:tc>
        <w:tc>
          <w:tcPr>
            <w:tcW w:w="4059" w:type="dxa"/>
            <w:tcBorders>
              <w:tl2br w:val="nil"/>
              <w:tr2bl w:val="nil"/>
            </w:tcBorders>
            <w:vAlign w:val="center"/>
          </w:tcPr>
          <w:p w14:paraId="7CEBECB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控制和消除污染物的物资、装备和设施</w:t>
            </w:r>
          </w:p>
        </w:tc>
        <w:tc>
          <w:tcPr>
            <w:tcW w:w="3732" w:type="dxa"/>
            <w:tcBorders>
              <w:tl2br w:val="nil"/>
              <w:tr2bl w:val="nil"/>
            </w:tcBorders>
            <w:vAlign w:val="center"/>
          </w:tcPr>
          <w:p w14:paraId="7EC4A26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中和剂、灭火剂、解毒剂、吸收剂等。</w:t>
            </w:r>
          </w:p>
        </w:tc>
      </w:tr>
      <w:tr w14:paraId="1D6C67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8" w:type="dxa"/>
            <w:tcBorders>
              <w:tl2br w:val="nil"/>
              <w:tr2bl w:val="nil"/>
            </w:tcBorders>
            <w:vAlign w:val="center"/>
          </w:tcPr>
          <w:p w14:paraId="2715B8E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3</w:t>
            </w:r>
          </w:p>
        </w:tc>
        <w:tc>
          <w:tcPr>
            <w:tcW w:w="4059" w:type="dxa"/>
            <w:tcBorders>
              <w:tl2br w:val="nil"/>
              <w:tr2bl w:val="nil"/>
            </w:tcBorders>
            <w:vAlign w:val="center"/>
          </w:tcPr>
          <w:p w14:paraId="7968F49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移除和拦截移动源的装备和设施</w:t>
            </w:r>
          </w:p>
        </w:tc>
        <w:tc>
          <w:tcPr>
            <w:tcW w:w="3732" w:type="dxa"/>
            <w:tcBorders>
              <w:tl2br w:val="nil"/>
              <w:tr2bl w:val="nil"/>
            </w:tcBorders>
            <w:vAlign w:val="center"/>
          </w:tcPr>
          <w:p w14:paraId="17AEFC2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吊车、临时围堰、导流槽、应急池。</w:t>
            </w:r>
          </w:p>
        </w:tc>
      </w:tr>
      <w:tr w14:paraId="2A8E22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38" w:type="dxa"/>
            <w:tcBorders>
              <w:tl2br w:val="nil"/>
              <w:tr2bl w:val="nil"/>
            </w:tcBorders>
            <w:vAlign w:val="center"/>
          </w:tcPr>
          <w:p w14:paraId="01A8F48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4</w:t>
            </w:r>
          </w:p>
        </w:tc>
        <w:tc>
          <w:tcPr>
            <w:tcW w:w="4059" w:type="dxa"/>
            <w:tcBorders>
              <w:tl2br w:val="nil"/>
              <w:tr2bl w:val="nil"/>
            </w:tcBorders>
            <w:vAlign w:val="center"/>
          </w:tcPr>
          <w:p w14:paraId="13604C2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雨水口垃圾清运和拦截的装备和设施</w:t>
            </w:r>
          </w:p>
        </w:tc>
        <w:tc>
          <w:tcPr>
            <w:tcW w:w="3732" w:type="dxa"/>
            <w:tcBorders>
              <w:tl2br w:val="nil"/>
              <w:tr2bl w:val="nil"/>
            </w:tcBorders>
            <w:vAlign w:val="center"/>
          </w:tcPr>
          <w:p w14:paraId="70ED3B2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格栅、清运车、临时设置的导流槽等。</w:t>
            </w:r>
          </w:p>
        </w:tc>
      </w:tr>
      <w:tr w14:paraId="216F26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538" w:type="dxa"/>
            <w:tcBorders>
              <w:tl2br w:val="nil"/>
              <w:tr2bl w:val="nil"/>
            </w:tcBorders>
            <w:vAlign w:val="center"/>
          </w:tcPr>
          <w:p w14:paraId="7811FFA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w:t>
            </w:r>
          </w:p>
        </w:tc>
        <w:tc>
          <w:tcPr>
            <w:tcW w:w="4059" w:type="dxa"/>
            <w:tcBorders>
              <w:tl2br w:val="nil"/>
              <w:tr2bl w:val="nil"/>
            </w:tcBorders>
            <w:vAlign w:val="center"/>
          </w:tcPr>
          <w:p w14:paraId="01CE94E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针对水华灾害，消除有毒有害物质产生条件、清除藻类的物资、装备和设施</w:t>
            </w:r>
          </w:p>
        </w:tc>
        <w:tc>
          <w:tcPr>
            <w:tcW w:w="3732" w:type="dxa"/>
            <w:tcBorders>
              <w:tl2br w:val="nil"/>
              <w:tr2bl w:val="nil"/>
            </w:tcBorders>
            <w:vAlign w:val="center"/>
          </w:tcPr>
          <w:p w14:paraId="203612C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增氧机、除草船等。</w:t>
            </w:r>
          </w:p>
        </w:tc>
      </w:tr>
      <w:tr w14:paraId="008DDD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538" w:type="dxa"/>
            <w:tcBorders>
              <w:tl2br w:val="nil"/>
              <w:tr2bl w:val="nil"/>
            </w:tcBorders>
            <w:vAlign w:val="center"/>
          </w:tcPr>
          <w:p w14:paraId="74CDA28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6</w:t>
            </w:r>
          </w:p>
        </w:tc>
        <w:tc>
          <w:tcPr>
            <w:tcW w:w="4059" w:type="dxa"/>
            <w:tcBorders>
              <w:tl2br w:val="nil"/>
              <w:tr2bl w:val="nil"/>
            </w:tcBorders>
            <w:vAlign w:val="center"/>
          </w:tcPr>
          <w:p w14:paraId="3B9AF67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对污染物进行拦截、导流、分流及降解的应急工程设施</w:t>
            </w:r>
          </w:p>
        </w:tc>
        <w:tc>
          <w:tcPr>
            <w:tcW w:w="3732" w:type="dxa"/>
            <w:tcBorders>
              <w:tl2br w:val="nil"/>
              <w:tr2bl w:val="nil"/>
            </w:tcBorders>
            <w:vAlign w:val="center"/>
          </w:tcPr>
          <w:p w14:paraId="0DBCFC3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拦截坝、节制闸、导流渠、分流沟、前置库等。</w:t>
            </w:r>
          </w:p>
        </w:tc>
      </w:tr>
    </w:tbl>
    <w:p w14:paraId="30EC31D8">
      <w:pPr>
        <w:rPr>
          <w:rFonts w:hint="eastAsia"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br w:type="page"/>
      </w:r>
    </w:p>
    <w:p w14:paraId="20A89023">
      <w:pPr>
        <w:pStyle w:val="2"/>
        <w:jc w:val="center"/>
        <w:rPr>
          <w:rFonts w:hint="eastAsia" w:ascii="仿宋_GB2312" w:hAnsi="仿宋_GB2312" w:eastAsia="仿宋_GB2312" w:cs="仿宋_GB2312"/>
          <w:b/>
          <w:bCs/>
          <w:color w:val="auto"/>
          <w:sz w:val="32"/>
          <w:szCs w:val="32"/>
          <w:lang w:val="en-US" w:eastAsia="zh-CN" w:bidi="ar-SA"/>
        </w:rPr>
      </w:pPr>
      <w:bookmarkStart w:id="284" w:name="_Toc8127"/>
      <w:bookmarkStart w:id="285" w:name="_Toc8036"/>
      <w:r>
        <w:rPr>
          <w:rFonts w:hint="eastAsia" w:ascii="黑体" w:hAnsi="黑体" w:eastAsia="黑体" w:cs="黑体"/>
          <w:b w:val="0"/>
          <w:bCs w:val="0"/>
          <w:color w:val="auto"/>
          <w:sz w:val="32"/>
          <w:szCs w:val="32"/>
          <w:lang w:val="en-US" w:eastAsia="zh-CN" w:bidi="ar-SA"/>
        </w:rPr>
        <w:t>附件6</w:t>
      </w:r>
      <w:r>
        <w:rPr>
          <w:rFonts w:hint="eastAsia" w:ascii="仿宋_GB2312" w:hAnsi="仿宋_GB2312" w:eastAsia="仿宋_GB2312" w:cs="仿宋_GB2312"/>
          <w:b/>
          <w:bCs/>
          <w:color w:val="auto"/>
          <w:sz w:val="32"/>
          <w:szCs w:val="32"/>
          <w:lang w:val="en-US" w:eastAsia="zh-CN" w:bidi="ar-SA"/>
        </w:rPr>
        <w:t xml:space="preserve">  常见化学品引发水污染事故的简要处置方法</w:t>
      </w:r>
      <w:bookmarkEnd w:id="284"/>
      <w:bookmarkEnd w:id="285"/>
    </w:p>
    <w:tbl>
      <w:tblPr>
        <w:tblStyle w:val="17"/>
        <w:tblW w:w="827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3"/>
        <w:gridCol w:w="868"/>
        <w:gridCol w:w="3897"/>
        <w:gridCol w:w="3088"/>
      </w:tblGrid>
      <w:tr w14:paraId="0BE00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6" w:hRule="atLeast"/>
        </w:trPr>
        <w:tc>
          <w:tcPr>
            <w:tcW w:w="423" w:type="dxa"/>
            <w:tcBorders>
              <w:tl2br w:val="nil"/>
              <w:tr2bl w:val="nil"/>
            </w:tcBorders>
            <w:vAlign w:val="center"/>
          </w:tcPr>
          <w:p w14:paraId="41DE85F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序号</w:t>
            </w:r>
          </w:p>
        </w:tc>
        <w:tc>
          <w:tcPr>
            <w:tcW w:w="868" w:type="dxa"/>
            <w:tcBorders>
              <w:tl2br w:val="nil"/>
              <w:tr2bl w:val="nil"/>
            </w:tcBorders>
            <w:vAlign w:val="center"/>
          </w:tcPr>
          <w:p w14:paraId="6E8F8C6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污染物类别</w:t>
            </w:r>
          </w:p>
        </w:tc>
        <w:tc>
          <w:tcPr>
            <w:tcW w:w="3897" w:type="dxa"/>
            <w:tcBorders>
              <w:tl2br w:val="nil"/>
              <w:tr2bl w:val="nil"/>
            </w:tcBorders>
            <w:vAlign w:val="center"/>
          </w:tcPr>
          <w:p w14:paraId="3E79179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代表物质</w:t>
            </w:r>
          </w:p>
        </w:tc>
        <w:tc>
          <w:tcPr>
            <w:tcW w:w="3088" w:type="dxa"/>
            <w:tcBorders>
              <w:tl2br w:val="nil"/>
              <w:tr2bl w:val="nil"/>
            </w:tcBorders>
            <w:vAlign w:val="center"/>
          </w:tcPr>
          <w:p w14:paraId="21C40B6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应急处置</w:t>
            </w:r>
          </w:p>
        </w:tc>
      </w:tr>
      <w:tr w14:paraId="67F14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99" w:hRule="atLeast"/>
        </w:trPr>
        <w:tc>
          <w:tcPr>
            <w:tcW w:w="423" w:type="dxa"/>
            <w:tcBorders>
              <w:tl2br w:val="nil"/>
              <w:tr2bl w:val="nil"/>
            </w:tcBorders>
            <w:vAlign w:val="center"/>
          </w:tcPr>
          <w:p w14:paraId="0A1528E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1</w:t>
            </w:r>
          </w:p>
        </w:tc>
        <w:tc>
          <w:tcPr>
            <w:tcW w:w="868" w:type="dxa"/>
            <w:tcBorders>
              <w:tl2br w:val="nil"/>
              <w:tr2bl w:val="nil"/>
            </w:tcBorders>
            <w:vAlign w:val="center"/>
          </w:tcPr>
          <w:p w14:paraId="7325FFD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重金属类</w:t>
            </w:r>
          </w:p>
        </w:tc>
        <w:tc>
          <w:tcPr>
            <w:tcW w:w="3897" w:type="dxa"/>
            <w:tcBorders>
              <w:tl2br w:val="nil"/>
              <w:tr2bl w:val="nil"/>
            </w:tcBorders>
            <w:vAlign w:val="center"/>
          </w:tcPr>
          <w:p w14:paraId="77D7606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代表物质有汞及汞盐、铅盐、锡盐类、铬盐等。汞为液体金属</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其余均为结晶盐类</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铬盐和铅往往有鲜亮的颜色。该类物质多数具有较强毒性</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在自然环境中不降解</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并能随食物链逐渐富集</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形成急性或蓄积类水污染事故。</w:t>
            </w:r>
          </w:p>
        </w:tc>
        <w:tc>
          <w:tcPr>
            <w:tcW w:w="3088" w:type="dxa"/>
            <w:tcBorders>
              <w:tl2br w:val="nil"/>
              <w:tr2bl w:val="nil"/>
            </w:tcBorders>
            <w:vAlign w:val="center"/>
          </w:tcPr>
          <w:p w14:paraId="3A90C47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关闭闸门或筑坝围隔污染区</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在污染区投加生石灰沉淀重金属离子</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排干上清液后将底质移除到安全地方水泥固化后填埋。汞泄漏后应急人员应佩戴防护用具</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尽量将泄漏汞收集到安全地方处理</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无法收集的现场用硫磺粉覆盖处理。</w:t>
            </w:r>
          </w:p>
        </w:tc>
      </w:tr>
      <w:tr w14:paraId="67603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92" w:hRule="atLeast"/>
        </w:trPr>
        <w:tc>
          <w:tcPr>
            <w:tcW w:w="423" w:type="dxa"/>
            <w:tcBorders>
              <w:tl2br w:val="nil"/>
              <w:tr2bl w:val="nil"/>
            </w:tcBorders>
            <w:vAlign w:val="center"/>
          </w:tcPr>
          <w:p w14:paraId="7DFB38E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2</w:t>
            </w:r>
          </w:p>
        </w:tc>
        <w:tc>
          <w:tcPr>
            <w:tcW w:w="868" w:type="dxa"/>
            <w:tcBorders>
              <w:tl2br w:val="nil"/>
              <w:tr2bl w:val="nil"/>
            </w:tcBorders>
            <w:vAlign w:val="center"/>
          </w:tcPr>
          <w:p w14:paraId="367D226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氰化物</w:t>
            </w:r>
          </w:p>
        </w:tc>
        <w:tc>
          <w:tcPr>
            <w:tcW w:w="3897" w:type="dxa"/>
            <w:tcBorders>
              <w:tl2br w:val="nil"/>
              <w:tr2bl w:val="nil"/>
            </w:tcBorders>
            <w:vAlign w:val="center"/>
          </w:tcPr>
          <w:p w14:paraId="11A900C9">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代表物质有氰化钾、氰化钠和氰化氢的水溶液。氰化钾、氰化钠为白色结晶粉末</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易潮解</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易溶于水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用于冶金和电镀行业</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常以水溶液罐车运输。氰化氢常温下为液体易挥发</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有苦杏仁味。该类物质呈现剧毒</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能抑制呼吸酶</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对底栖动物、鱼类、两栖动物、哺乳动物等均呈高毒。</w:t>
            </w:r>
          </w:p>
        </w:tc>
        <w:tc>
          <w:tcPr>
            <w:tcW w:w="3088" w:type="dxa"/>
            <w:tcBorders>
              <w:tl2br w:val="nil"/>
              <w:tr2bl w:val="nil"/>
            </w:tcBorders>
            <w:vAlign w:val="center"/>
          </w:tcPr>
          <w:p w14:paraId="751C1BD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应急处置人员须</w:t>
            </w:r>
            <w:r>
              <w:rPr>
                <w:rFonts w:hint="eastAsia" w:ascii="仿宋" w:hAnsi="仿宋" w:eastAsia="仿宋" w:cs="仿宋"/>
                <w:b w:val="0"/>
                <w:bCs/>
                <w:color w:val="auto"/>
                <w:sz w:val="24"/>
                <w:szCs w:val="24"/>
                <w:lang w:eastAsia="zh-CN"/>
              </w:rPr>
              <w:t>佩戴</w:t>
            </w:r>
            <w:r>
              <w:rPr>
                <w:rFonts w:hint="eastAsia" w:ascii="仿宋" w:hAnsi="仿宋" w:eastAsia="仿宋" w:cs="仿宋"/>
                <w:b w:val="0"/>
                <w:bCs/>
                <w:color w:val="auto"/>
                <w:sz w:val="24"/>
                <w:szCs w:val="24"/>
              </w:rPr>
              <w:t>全身防护用具</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尽可能围隔污染区</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在污染区加过量漂白粉处置</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一般24小时可氧化完全。</w:t>
            </w:r>
          </w:p>
        </w:tc>
      </w:tr>
      <w:tr w14:paraId="4267A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24" w:hRule="atLeast"/>
        </w:trPr>
        <w:tc>
          <w:tcPr>
            <w:tcW w:w="423" w:type="dxa"/>
            <w:tcBorders>
              <w:tl2br w:val="nil"/>
              <w:tr2bl w:val="nil"/>
            </w:tcBorders>
            <w:vAlign w:val="center"/>
          </w:tcPr>
          <w:p w14:paraId="7794F57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3</w:t>
            </w:r>
          </w:p>
        </w:tc>
        <w:tc>
          <w:tcPr>
            <w:tcW w:w="868" w:type="dxa"/>
            <w:tcBorders>
              <w:tl2br w:val="nil"/>
              <w:tr2bl w:val="nil"/>
            </w:tcBorders>
            <w:vAlign w:val="center"/>
          </w:tcPr>
          <w:p w14:paraId="402D51A3">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氟化物</w:t>
            </w:r>
          </w:p>
        </w:tc>
        <w:tc>
          <w:tcPr>
            <w:tcW w:w="3897" w:type="dxa"/>
            <w:tcBorders>
              <w:tl2br w:val="nil"/>
              <w:tr2bl w:val="nil"/>
            </w:tcBorders>
            <w:vAlign w:val="center"/>
          </w:tcPr>
          <w:p w14:paraId="09DD4AD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代表物质有氟化钠、氢氟酸等。氟化钠为白色粉末</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无味。氢氟酸为无色有刺激臭味的液体。该类物质易溶于水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高毒</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并且容易在酸性环境中挥发氟化氢气体毒害呼吸系统。在自然环境中容易和金属离子形成络合物而降低毒性。</w:t>
            </w:r>
          </w:p>
        </w:tc>
        <w:tc>
          <w:tcPr>
            <w:tcW w:w="3088" w:type="dxa"/>
            <w:tcBorders>
              <w:tl2br w:val="nil"/>
              <w:tr2bl w:val="nil"/>
            </w:tcBorders>
            <w:vAlign w:val="center"/>
          </w:tcPr>
          <w:p w14:paraId="564960A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关闭闸门或筑坝围隔污染区</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应急处置人员须带全身防护用具。在污染水体中</w:t>
            </w:r>
            <w:r>
              <w:rPr>
                <w:rFonts w:hint="eastAsia" w:ascii="仿宋" w:hAnsi="仿宋" w:eastAsia="仿宋" w:cs="仿宋"/>
                <w:b w:val="0"/>
                <w:bCs/>
                <w:color w:val="auto"/>
                <w:sz w:val="24"/>
                <w:szCs w:val="24"/>
                <w:lang w:eastAsia="zh-CN"/>
              </w:rPr>
              <w:t>加入</w:t>
            </w:r>
            <w:r>
              <w:rPr>
                <w:rFonts w:hint="eastAsia" w:ascii="仿宋" w:hAnsi="仿宋" w:eastAsia="仿宋" w:cs="仿宋"/>
                <w:b w:val="0"/>
                <w:bCs/>
                <w:color w:val="auto"/>
                <w:sz w:val="24"/>
                <w:szCs w:val="24"/>
              </w:rPr>
              <w:t>过量生石灰沉淀氟离子</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并投加明矾加快沉淀速度。沉淀完全后将上清液排放</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铲除底质</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并转移到安全地方处置。</w:t>
            </w:r>
          </w:p>
        </w:tc>
      </w:tr>
      <w:tr w14:paraId="4AA49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24" w:hRule="atLeast"/>
        </w:trPr>
        <w:tc>
          <w:tcPr>
            <w:tcW w:w="423" w:type="dxa"/>
            <w:tcBorders>
              <w:tl2br w:val="nil"/>
              <w:tr2bl w:val="nil"/>
            </w:tcBorders>
            <w:vAlign w:val="center"/>
          </w:tcPr>
          <w:p w14:paraId="47686B5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4</w:t>
            </w:r>
          </w:p>
        </w:tc>
        <w:tc>
          <w:tcPr>
            <w:tcW w:w="868" w:type="dxa"/>
            <w:tcBorders>
              <w:tl2br w:val="nil"/>
              <w:tr2bl w:val="nil"/>
            </w:tcBorders>
            <w:vAlign w:val="center"/>
          </w:tcPr>
          <w:p w14:paraId="592D2FD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金属酸酐</w:t>
            </w:r>
          </w:p>
        </w:tc>
        <w:tc>
          <w:tcPr>
            <w:tcW w:w="3897" w:type="dxa"/>
            <w:tcBorders>
              <w:tl2br w:val="nil"/>
              <w:tr2bl w:val="nil"/>
            </w:tcBorders>
            <w:vAlign w:val="center"/>
          </w:tcPr>
          <w:p w14:paraId="424559E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代表物质有砒霜（三氧化二砷）和铬酸酐（三氧化铬）。砒霜为无色无味白色粉末</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微溶于水。铬酸矸为紫红色斜方晶体</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易潮解。两种物质均在水中有一定的溶解度</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呈现高毒性</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可毒害呼吸系统、神经系统和循环系统</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并能在动物体内可以富集</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造成二次中毒。</w:t>
            </w:r>
          </w:p>
        </w:tc>
        <w:tc>
          <w:tcPr>
            <w:tcW w:w="3088" w:type="dxa"/>
            <w:tcBorders>
              <w:tl2br w:val="nil"/>
              <w:tr2bl w:val="nil"/>
            </w:tcBorders>
            <w:vAlign w:val="center"/>
          </w:tcPr>
          <w:p w14:paraId="7DFFC20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关闭闸门或筑坝围隔污染区</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投放石灰和明矾沉淀</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沉淀完全后将上清液转移到安全地方</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用草酸钠还原后排放。清除底泥中的沉淀物</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用水泥固化后深埋。</w:t>
            </w:r>
          </w:p>
        </w:tc>
      </w:tr>
      <w:tr w14:paraId="33A8D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423" w:type="dxa"/>
            <w:tcBorders>
              <w:tl2br w:val="nil"/>
              <w:tr2bl w:val="nil"/>
            </w:tcBorders>
            <w:vAlign w:val="center"/>
          </w:tcPr>
          <w:p w14:paraId="3CCE014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w:t>
            </w:r>
          </w:p>
        </w:tc>
        <w:tc>
          <w:tcPr>
            <w:tcW w:w="868" w:type="dxa"/>
            <w:tcBorders>
              <w:tl2br w:val="nil"/>
              <w:tr2bl w:val="nil"/>
            </w:tcBorders>
            <w:vAlign w:val="center"/>
          </w:tcPr>
          <w:p w14:paraId="26C12FA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苯类化合物</w:t>
            </w:r>
          </w:p>
        </w:tc>
        <w:tc>
          <w:tcPr>
            <w:tcW w:w="3897" w:type="dxa"/>
            <w:tcBorders>
              <w:tl2br w:val="nil"/>
              <w:tr2bl w:val="nil"/>
            </w:tcBorders>
            <w:vAlign w:val="center"/>
          </w:tcPr>
          <w:p w14:paraId="6907F00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烯、硝基苯等。油状液体</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有特殊芳香味，易挥发，除取代苯外，密度一般小于水。该类物质是神经和循环系统毒剂，对人体有致癌作用</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不溶或微溶于水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扩散速度快</w:t>
            </w:r>
            <w:r>
              <w:rPr>
                <w:rFonts w:hint="eastAsia" w:ascii="仿宋" w:hAnsi="仿宋" w:eastAsia="仿宋" w:cs="仿宋"/>
                <w:b w:val="0"/>
                <w:bCs/>
                <w:color w:val="auto"/>
                <w:sz w:val="24"/>
                <w:szCs w:val="24"/>
                <w:lang w:eastAsia="zh-CN"/>
              </w:rPr>
              <w:t>，</w:t>
            </w:r>
          </w:p>
        </w:tc>
        <w:tc>
          <w:tcPr>
            <w:tcW w:w="3088" w:type="dxa"/>
            <w:tcBorders>
              <w:tl2br w:val="nil"/>
              <w:tr2bl w:val="nil"/>
            </w:tcBorders>
            <w:vAlign w:val="center"/>
          </w:tcPr>
          <w:p w14:paraId="6D49257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应急处置人员应戴全身防护用具</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筑坝或用围油栏围隔污染区</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注意防火。污染区用吸油绵等高吸油材料现场吸附</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转移到安全地方焚烧处理。污染水体最终用活性炭吸附处理。</w:t>
            </w:r>
          </w:p>
        </w:tc>
      </w:tr>
      <w:tr w14:paraId="52708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76" w:hRule="atLeast"/>
        </w:trPr>
        <w:tc>
          <w:tcPr>
            <w:tcW w:w="423" w:type="dxa"/>
            <w:tcBorders>
              <w:tl2br w:val="nil"/>
              <w:tr2bl w:val="nil"/>
            </w:tcBorders>
            <w:vAlign w:val="center"/>
          </w:tcPr>
          <w:p w14:paraId="38098DD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6</w:t>
            </w:r>
          </w:p>
        </w:tc>
        <w:tc>
          <w:tcPr>
            <w:tcW w:w="868" w:type="dxa"/>
            <w:tcBorders>
              <w:tl2br w:val="nil"/>
              <w:tr2bl w:val="nil"/>
            </w:tcBorders>
            <w:vAlign w:val="center"/>
          </w:tcPr>
          <w:p w14:paraId="778CF94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卤代烃</w:t>
            </w:r>
          </w:p>
        </w:tc>
        <w:tc>
          <w:tcPr>
            <w:tcW w:w="3897" w:type="dxa"/>
            <w:tcBorders>
              <w:tl2br w:val="nil"/>
              <w:tr2bl w:val="nil"/>
            </w:tcBorders>
            <w:vAlign w:val="center"/>
          </w:tcPr>
          <w:p w14:paraId="2ED5F42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代表物质有抓乙烯、四氯化碳、三氯甲烷、氯苯</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均为油状液体</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易挥发</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不溶于水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密度一般大于水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燃烧时有刺激性气体放出。该类物质遇水稳定</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对眼睛、皮肤、呼吸道等有刺激作用</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对人体有致癌作用。多元取代物密度往往大于水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沉于水底造成持久危害。</w:t>
            </w:r>
          </w:p>
        </w:tc>
        <w:tc>
          <w:tcPr>
            <w:tcW w:w="3088" w:type="dxa"/>
            <w:tcBorders>
              <w:tl2br w:val="nil"/>
              <w:tr2bl w:val="nil"/>
            </w:tcBorders>
            <w:vAlign w:val="center"/>
          </w:tcPr>
          <w:p w14:paraId="7143664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围隔应急人员应</w:t>
            </w:r>
            <w:r>
              <w:rPr>
                <w:rFonts w:hint="eastAsia" w:ascii="仿宋" w:hAnsi="仿宋" w:eastAsia="仿宋" w:cs="仿宋"/>
                <w:b w:val="0"/>
                <w:bCs/>
                <w:color w:val="auto"/>
                <w:sz w:val="24"/>
                <w:szCs w:val="24"/>
                <w:lang w:eastAsia="zh-CN"/>
              </w:rPr>
              <w:t>佩戴</w:t>
            </w:r>
            <w:r>
              <w:rPr>
                <w:rFonts w:hint="eastAsia" w:ascii="仿宋" w:hAnsi="仿宋" w:eastAsia="仿宋" w:cs="仿宋"/>
                <w:b w:val="0"/>
                <w:bCs/>
                <w:color w:val="auto"/>
                <w:sz w:val="24"/>
                <w:szCs w:val="24"/>
              </w:rPr>
              <w:t>全身防护用具。筑坝污染区</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污染水体投加活性炭吸附处理。用活性炭、吸油棉等高吸油材料等现场吸附积水中的污染物</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彻底清除后送到安全地方处理。</w:t>
            </w:r>
          </w:p>
        </w:tc>
      </w:tr>
      <w:tr w14:paraId="1991D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76" w:hRule="atLeast"/>
        </w:trPr>
        <w:tc>
          <w:tcPr>
            <w:tcW w:w="423" w:type="dxa"/>
            <w:tcBorders>
              <w:tl2br w:val="nil"/>
              <w:tr2bl w:val="nil"/>
            </w:tcBorders>
            <w:vAlign w:val="center"/>
          </w:tcPr>
          <w:p w14:paraId="7D5407F2">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7</w:t>
            </w:r>
          </w:p>
        </w:tc>
        <w:tc>
          <w:tcPr>
            <w:tcW w:w="868" w:type="dxa"/>
            <w:tcBorders>
              <w:tl2br w:val="nil"/>
              <w:tr2bl w:val="nil"/>
            </w:tcBorders>
            <w:vAlign w:val="center"/>
          </w:tcPr>
          <w:p w14:paraId="483AC02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酚类</w:t>
            </w:r>
          </w:p>
        </w:tc>
        <w:tc>
          <w:tcPr>
            <w:tcW w:w="3897" w:type="dxa"/>
            <w:tcBorders>
              <w:tl2br w:val="nil"/>
              <w:tr2bl w:val="nil"/>
            </w:tcBorders>
            <w:vAlign w:val="center"/>
          </w:tcPr>
          <w:p w14:paraId="32747A0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代表物质有苯酚、间甲酚、对硝基苯酚、氯苯酚、三氯酚、五氯酚等。多为白色结晶或油状液体</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有特殊气味</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不溶或微溶于水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密度一般大于水。该类物质一般具有较高的毒性</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能刺激皮肤和消化道</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在水中降解速度慢</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有致癌和致畸作用。</w:t>
            </w:r>
          </w:p>
        </w:tc>
        <w:tc>
          <w:tcPr>
            <w:tcW w:w="3088" w:type="dxa"/>
            <w:tcBorders>
              <w:tl2br w:val="nil"/>
              <w:tr2bl w:val="nil"/>
            </w:tcBorders>
            <w:vAlign w:val="center"/>
          </w:tcPr>
          <w:p w14:paraId="715D298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应急处置人员应</w:t>
            </w:r>
            <w:r>
              <w:rPr>
                <w:rFonts w:hint="eastAsia" w:ascii="仿宋" w:hAnsi="仿宋" w:eastAsia="仿宋" w:cs="仿宋"/>
                <w:b w:val="0"/>
                <w:bCs/>
                <w:color w:val="auto"/>
                <w:sz w:val="24"/>
                <w:szCs w:val="24"/>
                <w:lang w:eastAsia="zh-CN"/>
              </w:rPr>
              <w:t>佩戴</w:t>
            </w:r>
            <w:r>
              <w:rPr>
                <w:rFonts w:hint="eastAsia" w:ascii="仿宋" w:hAnsi="仿宋" w:eastAsia="仿宋" w:cs="仿宋"/>
                <w:b w:val="0"/>
                <w:bCs/>
                <w:color w:val="auto"/>
                <w:sz w:val="24"/>
                <w:szCs w:val="24"/>
              </w:rPr>
              <w:t>全身防护用具。筑坝或用围油栏围隔污染区后</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用吸油棉等高吸油材料现场吸附残留泄漏物</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转移到安全地方处理。污染水体投加生石灰、漂白粉沉淀和促进降解</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最后投加</w:t>
            </w:r>
            <w:r>
              <w:rPr>
                <w:rFonts w:hint="eastAsia" w:ascii="仿宋" w:hAnsi="仿宋" w:eastAsia="仿宋" w:cs="仿宋"/>
                <w:b w:val="0"/>
                <w:bCs/>
                <w:color w:val="auto"/>
                <w:sz w:val="24"/>
                <w:szCs w:val="24"/>
                <w:lang w:eastAsia="zh-CN"/>
              </w:rPr>
              <w:t>活性炭</w:t>
            </w:r>
            <w:r>
              <w:rPr>
                <w:rFonts w:hint="eastAsia" w:ascii="仿宋" w:hAnsi="仿宋" w:eastAsia="仿宋" w:cs="仿宋"/>
                <w:b w:val="0"/>
                <w:bCs/>
                <w:color w:val="auto"/>
                <w:sz w:val="24"/>
                <w:szCs w:val="24"/>
              </w:rPr>
              <w:t>吸附处理。</w:t>
            </w:r>
          </w:p>
        </w:tc>
      </w:tr>
      <w:tr w14:paraId="0BA8D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76" w:hRule="atLeast"/>
        </w:trPr>
        <w:tc>
          <w:tcPr>
            <w:tcW w:w="423" w:type="dxa"/>
            <w:tcBorders>
              <w:tl2br w:val="nil"/>
              <w:tr2bl w:val="nil"/>
            </w:tcBorders>
            <w:vAlign w:val="center"/>
          </w:tcPr>
          <w:p w14:paraId="56B4E35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8</w:t>
            </w:r>
          </w:p>
        </w:tc>
        <w:tc>
          <w:tcPr>
            <w:tcW w:w="868" w:type="dxa"/>
            <w:tcBorders>
              <w:tl2br w:val="nil"/>
              <w:tr2bl w:val="nil"/>
            </w:tcBorders>
            <w:vAlign w:val="center"/>
          </w:tcPr>
          <w:p w14:paraId="2B1FBBA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农药类</w:t>
            </w:r>
          </w:p>
        </w:tc>
        <w:tc>
          <w:tcPr>
            <w:tcW w:w="3897" w:type="dxa"/>
            <w:tcBorders>
              <w:tl2br w:val="nil"/>
              <w:tr2bl w:val="nil"/>
            </w:tcBorders>
            <w:vAlign w:val="center"/>
          </w:tcPr>
          <w:p w14:paraId="1DE4703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有机氯农药在我国已经禁用。在用的农药包括有机磷农药、氨基甲酸醋农药、拟除虫菊醋类农药等。有机磷农药有甲胺磷、敌敌畏、敌百虫、乐果、氧化乐果、对硫磷、甲基对硫磷、马拉硫磷、苯硫磷、倍硫磷等</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多用作杀虫剂。多数品种为油状液体</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不溶于水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 xml:space="preserve"> 密度大于水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具有类似大蒜样特殊臭味</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一般制成乳油使用。多为剧毒农药</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通过消化道、呼吸道及皮肤吸收</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对人及鱼类高毒。氨基甲酸醋农药有</w:t>
            </w:r>
            <w:r>
              <w:rPr>
                <w:rFonts w:hint="eastAsia" w:ascii="仿宋" w:hAnsi="仿宋" w:eastAsia="仿宋" w:cs="仿宋"/>
                <w:b w:val="0"/>
                <w:bCs/>
                <w:color w:val="auto"/>
                <w:sz w:val="24"/>
                <w:szCs w:val="24"/>
                <w:lang w:eastAsia="zh-CN"/>
              </w:rPr>
              <w:t>呋喃丹</w:t>
            </w:r>
            <w:r>
              <w:rPr>
                <w:rFonts w:hint="eastAsia" w:ascii="仿宋" w:hAnsi="仿宋" w:eastAsia="仿宋" w:cs="仿宋"/>
                <w:b w:val="0"/>
                <w:bCs/>
                <w:color w:val="auto"/>
                <w:sz w:val="24"/>
                <w:szCs w:val="24"/>
              </w:rPr>
              <w:t>、抗蚜威、速灭威、灭多威、丙硫威等</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多用于杀虫剂和抗菌剂。多为结晶粉末状</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微溶于水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无气味或气味弱。多为剧毒农药</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通过消化道、呼吸道及皮肤吸收。拟除虫菊醋类农药有氟氰菊醋、澳氰菊醋、抓氛菊醋、杀灭菊醋</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多用作杀虫剂。一般为微黄色油状粘稠液体</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不溶于水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溶于常用有机溶剂。是高效低残留杀虫剂</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对鱼类高毒</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对人类中等毒性</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能损害神经、肝、肾等器官。</w:t>
            </w:r>
          </w:p>
        </w:tc>
        <w:tc>
          <w:tcPr>
            <w:tcW w:w="3088" w:type="dxa"/>
            <w:tcBorders>
              <w:tl2br w:val="nil"/>
              <w:tr2bl w:val="nil"/>
            </w:tcBorders>
            <w:vAlign w:val="center"/>
          </w:tcPr>
          <w:p w14:paraId="1E52A67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应急人员应</w:t>
            </w:r>
            <w:r>
              <w:rPr>
                <w:rFonts w:hint="eastAsia" w:ascii="仿宋" w:hAnsi="仿宋" w:eastAsia="仿宋" w:cs="仿宋"/>
                <w:b w:val="0"/>
                <w:bCs/>
                <w:color w:val="auto"/>
                <w:sz w:val="24"/>
                <w:szCs w:val="24"/>
                <w:lang w:eastAsia="zh-CN"/>
              </w:rPr>
              <w:t>佩戴</w:t>
            </w:r>
            <w:r>
              <w:rPr>
                <w:rFonts w:hint="eastAsia" w:ascii="仿宋" w:hAnsi="仿宋" w:eastAsia="仿宋" w:cs="仿宋"/>
                <w:b w:val="0"/>
                <w:bCs/>
                <w:color w:val="auto"/>
                <w:sz w:val="24"/>
                <w:szCs w:val="24"/>
              </w:rPr>
              <w:t>全身防护用具。关闭</w:t>
            </w:r>
          </w:p>
          <w:p w14:paraId="04B6B4A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lang w:val="zh-CN" w:eastAsia="zh-CN"/>
              </w:rPr>
            </w:pPr>
            <w:r>
              <w:rPr>
                <w:rFonts w:hint="eastAsia" w:ascii="仿宋" w:hAnsi="仿宋" w:eastAsia="仿宋" w:cs="仿宋"/>
                <w:b w:val="0"/>
                <w:bCs/>
                <w:color w:val="auto"/>
                <w:sz w:val="24"/>
                <w:szCs w:val="24"/>
              </w:rPr>
              <w:t>闸门或筑坝围隔污染区</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用活性炭吸收未溶的农药</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收集到安全场所用碱性溶液无害化处理。对污染区用生石灰或</w:t>
            </w:r>
            <w:r>
              <w:rPr>
                <w:rFonts w:hint="eastAsia" w:ascii="仿宋" w:hAnsi="仿宋" w:eastAsia="仿宋" w:cs="仿宋"/>
                <w:b w:val="0"/>
                <w:bCs/>
                <w:color w:val="auto"/>
                <w:sz w:val="24"/>
                <w:szCs w:val="24"/>
                <w:lang w:eastAsia="zh-CN"/>
              </w:rPr>
              <w:t>漂白粉</w:t>
            </w:r>
            <w:r>
              <w:rPr>
                <w:rFonts w:hint="eastAsia" w:ascii="仿宋" w:hAnsi="仿宋" w:eastAsia="仿宋" w:cs="仿宋"/>
                <w:b w:val="0"/>
                <w:bCs/>
                <w:color w:val="auto"/>
                <w:sz w:val="24"/>
                <w:szCs w:val="24"/>
              </w:rPr>
              <w:t>处置</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破坏农药的致毒基团</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达到解毒的目的。最后用活性炭进行吸附处理。</w:t>
            </w:r>
          </w:p>
        </w:tc>
      </w:tr>
      <w:tr w14:paraId="1DCD7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94" w:hRule="atLeast"/>
        </w:trPr>
        <w:tc>
          <w:tcPr>
            <w:tcW w:w="423" w:type="dxa"/>
            <w:tcBorders>
              <w:tl2br w:val="nil"/>
              <w:tr2bl w:val="nil"/>
            </w:tcBorders>
            <w:vAlign w:val="center"/>
          </w:tcPr>
          <w:p w14:paraId="345ADE8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9</w:t>
            </w:r>
          </w:p>
        </w:tc>
        <w:tc>
          <w:tcPr>
            <w:tcW w:w="868" w:type="dxa"/>
            <w:tcBorders>
              <w:tl2br w:val="nil"/>
              <w:tr2bl w:val="nil"/>
            </w:tcBorders>
            <w:vAlign w:val="center"/>
          </w:tcPr>
          <w:p w14:paraId="0504BD9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矿物油类</w:t>
            </w:r>
          </w:p>
        </w:tc>
        <w:tc>
          <w:tcPr>
            <w:tcW w:w="3897" w:type="dxa"/>
            <w:tcBorders>
              <w:tl2br w:val="nil"/>
              <w:tr2bl w:val="nil"/>
            </w:tcBorders>
            <w:vAlign w:val="center"/>
          </w:tcPr>
          <w:p w14:paraId="795BACF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代表物质汽油、煤油、柴油、机油、煤焦油、原油等。一般为油状液体</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不溶或微溶于水。煤焦油呈膏状</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有特殊臭味</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密度大于水。该类物质易燃烧</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扩散速度快</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易在水面形成污染带</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隔绝水气界面</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造成水体缺氧。煤焦油沉在水底级慢溶解</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对水体造成长久危害</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并具有腐蚀性。</w:t>
            </w:r>
          </w:p>
        </w:tc>
        <w:tc>
          <w:tcPr>
            <w:tcW w:w="3088" w:type="dxa"/>
            <w:tcBorders>
              <w:tl2br w:val="nil"/>
              <w:tr2bl w:val="nil"/>
            </w:tcBorders>
            <w:vAlign w:val="center"/>
          </w:tcPr>
          <w:p w14:paraId="53717CE2">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应急处置时可关闭闸门或用简易坝、围油栏等围隔污染区</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用吸油棉等高吸油材料现场吸附</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并转移到安全地方焚烧处理。必要时可点燃表层油燃烧处理</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污染水体最后用活性炭吸附处理。煤焦油由于其中含有大量的酚类物质</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其处置过程可参考酚类物质。</w:t>
            </w:r>
          </w:p>
        </w:tc>
      </w:tr>
      <w:tr w14:paraId="4F3E1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93" w:hRule="atLeast"/>
        </w:trPr>
        <w:tc>
          <w:tcPr>
            <w:tcW w:w="423" w:type="dxa"/>
            <w:vMerge w:val="restart"/>
            <w:tcBorders>
              <w:tl2br w:val="nil"/>
              <w:tr2bl w:val="nil"/>
            </w:tcBorders>
            <w:vAlign w:val="center"/>
          </w:tcPr>
          <w:p w14:paraId="12FDC5F9">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10</w:t>
            </w:r>
          </w:p>
        </w:tc>
        <w:tc>
          <w:tcPr>
            <w:tcW w:w="868" w:type="dxa"/>
            <w:vMerge w:val="restart"/>
            <w:tcBorders>
              <w:tl2br w:val="nil"/>
              <w:tr2bl w:val="nil"/>
            </w:tcBorders>
            <w:vAlign w:val="center"/>
          </w:tcPr>
          <w:p w14:paraId="4DBB718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腐蚀性物质（包括酸性物质、碱性物质和强氧化性物质）</w:t>
            </w:r>
          </w:p>
        </w:tc>
        <w:tc>
          <w:tcPr>
            <w:tcW w:w="3897" w:type="dxa"/>
            <w:tcBorders>
              <w:tl2br w:val="nil"/>
              <w:tr2bl w:val="nil"/>
            </w:tcBorders>
            <w:vAlign w:val="center"/>
          </w:tcPr>
          <w:p w14:paraId="5B3D529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酸性物质有盐酸、硫酸、硝酸、磷酸等。浓盐酸和硝酸有酸性烟雾挥发出来</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浓硫酸密度大于水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溶于水时产生大量热量。该类物质表现为强酸性和强腐蚀性</w:t>
            </w:r>
            <w:r>
              <w:rPr>
                <w:rFonts w:hint="eastAsia" w:ascii="仿宋" w:hAnsi="仿宋" w:eastAsia="仿宋" w:cs="仿宋"/>
                <w:b w:val="0"/>
                <w:bCs/>
                <w:color w:val="auto"/>
                <w:sz w:val="24"/>
                <w:szCs w:val="24"/>
                <w:lang w:eastAsia="zh-CN"/>
              </w:rPr>
              <w:t>，进入</w:t>
            </w:r>
            <w:r>
              <w:rPr>
                <w:rFonts w:hint="eastAsia" w:ascii="仿宋" w:hAnsi="仿宋" w:eastAsia="仿宋" w:cs="仿宋"/>
                <w:b w:val="0"/>
                <w:bCs/>
                <w:color w:val="auto"/>
                <w:sz w:val="24"/>
                <w:szCs w:val="24"/>
              </w:rPr>
              <w:t>水体后将引起水体酸度急剧上升</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严重腐蚀水工建筑物</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破坏水生态系统</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但在基质中碳酸钙的作用下其酸性和腐蚀能力会逐渐降低。</w:t>
            </w:r>
          </w:p>
        </w:tc>
        <w:tc>
          <w:tcPr>
            <w:tcW w:w="3088" w:type="dxa"/>
            <w:tcBorders>
              <w:tl2br w:val="nil"/>
              <w:tr2bl w:val="nil"/>
            </w:tcBorders>
            <w:vAlign w:val="center"/>
          </w:tcPr>
          <w:p w14:paraId="73A82E3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应急人员戴防护手套</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处置挥发性酸时戴防毒面具</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污染区投加碱性物质如生石灰、碳酸钠等中和。</w:t>
            </w:r>
          </w:p>
        </w:tc>
      </w:tr>
      <w:tr w14:paraId="5B788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8" w:hRule="atLeast"/>
        </w:trPr>
        <w:tc>
          <w:tcPr>
            <w:tcW w:w="423" w:type="dxa"/>
            <w:vMerge w:val="continue"/>
            <w:tcBorders>
              <w:tl2br w:val="nil"/>
              <w:tr2bl w:val="nil"/>
            </w:tcBorders>
            <w:vAlign w:val="center"/>
          </w:tcPr>
          <w:p w14:paraId="7842E01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868" w:type="dxa"/>
            <w:vMerge w:val="continue"/>
            <w:tcBorders>
              <w:tl2br w:val="nil"/>
              <w:tr2bl w:val="nil"/>
            </w:tcBorders>
            <w:vAlign w:val="center"/>
          </w:tcPr>
          <w:p w14:paraId="1728B07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3897" w:type="dxa"/>
            <w:tcBorders>
              <w:tl2br w:val="nil"/>
              <w:tr2bl w:val="nil"/>
            </w:tcBorders>
            <w:vAlign w:val="center"/>
          </w:tcPr>
          <w:p w14:paraId="104EF37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碱性物质有氢氧化钠、氢氧化钾、电石等。氢氧化钠和氢氧化钾为白色颗粒</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易潮解</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易溶于水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多以溶液状态罐车运输。</w:t>
            </w:r>
          </w:p>
        </w:tc>
        <w:tc>
          <w:tcPr>
            <w:tcW w:w="3088" w:type="dxa"/>
            <w:tcBorders>
              <w:tl2br w:val="nil"/>
              <w:tr2bl w:val="nil"/>
            </w:tcBorders>
            <w:vAlign w:val="center"/>
          </w:tcPr>
          <w:p w14:paraId="42A06622">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应急人员应带防护手套</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在污染区投加酸性物质（如稀盐酸、稀硫酸等）中和处理。</w:t>
            </w:r>
          </w:p>
        </w:tc>
      </w:tr>
      <w:tr w14:paraId="6E01E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56" w:hRule="atLeast"/>
        </w:trPr>
        <w:tc>
          <w:tcPr>
            <w:tcW w:w="423" w:type="dxa"/>
            <w:vMerge w:val="continue"/>
            <w:tcBorders>
              <w:tl2br w:val="nil"/>
              <w:tr2bl w:val="nil"/>
            </w:tcBorders>
            <w:vAlign w:val="center"/>
          </w:tcPr>
          <w:p w14:paraId="4401B87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868" w:type="dxa"/>
            <w:vMerge w:val="continue"/>
            <w:tcBorders>
              <w:tl2br w:val="nil"/>
              <w:tr2bl w:val="nil"/>
            </w:tcBorders>
            <w:vAlign w:val="center"/>
          </w:tcPr>
          <w:p w14:paraId="6BD9D84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3897" w:type="dxa"/>
            <w:tcBorders>
              <w:tl2br w:val="nil"/>
              <w:tr2bl w:val="nil"/>
            </w:tcBorders>
            <w:vAlign w:val="center"/>
          </w:tcPr>
          <w:p w14:paraId="2FCBDF6A">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强氧化性物质有次氯酸钠、硝酸钾、重铬酸钾和高锰酸钾等。高锰酸钾为紫色晶体</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重铬酸钾为鲜红色晶体</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其余为白色晶体。该类物质一般易溶于水</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具有强氧化性</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腐蚀水工建筑物中的金属构件</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重铬酸钾还能引起环境中铬类污染物的富集。</w:t>
            </w:r>
          </w:p>
        </w:tc>
        <w:tc>
          <w:tcPr>
            <w:tcW w:w="3088" w:type="dxa"/>
            <w:tcBorders>
              <w:tl2br w:val="nil"/>
              <w:tr2bl w:val="nil"/>
            </w:tcBorders>
            <w:vAlign w:val="center"/>
          </w:tcPr>
          <w:p w14:paraId="60FD3FA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应急人员应带防护手套</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干态污染物应避免和有机物、金属粉末、易燃物等接触</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以免发生爆炸。</w:t>
            </w:r>
            <w:r>
              <w:rPr>
                <w:rFonts w:hint="eastAsia" w:ascii="仿宋" w:hAnsi="仿宋" w:eastAsia="仿宋" w:cs="仿宋"/>
                <w:b w:val="0"/>
                <w:bCs/>
                <w:color w:val="auto"/>
                <w:sz w:val="24"/>
                <w:szCs w:val="24"/>
                <w:lang w:eastAsia="zh-CN"/>
              </w:rPr>
              <w:t>进入</w:t>
            </w:r>
            <w:r>
              <w:rPr>
                <w:rFonts w:hint="eastAsia" w:ascii="仿宋" w:hAnsi="仿宋" w:eastAsia="仿宋" w:cs="仿宋"/>
                <w:b w:val="0"/>
                <w:bCs/>
                <w:color w:val="auto"/>
                <w:sz w:val="24"/>
                <w:szCs w:val="24"/>
              </w:rPr>
              <w:t>水体后可投加草酸钠还原。</w:t>
            </w:r>
          </w:p>
        </w:tc>
      </w:tr>
      <w:tr w14:paraId="1663C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23" w:type="dxa"/>
            <w:tcBorders>
              <w:tl2br w:val="nil"/>
              <w:tr2bl w:val="nil"/>
            </w:tcBorders>
            <w:vAlign w:val="center"/>
          </w:tcPr>
          <w:p w14:paraId="1793261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11</w:t>
            </w:r>
          </w:p>
        </w:tc>
        <w:tc>
          <w:tcPr>
            <w:tcW w:w="7853" w:type="dxa"/>
            <w:gridSpan w:val="3"/>
            <w:tcBorders>
              <w:tl2br w:val="nil"/>
              <w:tr2bl w:val="nil"/>
            </w:tcBorders>
            <w:vAlign w:val="center"/>
          </w:tcPr>
          <w:p w14:paraId="049055EE">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除上述常见的十类化学品外</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各类病毒、细菌造成的水体污染可投加漂白粉、生石灰等消毒处置。</w:t>
            </w:r>
          </w:p>
        </w:tc>
      </w:tr>
    </w:tbl>
    <w:p w14:paraId="7802A43C">
      <w:pPr>
        <w:rPr>
          <w:rFonts w:hint="eastAsia"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br w:type="page"/>
      </w:r>
    </w:p>
    <w:p w14:paraId="6E915A66">
      <w:pPr>
        <w:pStyle w:val="2"/>
        <w:jc w:val="center"/>
        <w:rPr>
          <w:rFonts w:hint="eastAsia" w:ascii="仿宋_GB2312" w:hAnsi="仿宋_GB2312" w:eastAsia="仿宋_GB2312" w:cs="仿宋_GB2312"/>
          <w:b/>
          <w:bCs/>
          <w:color w:val="auto"/>
          <w:sz w:val="32"/>
          <w:szCs w:val="32"/>
          <w:lang w:val="en-US" w:eastAsia="zh-CN" w:bidi="ar-SA"/>
        </w:rPr>
      </w:pPr>
      <w:r>
        <w:rPr>
          <w:rFonts w:hint="eastAsia" w:ascii="黑体" w:hAnsi="黑体" w:eastAsia="黑体" w:cs="黑体"/>
          <w:b w:val="0"/>
          <w:bCs w:val="0"/>
          <w:color w:val="auto"/>
          <w:sz w:val="32"/>
          <w:szCs w:val="32"/>
          <w:lang w:val="en-US" w:eastAsia="zh-CN" w:bidi="ar-SA"/>
        </w:rPr>
        <w:t>附件7</w:t>
      </w:r>
      <w:r>
        <w:rPr>
          <w:rFonts w:hint="eastAsia" w:ascii="仿宋_GB2312" w:hAnsi="仿宋_GB2312" w:eastAsia="仿宋_GB2312" w:cs="仿宋_GB2312"/>
          <w:b/>
          <w:bCs/>
          <w:color w:val="auto"/>
          <w:sz w:val="32"/>
          <w:szCs w:val="32"/>
          <w:lang w:val="en-US" w:eastAsia="zh-CN" w:bidi="ar-SA"/>
        </w:rPr>
        <w:t xml:space="preserve">  适用处理不同超标项目的推荐技术</w:t>
      </w:r>
    </w:p>
    <w:tbl>
      <w:tblPr>
        <w:tblStyle w:val="17"/>
        <w:tblW w:w="88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6739"/>
      </w:tblGrid>
      <w:tr w14:paraId="0D989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tcBorders>
              <w:top w:val="single" w:color="auto" w:sz="12" w:space="0"/>
            </w:tcBorders>
            <w:vAlign w:val="center"/>
          </w:tcPr>
          <w:p w14:paraId="74F8315E">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超标项目</w:t>
            </w:r>
          </w:p>
        </w:tc>
        <w:tc>
          <w:tcPr>
            <w:tcW w:w="6739" w:type="dxa"/>
            <w:tcBorders>
              <w:top w:val="single" w:color="auto" w:sz="12" w:space="0"/>
            </w:tcBorders>
            <w:vAlign w:val="center"/>
          </w:tcPr>
          <w:p w14:paraId="43245BBB">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推</w:t>
            </w:r>
            <w:r>
              <w:rPr>
                <w:rFonts w:hint="eastAsia" w:ascii="仿宋" w:hAnsi="仿宋" w:eastAsia="仿宋" w:cs="仿宋"/>
                <w:color w:val="auto"/>
                <w:kern w:val="0"/>
                <w:sz w:val="24"/>
                <w:szCs w:val="24"/>
              </w:rPr>
              <w:tab/>
            </w:r>
            <w:r>
              <w:rPr>
                <w:rFonts w:hint="eastAsia" w:ascii="仿宋" w:hAnsi="仿宋" w:eastAsia="仿宋" w:cs="仿宋"/>
                <w:color w:val="auto"/>
                <w:kern w:val="0"/>
                <w:sz w:val="24"/>
                <w:szCs w:val="24"/>
              </w:rPr>
              <w:t>荐</w:t>
            </w:r>
            <w:r>
              <w:rPr>
                <w:rFonts w:hint="eastAsia" w:ascii="仿宋" w:hAnsi="仿宋" w:eastAsia="仿宋" w:cs="仿宋"/>
                <w:color w:val="auto"/>
                <w:kern w:val="0"/>
                <w:sz w:val="24"/>
                <w:szCs w:val="24"/>
              </w:rPr>
              <w:tab/>
            </w:r>
            <w:r>
              <w:rPr>
                <w:rFonts w:hint="eastAsia" w:ascii="仿宋" w:hAnsi="仿宋" w:eastAsia="仿宋" w:cs="仿宋"/>
                <w:color w:val="auto"/>
                <w:kern w:val="0"/>
                <w:sz w:val="24"/>
                <w:szCs w:val="24"/>
              </w:rPr>
              <w:t>技</w:t>
            </w:r>
            <w:r>
              <w:rPr>
                <w:rFonts w:hint="eastAsia" w:ascii="仿宋" w:hAnsi="仿宋" w:eastAsia="仿宋" w:cs="仿宋"/>
                <w:color w:val="auto"/>
                <w:kern w:val="0"/>
                <w:sz w:val="24"/>
                <w:szCs w:val="24"/>
              </w:rPr>
              <w:tab/>
            </w:r>
            <w:r>
              <w:rPr>
                <w:rFonts w:hint="eastAsia" w:ascii="仿宋" w:hAnsi="仿宋" w:eastAsia="仿宋" w:cs="仿宋"/>
                <w:color w:val="auto"/>
                <w:kern w:val="0"/>
                <w:sz w:val="24"/>
                <w:szCs w:val="24"/>
              </w:rPr>
              <w:t>术</w:t>
            </w:r>
          </w:p>
        </w:tc>
      </w:tr>
      <w:tr w14:paraId="4C1EC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vAlign w:val="center"/>
          </w:tcPr>
          <w:p w14:paraId="779F3F73">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浊度</w:t>
            </w:r>
          </w:p>
        </w:tc>
        <w:tc>
          <w:tcPr>
            <w:tcW w:w="6739" w:type="dxa"/>
            <w:vAlign w:val="center"/>
          </w:tcPr>
          <w:p w14:paraId="1C3F7FB2">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快速砂滤池、絮凝、沉淀、过滤</w:t>
            </w:r>
          </w:p>
        </w:tc>
      </w:tr>
      <w:tr w14:paraId="5A224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vAlign w:val="center"/>
          </w:tcPr>
          <w:p w14:paraId="48FC9FD9">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色度</w:t>
            </w:r>
          </w:p>
        </w:tc>
        <w:tc>
          <w:tcPr>
            <w:tcW w:w="6739" w:type="dxa"/>
            <w:vAlign w:val="center"/>
          </w:tcPr>
          <w:p w14:paraId="3B7CC3DC">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快速砂滤池、絮凝；</w:t>
            </w:r>
          </w:p>
          <w:p w14:paraId="424692B6">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活性炭吸附；</w:t>
            </w:r>
          </w:p>
          <w:p w14:paraId="5E517FBC">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化学氧化预处理：臭氧、氯、高锰酸钾、二氧化氯</w:t>
            </w:r>
          </w:p>
        </w:tc>
      </w:tr>
      <w:tr w14:paraId="77B2C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vAlign w:val="center"/>
          </w:tcPr>
          <w:p w14:paraId="46EC09C5">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嗅味</w:t>
            </w:r>
          </w:p>
        </w:tc>
        <w:tc>
          <w:tcPr>
            <w:tcW w:w="6739" w:type="dxa"/>
            <w:vAlign w:val="center"/>
          </w:tcPr>
          <w:p w14:paraId="18984B99">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化学氧化预处理：臭氧、氯、高锰酸钾、二氧化氯、活性炭</w:t>
            </w:r>
          </w:p>
        </w:tc>
      </w:tr>
      <w:tr w14:paraId="7ED7A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vAlign w:val="center"/>
          </w:tcPr>
          <w:p w14:paraId="42E19C96">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氟化物</w:t>
            </w:r>
          </w:p>
        </w:tc>
        <w:tc>
          <w:tcPr>
            <w:tcW w:w="6739" w:type="dxa"/>
            <w:vAlign w:val="center"/>
          </w:tcPr>
          <w:p w14:paraId="2E7FCF8C">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吸附法：氧化铝、磷酸二钙；</w:t>
            </w:r>
          </w:p>
          <w:p w14:paraId="30A05F56">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混凝沉淀法：硫酸铝、聚合氯化铝；</w:t>
            </w:r>
          </w:p>
          <w:p w14:paraId="39770242">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离子交换法；</w:t>
            </w:r>
          </w:p>
          <w:p w14:paraId="05F33CEE">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电渗析法</w:t>
            </w:r>
          </w:p>
        </w:tc>
      </w:tr>
      <w:tr w14:paraId="44038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vAlign w:val="center"/>
          </w:tcPr>
          <w:p w14:paraId="5184D48E">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氨氮</w:t>
            </w:r>
          </w:p>
        </w:tc>
        <w:tc>
          <w:tcPr>
            <w:tcW w:w="6739" w:type="dxa"/>
            <w:vAlign w:val="center"/>
          </w:tcPr>
          <w:p w14:paraId="37D5163F">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化学氧化预处理：氯、高锰酸钾；</w:t>
            </w:r>
          </w:p>
          <w:p w14:paraId="1C59DED7">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深度处理：臭氧-活性炭</w:t>
            </w:r>
          </w:p>
        </w:tc>
      </w:tr>
      <w:tr w14:paraId="40E25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vAlign w:val="center"/>
          </w:tcPr>
          <w:p w14:paraId="5BBFD739">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铁、锰</w:t>
            </w:r>
          </w:p>
        </w:tc>
        <w:tc>
          <w:tcPr>
            <w:tcW w:w="6739" w:type="dxa"/>
            <w:vAlign w:val="center"/>
          </w:tcPr>
          <w:p w14:paraId="5639B5D9">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锰砂；</w:t>
            </w:r>
          </w:p>
          <w:p w14:paraId="7F1AFC2D">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化学氧化预处理：氯、高锰酸钾；</w:t>
            </w:r>
          </w:p>
          <w:p w14:paraId="6FBB0500">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深度处理：臭氧-活性炭</w:t>
            </w:r>
          </w:p>
        </w:tc>
      </w:tr>
      <w:tr w14:paraId="14260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vAlign w:val="center"/>
          </w:tcPr>
          <w:p w14:paraId="14A9BC0C">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挥发性有机物</w:t>
            </w:r>
          </w:p>
        </w:tc>
        <w:tc>
          <w:tcPr>
            <w:tcW w:w="6739" w:type="dxa"/>
            <w:vAlign w:val="center"/>
          </w:tcPr>
          <w:p w14:paraId="15392A3A">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活性炭吸附</w:t>
            </w:r>
          </w:p>
        </w:tc>
      </w:tr>
      <w:tr w14:paraId="7C3F4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vAlign w:val="center"/>
          </w:tcPr>
          <w:p w14:paraId="4F26BF0D">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三氯甲烷和腐殖酸</w:t>
            </w:r>
          </w:p>
        </w:tc>
        <w:tc>
          <w:tcPr>
            <w:tcW w:w="6739" w:type="dxa"/>
            <w:vAlign w:val="center"/>
          </w:tcPr>
          <w:p w14:paraId="196A2533">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前驱物的去除：强化混凝、粒状活性炭、活性炭；</w:t>
            </w:r>
          </w:p>
          <w:p w14:paraId="2AF54E7C">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氯化副产物的去除：粒状活性炭</w:t>
            </w:r>
          </w:p>
        </w:tc>
      </w:tr>
      <w:tr w14:paraId="71BA7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vAlign w:val="center"/>
          </w:tcPr>
          <w:p w14:paraId="6D25CFBA">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有机化合物</w:t>
            </w:r>
          </w:p>
        </w:tc>
        <w:tc>
          <w:tcPr>
            <w:tcW w:w="6739" w:type="dxa"/>
            <w:vAlign w:val="center"/>
          </w:tcPr>
          <w:p w14:paraId="29C40E4E">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活性炭、膜处理</w:t>
            </w:r>
          </w:p>
        </w:tc>
      </w:tr>
      <w:tr w14:paraId="61040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vAlign w:val="center"/>
          </w:tcPr>
          <w:p w14:paraId="6A97CAD0">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细菌和病毒</w:t>
            </w:r>
          </w:p>
        </w:tc>
        <w:tc>
          <w:tcPr>
            <w:tcW w:w="6739" w:type="dxa"/>
            <w:vAlign w:val="center"/>
          </w:tcPr>
          <w:p w14:paraId="4B717C4C">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过滤（部分去除）；</w:t>
            </w:r>
          </w:p>
          <w:p w14:paraId="7F156C22">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消毒处理：氯、二氧化氯、臭氧、膜处理、紫外消毒</w:t>
            </w:r>
          </w:p>
        </w:tc>
      </w:tr>
      <w:tr w14:paraId="1E251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vAlign w:val="center"/>
          </w:tcPr>
          <w:p w14:paraId="732339C6">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汞、铬等部分重金属</w:t>
            </w:r>
          </w:p>
          <w:p w14:paraId="0CBF9ED1">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（应急状态）</w:t>
            </w:r>
          </w:p>
        </w:tc>
        <w:tc>
          <w:tcPr>
            <w:tcW w:w="6739" w:type="dxa"/>
            <w:vAlign w:val="center"/>
          </w:tcPr>
          <w:p w14:paraId="6C1C7F12">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氧化法：高锰酸钾；</w:t>
            </w:r>
          </w:p>
          <w:p w14:paraId="1BB3422B">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活性炭吸附（部分去除）</w:t>
            </w:r>
          </w:p>
        </w:tc>
      </w:tr>
      <w:tr w14:paraId="70EDE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62" w:type="dxa"/>
            <w:tcBorders>
              <w:bottom w:val="single" w:color="auto" w:sz="12" w:space="0"/>
            </w:tcBorders>
            <w:vAlign w:val="center"/>
          </w:tcPr>
          <w:p w14:paraId="48897779">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藻类及藻毒素</w:t>
            </w:r>
          </w:p>
        </w:tc>
        <w:tc>
          <w:tcPr>
            <w:tcW w:w="6739" w:type="dxa"/>
            <w:tcBorders>
              <w:bottom w:val="single" w:color="auto" w:sz="12" w:space="0"/>
            </w:tcBorders>
            <w:vAlign w:val="center"/>
          </w:tcPr>
          <w:p w14:paraId="47095303">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化学氧化预处理：除藻剂法、高锰酸钾、氯；</w:t>
            </w:r>
          </w:p>
          <w:p w14:paraId="7BBEACE4">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微滤法；</w:t>
            </w:r>
          </w:p>
          <w:p w14:paraId="3A340529">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气浮法；</w:t>
            </w:r>
          </w:p>
          <w:p w14:paraId="38FC22D2">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臭氧氧化法；</w:t>
            </w:r>
          </w:p>
          <w:p w14:paraId="5CC4258D">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拦截与打捞法</w:t>
            </w:r>
          </w:p>
        </w:tc>
      </w:tr>
    </w:tbl>
    <w:p w14:paraId="38BCB24E">
      <w:pPr>
        <w:rPr>
          <w:rFonts w:hint="eastAsia"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br w:type="page"/>
      </w:r>
    </w:p>
    <w:p w14:paraId="12767E23">
      <w:pPr>
        <w:pStyle w:val="2"/>
        <w:jc w:val="center"/>
        <w:rPr>
          <w:rFonts w:hint="eastAsia" w:ascii="仿宋_GB2312" w:hAnsi="仿宋_GB2312" w:eastAsia="仿宋_GB2312" w:cs="仿宋_GB2312"/>
          <w:b/>
          <w:bCs/>
          <w:color w:val="auto"/>
          <w:sz w:val="32"/>
          <w:szCs w:val="32"/>
          <w:lang w:val="en-US" w:eastAsia="zh-CN" w:bidi="ar-SA"/>
        </w:rPr>
      </w:pPr>
      <w:r>
        <w:rPr>
          <w:rFonts w:hint="eastAsia" w:ascii="黑体" w:hAnsi="黑体" w:eastAsia="黑体" w:cs="黑体"/>
          <w:b w:val="0"/>
          <w:bCs w:val="0"/>
          <w:color w:val="auto"/>
          <w:sz w:val="32"/>
          <w:szCs w:val="32"/>
          <w:lang w:val="en-US" w:eastAsia="zh-CN" w:bidi="ar-SA"/>
        </w:rPr>
        <w:t>附件8</w:t>
      </w:r>
      <w:r>
        <w:rPr>
          <w:rFonts w:hint="eastAsia" w:ascii="仿宋_GB2312" w:hAnsi="仿宋_GB2312" w:eastAsia="仿宋_GB2312" w:cs="仿宋_GB2312"/>
          <w:b/>
          <w:bCs/>
          <w:color w:val="auto"/>
          <w:sz w:val="32"/>
          <w:szCs w:val="32"/>
          <w:lang w:val="en-US" w:eastAsia="zh-CN" w:bidi="ar-SA"/>
        </w:rPr>
        <w:t xml:space="preserve">  风险防控应急体系建设</w:t>
      </w:r>
    </w:p>
    <w:p w14:paraId="1472DBA6">
      <w:pPr>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right="0" w:firstLine="643" w:firstLineChars="200"/>
        <w:jc w:val="left"/>
        <w:textAlignment w:val="auto"/>
        <w:outlineLvl w:val="9"/>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风险源应急防控</w:t>
      </w:r>
    </w:p>
    <w:p w14:paraId="17579BAB">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4" w:firstLineChars="200"/>
        <w:jc w:val="left"/>
        <w:textAlignment w:val="auto"/>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（1）防范措施</w:t>
      </w:r>
    </w:p>
    <w:p w14:paraId="67D38DB9">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7" w:firstLineChars="200"/>
        <w:jc w:val="left"/>
        <w:textAlignment w:val="auto"/>
        <w:rPr>
          <w:rFonts w:hint="eastAsia" w:ascii="仿宋_GB2312" w:hAnsi="仿宋_GB2312" w:eastAsia="仿宋_GB2312" w:cs="仿宋_GB2312"/>
          <w:b/>
          <w:bCs/>
          <w:color w:val="auto"/>
          <w:spacing w:val="6"/>
          <w:sz w:val="32"/>
          <w:szCs w:val="32"/>
        </w:rPr>
      </w:pPr>
      <w:r>
        <w:rPr>
          <w:rFonts w:hint="eastAsia" w:ascii="仿宋_GB2312" w:hAnsi="仿宋_GB2312" w:eastAsia="仿宋_GB2312" w:cs="仿宋_GB2312"/>
          <w:b/>
          <w:bCs/>
          <w:color w:val="auto"/>
          <w:spacing w:val="6"/>
          <w:sz w:val="32"/>
          <w:szCs w:val="32"/>
        </w:rPr>
        <w:t>流动风险源</w:t>
      </w:r>
    </w:p>
    <w:p w14:paraId="455A162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环保、公安、交通等部门应根据职责，加强流动风险源管理，在水源保护区入口设置车辆检测点；责令流动源单位落实专业运输车辆、船舶和运输人员的资质要求和应急培训。运输人员应了解所运输物品的特性及其包装物、容器的使用要求，以及出现危险情况时的应急处置方法。在跨水体的路桥、管道周边建设围堰等应急防护措施，防止有毒有害物质泄漏进入水体，经常发生翻车（船）事故的路、桥和危险化学品运输码头，可采取改道、迁移等措施。</w:t>
      </w:r>
    </w:p>
    <w:p w14:paraId="0E2603A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危险品运输工具应安装卫星定位装置，并根据运输物品的危险性采取相应的安全防护措施，配备必要的防护用品和应急救援器材。必要时可以限制车辆的运输路线和运输时段，严禁非法倾倒污染物。</w:t>
      </w:r>
    </w:p>
    <w:p w14:paraId="69E2033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如果污染物进入水体，应对措施如下：</w:t>
      </w:r>
    </w:p>
    <w:p w14:paraId="075E862A">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7" w:firstLineChars="200"/>
        <w:jc w:val="left"/>
        <w:textAlignment w:val="auto"/>
        <w:rPr>
          <w:rFonts w:hint="eastAsia" w:ascii="仿宋_GB2312" w:hAnsi="仿宋_GB2312" w:eastAsia="仿宋_GB2312" w:cs="仿宋_GB2312"/>
          <w:b/>
          <w:bCs/>
          <w:color w:val="auto"/>
          <w:spacing w:val="6"/>
          <w:sz w:val="32"/>
          <w:szCs w:val="32"/>
        </w:rPr>
      </w:pPr>
      <w:r>
        <w:rPr>
          <w:rFonts w:hint="eastAsia" w:ascii="仿宋_GB2312" w:hAnsi="仿宋_GB2312" w:eastAsia="仿宋_GB2312" w:cs="仿宋_GB2312"/>
          <w:b/>
          <w:bCs/>
          <w:color w:val="auto"/>
          <w:spacing w:val="6"/>
          <w:sz w:val="32"/>
          <w:szCs w:val="32"/>
        </w:rPr>
        <w:t>浮油类物质泄漏事故</w:t>
      </w:r>
    </w:p>
    <w:p w14:paraId="7AA90FE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①由城建局组织在事故发生的水域及时采取用围油栏控制溢油，然后用撇油器回收、用围油栏保护敏感区域、用吸油毡吸油并回收等措施，防止污染扩大。</w:t>
      </w:r>
    </w:p>
    <w:p w14:paraId="73674A9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②关闭河道有关闸门，较小河道可采取筑坝措施，隔断水流，防止污染物进入饮用水水源地地。</w:t>
      </w:r>
    </w:p>
    <w:p w14:paraId="65A0662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③经专家论证，在环境许可的情况下，使用化学消油剂消除漂浮油污。少量残油通过喷洒溢油分散剂进行乳化处理。</w:t>
      </w:r>
    </w:p>
    <w:p w14:paraId="2A0041A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7" w:firstLineChars="200"/>
        <w:jc w:val="left"/>
        <w:textAlignment w:val="auto"/>
        <w:rPr>
          <w:rFonts w:hint="eastAsia" w:ascii="仿宋_GB2312" w:hAnsi="仿宋_GB2312" w:eastAsia="仿宋_GB2312" w:cs="仿宋_GB2312"/>
          <w:b/>
          <w:bCs/>
          <w:color w:val="auto"/>
          <w:spacing w:val="6"/>
          <w:sz w:val="32"/>
          <w:szCs w:val="32"/>
        </w:rPr>
      </w:pPr>
      <w:r>
        <w:rPr>
          <w:rFonts w:hint="eastAsia" w:ascii="仿宋_GB2312" w:hAnsi="仿宋_GB2312" w:eastAsia="仿宋_GB2312" w:cs="仿宋_GB2312"/>
          <w:b/>
          <w:bCs/>
          <w:color w:val="auto"/>
          <w:spacing w:val="6"/>
          <w:sz w:val="32"/>
          <w:szCs w:val="32"/>
        </w:rPr>
        <w:t>溶于水的化学品</w:t>
      </w:r>
    </w:p>
    <w:p w14:paraId="5097279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①关闭河道有关闸门，较小河道可采取筑坝措施，隔断水流，控制污染范围，防止污染物进入饮用水水源地地。</w:t>
      </w:r>
    </w:p>
    <w:p w14:paraId="4F337C1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②消解污染物。酸碱类物质可采取中和的方法安全处理；投加化学药剂， 使有毒化学品分解为无毒物质。</w:t>
      </w:r>
    </w:p>
    <w:p w14:paraId="0AF7E7D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③科学调水，分散稀释，置换水体，科学利用环境容量，使水质达到环境标准。</w:t>
      </w:r>
    </w:p>
    <w:p w14:paraId="58B0293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7" w:firstLineChars="200"/>
        <w:jc w:val="left"/>
        <w:textAlignment w:val="auto"/>
        <w:rPr>
          <w:rFonts w:hint="eastAsia" w:ascii="仿宋_GB2312" w:hAnsi="仿宋_GB2312" w:eastAsia="仿宋_GB2312" w:cs="仿宋_GB2312"/>
          <w:b/>
          <w:bCs/>
          <w:color w:val="auto"/>
          <w:spacing w:val="6"/>
          <w:sz w:val="32"/>
          <w:szCs w:val="32"/>
        </w:rPr>
      </w:pPr>
      <w:r>
        <w:rPr>
          <w:rFonts w:hint="eastAsia" w:ascii="仿宋_GB2312" w:hAnsi="仿宋_GB2312" w:eastAsia="仿宋_GB2312" w:cs="仿宋_GB2312"/>
          <w:b/>
          <w:bCs/>
          <w:color w:val="auto"/>
          <w:spacing w:val="6"/>
          <w:sz w:val="32"/>
          <w:szCs w:val="32"/>
        </w:rPr>
        <w:t>易沉降的化学品泄漏事故</w:t>
      </w:r>
    </w:p>
    <w:p w14:paraId="036E4E9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①在浅水区可用挖掘或真空设备吸取回收，可行的情况下用遥控潜水摄像机监控以便作业。</w:t>
      </w:r>
    </w:p>
    <w:p w14:paraId="6D4FEBF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②消解污染物。投加化学药剂，使有毒化学品分解为无毒物质。</w:t>
      </w:r>
    </w:p>
    <w:p w14:paraId="0A00F3D1">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7" w:firstLineChars="200"/>
        <w:jc w:val="left"/>
        <w:textAlignment w:val="auto"/>
        <w:rPr>
          <w:rFonts w:hint="eastAsia" w:ascii="仿宋_GB2312" w:hAnsi="仿宋_GB2312" w:eastAsia="仿宋_GB2312" w:cs="仿宋_GB2312"/>
          <w:b/>
          <w:bCs/>
          <w:color w:val="auto"/>
          <w:spacing w:val="6"/>
          <w:sz w:val="32"/>
          <w:szCs w:val="32"/>
        </w:rPr>
      </w:pPr>
      <w:r>
        <w:rPr>
          <w:rFonts w:hint="eastAsia" w:ascii="仿宋_GB2312" w:hAnsi="仿宋_GB2312" w:eastAsia="仿宋_GB2312" w:cs="仿宋_GB2312"/>
          <w:b/>
          <w:bCs/>
          <w:color w:val="auto"/>
          <w:spacing w:val="6"/>
          <w:sz w:val="32"/>
          <w:szCs w:val="32"/>
        </w:rPr>
        <w:t>包装化学品落水事故</w:t>
      </w:r>
    </w:p>
    <w:p w14:paraId="09B30B2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①关闭河道有关闸门，较小河道可采取筑坝措施，隔断水流，防止包装破裂后泄漏的化学品扩散至饮用水水源地地。</w:t>
      </w:r>
    </w:p>
    <w:p w14:paraId="699B142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②可用机械抓斗、船吊、渔网等方法回收。</w:t>
      </w:r>
    </w:p>
    <w:p w14:paraId="6190874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7" w:firstLineChars="200"/>
        <w:jc w:val="left"/>
        <w:textAlignment w:val="auto"/>
        <w:rPr>
          <w:rFonts w:hint="eastAsia" w:ascii="仿宋_GB2312" w:hAnsi="仿宋_GB2312" w:eastAsia="仿宋_GB2312" w:cs="仿宋_GB2312"/>
          <w:b/>
          <w:bCs/>
          <w:color w:val="auto"/>
          <w:spacing w:val="6"/>
          <w:sz w:val="32"/>
          <w:szCs w:val="32"/>
        </w:rPr>
      </w:pPr>
      <w:r>
        <w:rPr>
          <w:rFonts w:hint="eastAsia" w:ascii="仿宋_GB2312" w:hAnsi="仿宋_GB2312" w:eastAsia="仿宋_GB2312" w:cs="仿宋_GB2312"/>
          <w:b/>
          <w:bCs/>
          <w:color w:val="auto"/>
          <w:spacing w:val="6"/>
          <w:sz w:val="32"/>
          <w:szCs w:val="32"/>
        </w:rPr>
        <w:t>非点风险源</w:t>
      </w:r>
    </w:p>
    <w:p w14:paraId="22366E0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应重视非点源风险防范工作。位于一级保护区内的耕地、菜地等应逐渐转变其功能，采用租用或征用等措施，建设成为生态林等。禁止在一级保护区内进行种植、养殖。</w:t>
      </w:r>
    </w:p>
    <w:p w14:paraId="06846AD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水源一、二级保护区划为禁养区，在禁养区内禁止建设畜禽养殖场、养殖小区，禁养区内已建成的畜禽养殖场及养殖小区应当限期搬迁或关闭。对小规模畜禽散养农户推行厨房用水、卫生间用水和畜禽养殖污水“三水合一”综合治理模式，对牲畜圈舍进行改造，并鼓励引导农户使用畜禽粪便作为有机肥料，减少降雨冲刷造成污染的流失，实现畜禽粪便的资源化。保护区内要大力发展生态农业，减少农药化肥施用量，化肥施用量控制在250公斤/公顷以内，农药使用强度控制在每公顷3公斤以内，禁止使用高毒农药，农灌水禁止直接排入饮用水水源地保护区内。</w:t>
      </w:r>
    </w:p>
    <w:p w14:paraId="14DF04D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分析地形、植被、地表径流的集水汇流特性、集水域范围等，合理调度水资源，保障水源的补给流量。</w:t>
      </w:r>
    </w:p>
    <w:p w14:paraId="37C21D8E">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4" w:firstLineChars="200"/>
        <w:jc w:val="left"/>
        <w:textAlignment w:val="auto"/>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（2）风险源应急防控工程</w:t>
      </w:r>
    </w:p>
    <w:p w14:paraId="76DE5CA1">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7" w:firstLineChars="200"/>
        <w:jc w:val="left"/>
        <w:textAlignment w:val="auto"/>
        <w:rPr>
          <w:rFonts w:hint="eastAsia" w:ascii="仿宋_GB2312" w:hAnsi="仿宋_GB2312" w:eastAsia="仿宋_GB2312" w:cs="仿宋_GB2312"/>
          <w:b/>
          <w:bCs/>
          <w:color w:val="auto"/>
          <w:spacing w:val="6"/>
          <w:sz w:val="32"/>
          <w:szCs w:val="32"/>
        </w:rPr>
      </w:pPr>
      <w:r>
        <w:rPr>
          <w:rFonts w:hint="eastAsia" w:ascii="仿宋_GB2312" w:hAnsi="仿宋_GB2312" w:eastAsia="仿宋_GB2312" w:cs="仿宋_GB2312"/>
          <w:b/>
          <w:bCs/>
          <w:color w:val="auto"/>
          <w:spacing w:val="6"/>
          <w:sz w:val="32"/>
          <w:szCs w:val="32"/>
        </w:rPr>
        <w:t>加强交通管制</w:t>
      </w:r>
    </w:p>
    <w:p w14:paraId="414C742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在进入保护区内乡道之前的路口设置限高、限宽装置和警示牌，禁止运输危险化学品的货车通行。</w:t>
      </w:r>
    </w:p>
    <w:p w14:paraId="0415F374">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7" w:firstLineChars="200"/>
        <w:jc w:val="left"/>
        <w:textAlignment w:val="auto"/>
        <w:rPr>
          <w:rFonts w:hint="eastAsia" w:ascii="仿宋_GB2312" w:hAnsi="仿宋_GB2312" w:eastAsia="仿宋_GB2312" w:cs="仿宋_GB2312"/>
          <w:b/>
          <w:bCs/>
          <w:color w:val="auto"/>
          <w:spacing w:val="6"/>
          <w:sz w:val="32"/>
          <w:szCs w:val="32"/>
        </w:rPr>
      </w:pPr>
      <w:r>
        <w:rPr>
          <w:rFonts w:hint="eastAsia" w:ascii="仿宋_GB2312" w:hAnsi="仿宋_GB2312" w:eastAsia="仿宋_GB2312" w:cs="仿宋_GB2312"/>
          <w:b/>
          <w:bCs/>
          <w:color w:val="auto"/>
          <w:spacing w:val="6"/>
          <w:sz w:val="32"/>
          <w:szCs w:val="32"/>
        </w:rPr>
        <w:t>风险防控基础设施建设</w:t>
      </w:r>
    </w:p>
    <w:p w14:paraId="633AFF5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设置隔离防护栏杆、事故应急导流槽、蓄污湿地等基础设施；</w:t>
      </w:r>
    </w:p>
    <w:p w14:paraId="5D5AEF3D">
      <w:pPr>
        <w:pStyle w:val="2"/>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firstLine="667" w:firstLineChars="200"/>
        <w:jc w:val="left"/>
        <w:textAlignment w:val="auto"/>
        <w:rPr>
          <w:rFonts w:hint="eastAsia" w:ascii="仿宋_GB2312" w:hAnsi="仿宋_GB2312" w:eastAsia="仿宋_GB2312" w:cs="仿宋_GB2312"/>
          <w:b/>
          <w:bCs/>
          <w:color w:val="auto"/>
          <w:spacing w:val="6"/>
          <w:sz w:val="32"/>
          <w:szCs w:val="32"/>
        </w:rPr>
      </w:pPr>
      <w:r>
        <w:rPr>
          <w:rFonts w:hint="eastAsia" w:ascii="仿宋_GB2312" w:hAnsi="仿宋_GB2312" w:eastAsia="仿宋_GB2312" w:cs="仿宋_GB2312"/>
          <w:b/>
          <w:bCs/>
          <w:color w:val="auto"/>
          <w:spacing w:val="6"/>
          <w:sz w:val="32"/>
          <w:szCs w:val="32"/>
        </w:rPr>
        <w:t>取水口应急防控</w:t>
      </w:r>
    </w:p>
    <w:p w14:paraId="557806C2">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4" w:firstLineChars="200"/>
        <w:jc w:val="left"/>
        <w:textAlignment w:val="auto"/>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lang w:eastAsia="zh-CN"/>
        </w:rPr>
        <w:t>（</w:t>
      </w:r>
      <w:r>
        <w:rPr>
          <w:rFonts w:hint="eastAsia" w:ascii="仿宋_GB2312" w:hAnsi="仿宋_GB2312" w:eastAsia="仿宋_GB2312" w:cs="仿宋_GB2312"/>
          <w:b w:val="0"/>
          <w:bCs w:val="0"/>
          <w:color w:val="auto"/>
          <w:spacing w:val="6"/>
          <w:sz w:val="32"/>
          <w:szCs w:val="32"/>
          <w:lang w:val="en-US" w:eastAsia="zh-CN"/>
        </w:rPr>
        <w:t>1</w:t>
      </w:r>
      <w:r>
        <w:rPr>
          <w:rFonts w:hint="eastAsia" w:ascii="仿宋_GB2312" w:hAnsi="仿宋_GB2312" w:eastAsia="仿宋_GB2312" w:cs="仿宋_GB2312"/>
          <w:b w:val="0"/>
          <w:bCs w:val="0"/>
          <w:color w:val="auto"/>
          <w:spacing w:val="6"/>
          <w:sz w:val="32"/>
          <w:szCs w:val="32"/>
          <w:lang w:eastAsia="zh-CN"/>
        </w:rPr>
        <w:t>）</w:t>
      </w:r>
      <w:r>
        <w:rPr>
          <w:rFonts w:hint="eastAsia" w:ascii="仿宋_GB2312" w:hAnsi="仿宋_GB2312" w:eastAsia="仿宋_GB2312" w:cs="仿宋_GB2312"/>
          <w:b w:val="0"/>
          <w:bCs w:val="0"/>
          <w:color w:val="auto"/>
          <w:spacing w:val="6"/>
          <w:sz w:val="32"/>
          <w:szCs w:val="32"/>
        </w:rPr>
        <w:t>防范措施</w:t>
      </w:r>
    </w:p>
    <w:p w14:paraId="09FDE63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加强水源地取水口的自动监控。可采用生物毒性综合预警手段实现对重金属、有机污染物等有毒有害物质的实时监控。根据水源地特征，可以增加不同垂直深度的水质自动监控，为改变取水层位等应急措施提供依据。</w:t>
      </w:r>
    </w:p>
    <w:p w14:paraId="4D050F03">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64" w:firstLineChars="200"/>
        <w:jc w:val="left"/>
        <w:textAlignment w:val="auto"/>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lang w:eastAsia="zh-CN"/>
        </w:rPr>
        <w:t>（</w:t>
      </w:r>
      <w:r>
        <w:rPr>
          <w:rFonts w:hint="eastAsia" w:ascii="仿宋_GB2312" w:hAnsi="仿宋_GB2312" w:eastAsia="仿宋_GB2312" w:cs="仿宋_GB2312"/>
          <w:b w:val="0"/>
          <w:bCs w:val="0"/>
          <w:color w:val="auto"/>
          <w:spacing w:val="6"/>
          <w:sz w:val="32"/>
          <w:szCs w:val="32"/>
          <w:lang w:val="en-US" w:eastAsia="zh-CN"/>
        </w:rPr>
        <w:t>2</w:t>
      </w:r>
      <w:r>
        <w:rPr>
          <w:rFonts w:hint="eastAsia" w:ascii="仿宋_GB2312" w:hAnsi="仿宋_GB2312" w:eastAsia="仿宋_GB2312" w:cs="仿宋_GB2312"/>
          <w:b w:val="0"/>
          <w:bCs w:val="0"/>
          <w:color w:val="auto"/>
          <w:spacing w:val="6"/>
          <w:sz w:val="32"/>
          <w:szCs w:val="32"/>
          <w:lang w:eastAsia="zh-CN"/>
        </w:rPr>
        <w:t>）</w:t>
      </w:r>
      <w:r>
        <w:rPr>
          <w:rFonts w:hint="eastAsia" w:ascii="仿宋_GB2312" w:hAnsi="仿宋_GB2312" w:eastAsia="仿宋_GB2312" w:cs="仿宋_GB2312"/>
          <w:b w:val="0"/>
          <w:bCs w:val="0"/>
          <w:color w:val="auto"/>
          <w:spacing w:val="6"/>
          <w:sz w:val="32"/>
          <w:szCs w:val="32"/>
        </w:rPr>
        <w:t>取水口应急防控工程</w:t>
      </w:r>
    </w:p>
    <w:p w14:paraId="13974AA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40" w:firstLineChars="200"/>
        <w:jc w:val="left"/>
        <w:textAlignment w:val="auto"/>
        <w:outlineLvl w:val="9"/>
        <w:rPr>
          <w:rFonts w:hint="eastAsia" w:ascii="仿宋_GB2312" w:hAnsi="仿宋_GB2312" w:eastAsia="仿宋_GB2312" w:cs="仿宋_GB2312"/>
          <w:color w:val="auto"/>
          <w:kern w:val="21"/>
          <w:sz w:val="32"/>
          <w:szCs w:val="32"/>
          <w:lang w:val="en-US" w:eastAsia="zh-CN" w:bidi="ar-SA"/>
        </w:rPr>
      </w:pPr>
      <w:r>
        <w:rPr>
          <w:rFonts w:hint="eastAsia" w:ascii="仿宋_GB2312" w:hAnsi="仿宋_GB2312" w:eastAsia="仿宋_GB2312" w:cs="仿宋_GB2312"/>
          <w:color w:val="auto"/>
          <w:kern w:val="21"/>
          <w:sz w:val="32"/>
          <w:szCs w:val="32"/>
          <w:lang w:val="en-US" w:eastAsia="zh-CN" w:bidi="ar-SA"/>
        </w:rPr>
        <w:t>一级保护区实施封闭式管理，设置隔离防护设施，防止人类活动影响，同时取水口周围水面设置浮标。</w:t>
      </w:r>
    </w:p>
    <w:p w14:paraId="79E8DC2A">
      <w:pPr>
        <w:pStyle w:val="2"/>
        <w:keepNext w:val="0"/>
        <w:keepLines w:val="0"/>
        <w:pageBreakBefore w:val="0"/>
        <w:widowControl w:val="0"/>
        <w:kinsoku/>
        <w:wordWrap/>
        <w:overflowPunct/>
        <w:topLinePunct w:val="0"/>
        <w:bidi w:val="0"/>
        <w:adjustRightInd/>
        <w:snapToGrid/>
        <w:spacing w:line="360" w:lineRule="auto"/>
        <w:ind w:left="0" w:firstLine="640" w:firstLineChars="200"/>
        <w:jc w:val="left"/>
        <w:textAlignment w:val="auto"/>
        <w:rPr>
          <w:rFonts w:hint="eastAsia" w:ascii="仿宋_GB2312" w:hAnsi="仿宋_GB2312" w:eastAsia="仿宋_GB2312" w:cs="仿宋_GB2312"/>
          <w:color w:val="auto"/>
          <w:kern w:val="21"/>
          <w:sz w:val="32"/>
          <w:szCs w:val="32"/>
          <w:lang w:val="zh-CN" w:eastAsia="zh-CN" w:bidi="ar-SA"/>
        </w:rPr>
      </w:pPr>
      <w:r>
        <w:rPr>
          <w:rFonts w:hint="eastAsia" w:ascii="仿宋_GB2312" w:hAnsi="仿宋_GB2312" w:eastAsia="仿宋_GB2312" w:cs="仿宋_GB2312"/>
          <w:color w:val="auto"/>
          <w:kern w:val="21"/>
          <w:sz w:val="32"/>
          <w:szCs w:val="32"/>
          <w:lang w:val="zh-CN" w:eastAsia="zh-CN" w:bidi="ar-SA"/>
        </w:rPr>
        <w:t>建设调水沟渠应急工程，通过调水稀释措施，降低污染物浓度。</w:t>
      </w:r>
    </w:p>
    <w:p w14:paraId="7823F717">
      <w:pPr>
        <w:rPr>
          <w:rFonts w:hint="eastAsia" w:ascii="仿宋_GB2312" w:hAnsi="仿宋_GB2312" w:eastAsia="仿宋_GB2312" w:cs="仿宋_GB2312"/>
          <w:color w:val="auto"/>
          <w:kern w:val="21"/>
          <w:sz w:val="32"/>
          <w:szCs w:val="32"/>
          <w:lang w:val="zh-CN" w:eastAsia="zh-CN" w:bidi="ar-SA"/>
        </w:rPr>
      </w:pPr>
      <w:r>
        <w:rPr>
          <w:rFonts w:hint="eastAsia" w:ascii="仿宋_GB2312" w:hAnsi="仿宋_GB2312" w:eastAsia="仿宋_GB2312" w:cs="仿宋_GB2312"/>
          <w:color w:val="auto"/>
          <w:kern w:val="21"/>
          <w:sz w:val="32"/>
          <w:szCs w:val="32"/>
          <w:lang w:val="zh-CN" w:eastAsia="zh-CN" w:bidi="ar-SA"/>
        </w:rPr>
        <w:br w:type="page"/>
      </w:r>
    </w:p>
    <w:p w14:paraId="59FE88F5">
      <w:pPr>
        <w:pStyle w:val="2"/>
        <w:jc w:val="center"/>
        <w:rPr>
          <w:rFonts w:hint="eastAsia" w:ascii="仿宋_GB2312" w:hAnsi="仿宋_GB2312" w:eastAsia="仿宋_GB2312" w:cs="仿宋_GB2312"/>
          <w:b/>
          <w:bCs/>
          <w:color w:val="auto"/>
          <w:sz w:val="32"/>
          <w:szCs w:val="32"/>
          <w:lang w:val="en-US" w:eastAsia="zh-CN" w:bidi="ar-SA"/>
        </w:rPr>
      </w:pPr>
      <w:bookmarkStart w:id="286" w:name="_Toc14622"/>
      <w:bookmarkStart w:id="287" w:name="_Toc30506"/>
      <w:r>
        <w:rPr>
          <w:rFonts w:hint="eastAsia" w:ascii="黑体" w:hAnsi="黑体" w:eastAsia="黑体" w:cs="黑体"/>
          <w:b w:val="0"/>
          <w:bCs w:val="0"/>
          <w:color w:val="auto"/>
          <w:sz w:val="32"/>
          <w:szCs w:val="32"/>
          <w:lang w:val="en-US" w:eastAsia="zh-CN" w:bidi="ar-SA"/>
        </w:rPr>
        <w:t>附件9</w:t>
      </w:r>
      <w:r>
        <w:rPr>
          <w:rFonts w:hint="eastAsia" w:ascii="仿宋_GB2312" w:hAnsi="仿宋_GB2312" w:eastAsia="仿宋_GB2312" w:cs="仿宋_GB2312"/>
          <w:b/>
          <w:bCs/>
          <w:color w:val="auto"/>
          <w:sz w:val="32"/>
          <w:szCs w:val="32"/>
          <w:lang w:val="en-US" w:eastAsia="zh-CN" w:bidi="ar-SA"/>
        </w:rPr>
        <w:t xml:space="preserve">  赤壁市集中式地表水饮用水水源地风险源清单</w:t>
      </w:r>
      <w:bookmarkEnd w:id="286"/>
      <w:bookmarkEnd w:id="287"/>
    </w:p>
    <w:tbl>
      <w:tblPr>
        <w:tblStyle w:val="18"/>
        <w:tblW w:w="851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3056"/>
        <w:gridCol w:w="2297"/>
        <w:gridCol w:w="1752"/>
      </w:tblGrid>
      <w:tr w14:paraId="22E00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4" w:type="dxa"/>
            <w:tcBorders>
              <w:tl2br w:val="nil"/>
              <w:tr2bl w:val="nil"/>
            </w:tcBorders>
            <w:vAlign w:val="center"/>
          </w:tcPr>
          <w:p w14:paraId="12297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水源地名称</w:t>
            </w:r>
          </w:p>
        </w:tc>
        <w:tc>
          <w:tcPr>
            <w:tcW w:w="3056" w:type="dxa"/>
            <w:tcBorders>
              <w:tl2br w:val="nil"/>
              <w:tr2bl w:val="nil"/>
            </w:tcBorders>
            <w:vAlign w:val="center"/>
          </w:tcPr>
          <w:p w14:paraId="53A20E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固定源名称</w:t>
            </w:r>
          </w:p>
        </w:tc>
        <w:tc>
          <w:tcPr>
            <w:tcW w:w="2297" w:type="dxa"/>
            <w:tcBorders>
              <w:tl2br w:val="nil"/>
              <w:tr2bl w:val="nil"/>
            </w:tcBorders>
            <w:vAlign w:val="center"/>
          </w:tcPr>
          <w:p w14:paraId="0AA481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流动源名称</w:t>
            </w:r>
          </w:p>
        </w:tc>
        <w:tc>
          <w:tcPr>
            <w:tcW w:w="1752" w:type="dxa"/>
            <w:tcBorders>
              <w:tl2br w:val="nil"/>
              <w:tr2bl w:val="nil"/>
            </w:tcBorders>
            <w:vAlign w:val="center"/>
          </w:tcPr>
          <w:p w14:paraId="0DEFA2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非点源名称</w:t>
            </w:r>
          </w:p>
        </w:tc>
      </w:tr>
      <w:tr w14:paraId="54F47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414" w:type="dxa"/>
            <w:tcBorders>
              <w:tl2br w:val="nil"/>
              <w:tr2bl w:val="nil"/>
            </w:tcBorders>
            <w:vAlign w:val="center"/>
          </w:tcPr>
          <w:p w14:paraId="1514CC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陆水水库饮用水水源地</w:t>
            </w:r>
          </w:p>
        </w:tc>
        <w:tc>
          <w:tcPr>
            <w:tcW w:w="3056" w:type="dxa"/>
            <w:tcBorders>
              <w:tl2br w:val="nil"/>
              <w:tr2bl w:val="nil"/>
            </w:tcBorders>
            <w:vAlign w:val="center"/>
          </w:tcPr>
          <w:p w14:paraId="69245AF9">
            <w:pPr>
              <w:pStyle w:val="26"/>
              <w:spacing w:before="37"/>
              <w:ind w:left="10" w:leftChars="0" w:right="0" w:rightChars="0"/>
              <w:jc w:val="left"/>
              <w:rPr>
                <w:rFonts w:hint="eastAsia" w:ascii="仿宋" w:hAnsi="仿宋" w:eastAsia="仿宋" w:cs="仿宋"/>
                <w:color w:val="auto"/>
                <w:kern w:val="0"/>
                <w:sz w:val="24"/>
                <w:szCs w:val="24"/>
                <w:lang w:val="en-US" w:eastAsia="zh-CN" w:bidi="zh-CN"/>
              </w:rPr>
            </w:pPr>
            <w:r>
              <w:rPr>
                <w:rFonts w:hint="eastAsia" w:ascii="仿宋" w:hAnsi="仿宋" w:eastAsia="仿宋" w:cs="仿宋"/>
                <w:color w:val="auto"/>
                <w:kern w:val="0"/>
                <w:sz w:val="24"/>
                <w:szCs w:val="24"/>
                <w:lang w:val="en-US" w:eastAsia="zh-CN" w:bidi="zh-CN"/>
              </w:rPr>
              <w:t>湖北赤壁赋酒业有限公司</w:t>
            </w:r>
          </w:p>
          <w:p w14:paraId="5EEAB6E4">
            <w:pPr>
              <w:pStyle w:val="26"/>
              <w:spacing w:before="37"/>
              <w:ind w:left="10" w:leftChars="0" w:right="0" w:rightChars="0"/>
              <w:jc w:val="left"/>
              <w:rPr>
                <w:rFonts w:hint="eastAsia" w:ascii="仿宋" w:hAnsi="仿宋" w:eastAsia="仿宋" w:cs="仿宋"/>
                <w:color w:val="auto"/>
                <w:kern w:val="0"/>
                <w:sz w:val="24"/>
                <w:szCs w:val="24"/>
                <w:lang w:val="en-US" w:eastAsia="zh-CN" w:bidi="zh-CN"/>
              </w:rPr>
            </w:pPr>
            <w:r>
              <w:rPr>
                <w:rFonts w:hint="eastAsia" w:ascii="仿宋" w:hAnsi="仿宋" w:eastAsia="仿宋" w:cs="仿宋"/>
                <w:color w:val="auto"/>
                <w:kern w:val="0"/>
                <w:sz w:val="24"/>
                <w:szCs w:val="24"/>
                <w:lang w:val="en-US" w:eastAsia="zh-CN" w:bidi="zh-CN"/>
              </w:rPr>
              <w:t>湖北新进纺织科技有限公司赤壁市祺乐针纺印染有限公司</w:t>
            </w:r>
          </w:p>
          <w:p w14:paraId="2F8EAECA">
            <w:pPr>
              <w:pStyle w:val="26"/>
              <w:spacing w:before="37"/>
              <w:ind w:left="10" w:leftChars="0" w:right="0" w:rightChars="0"/>
              <w:jc w:val="left"/>
              <w:rPr>
                <w:rFonts w:hint="eastAsia" w:ascii="仿宋" w:hAnsi="仿宋" w:eastAsia="仿宋" w:cs="仿宋"/>
                <w:color w:val="auto"/>
                <w:kern w:val="0"/>
                <w:sz w:val="24"/>
                <w:szCs w:val="24"/>
                <w:lang w:val="en-US" w:eastAsia="zh-CN" w:bidi="zh-CN"/>
              </w:rPr>
            </w:pPr>
            <w:r>
              <w:rPr>
                <w:rFonts w:hint="eastAsia" w:ascii="仿宋" w:hAnsi="仿宋" w:eastAsia="仿宋" w:cs="仿宋"/>
                <w:color w:val="auto"/>
                <w:kern w:val="0"/>
                <w:sz w:val="24"/>
                <w:szCs w:val="24"/>
                <w:lang w:val="en-US" w:eastAsia="zh-CN" w:bidi="zh-CN"/>
              </w:rPr>
              <w:t>赤壁新纺纺织实业有限公司</w:t>
            </w:r>
          </w:p>
          <w:p w14:paraId="1C5B026C">
            <w:pPr>
              <w:pStyle w:val="26"/>
              <w:spacing w:before="37"/>
              <w:ind w:left="10" w:leftChars="0" w:right="0" w:rightChars="0"/>
              <w:jc w:val="left"/>
              <w:rPr>
                <w:rFonts w:hint="eastAsia" w:ascii="仿宋" w:hAnsi="仿宋" w:eastAsia="仿宋" w:cs="仿宋"/>
                <w:color w:val="auto"/>
                <w:kern w:val="0"/>
                <w:sz w:val="24"/>
                <w:szCs w:val="24"/>
                <w:lang w:val="en-US" w:eastAsia="zh-CN" w:bidi="zh-CN"/>
              </w:rPr>
            </w:pPr>
            <w:r>
              <w:rPr>
                <w:rFonts w:hint="eastAsia" w:ascii="仿宋" w:hAnsi="仿宋" w:eastAsia="仿宋" w:cs="仿宋"/>
                <w:color w:val="auto"/>
                <w:kern w:val="0"/>
                <w:sz w:val="24"/>
                <w:szCs w:val="24"/>
                <w:lang w:val="en-US" w:eastAsia="zh-CN" w:bidi="zh-CN"/>
              </w:rPr>
              <w:t>赤壁市瑞科科技有限公司</w:t>
            </w:r>
          </w:p>
        </w:tc>
        <w:tc>
          <w:tcPr>
            <w:tcW w:w="2297" w:type="dxa"/>
            <w:tcBorders>
              <w:tl2br w:val="nil"/>
              <w:tr2bl w:val="nil"/>
            </w:tcBorders>
            <w:vAlign w:val="center"/>
          </w:tcPr>
          <w:p w14:paraId="58DE3D18">
            <w:pPr>
              <w:pStyle w:val="2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bidi="ar-SA"/>
              </w:rPr>
            </w:pPr>
            <w:r>
              <w:rPr>
                <w:rFonts w:hint="eastAsia" w:ascii="仿宋" w:hAnsi="仿宋" w:eastAsia="仿宋" w:cs="仿宋"/>
                <w:b w:val="0"/>
                <w:bCs/>
                <w:color w:val="auto"/>
                <w:sz w:val="24"/>
                <w:szCs w:val="24"/>
                <w:lang w:val="en-US" w:eastAsia="zh-CN" w:bidi="ar-SA"/>
              </w:rPr>
              <w:t>S246、S361沿岸路段、芳世湾大桥、陆水湖风景区旅游航线（船舶）</w:t>
            </w:r>
          </w:p>
        </w:tc>
        <w:tc>
          <w:tcPr>
            <w:tcW w:w="1752" w:type="dxa"/>
            <w:tcBorders>
              <w:tl2br w:val="nil"/>
              <w:tr2bl w:val="nil"/>
            </w:tcBorders>
            <w:vAlign w:val="center"/>
          </w:tcPr>
          <w:p w14:paraId="11887FC7">
            <w:pPr>
              <w:pStyle w:val="2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bidi="ar-SA"/>
              </w:rPr>
            </w:pPr>
            <w:r>
              <w:rPr>
                <w:rFonts w:hint="eastAsia" w:ascii="仿宋" w:hAnsi="仿宋" w:eastAsia="仿宋" w:cs="仿宋"/>
                <w:b w:val="0"/>
                <w:bCs/>
                <w:color w:val="auto"/>
                <w:sz w:val="24"/>
                <w:szCs w:val="24"/>
                <w:lang w:val="en-US" w:eastAsia="zh-CN" w:bidi="ar-SA"/>
              </w:rPr>
              <w:t>保护区内有耕地</w:t>
            </w:r>
          </w:p>
        </w:tc>
      </w:tr>
    </w:tbl>
    <w:p w14:paraId="7A271319">
      <w:pPr>
        <w:rPr>
          <w:rFonts w:hint="eastAsia" w:ascii="仿宋" w:hAnsi="仿宋" w:eastAsia="仿宋" w:cs="仿宋"/>
          <w:color w:val="auto"/>
          <w:kern w:val="21"/>
          <w:sz w:val="32"/>
          <w:szCs w:val="32"/>
          <w:lang w:val="en-US" w:eastAsia="zh-CN" w:bidi="ar-SA"/>
        </w:rPr>
      </w:pPr>
      <w:r>
        <w:rPr>
          <w:rFonts w:hint="eastAsia" w:ascii="仿宋" w:hAnsi="仿宋" w:eastAsia="仿宋" w:cs="仿宋"/>
          <w:color w:val="auto"/>
          <w:kern w:val="21"/>
          <w:sz w:val="32"/>
          <w:szCs w:val="32"/>
          <w:lang w:val="en-US" w:eastAsia="zh-CN" w:bidi="ar-SA"/>
        </w:rPr>
        <w:br w:type="page"/>
      </w:r>
    </w:p>
    <w:p w14:paraId="3DEB32A0">
      <w:pPr>
        <w:pStyle w:val="2"/>
        <w:jc w:val="center"/>
        <w:rPr>
          <w:rFonts w:hint="eastAsia" w:ascii="仿宋_GB2312" w:hAnsi="仿宋_GB2312" w:eastAsia="仿宋_GB2312" w:cs="仿宋_GB2312"/>
          <w:b/>
          <w:bCs/>
          <w:color w:val="auto"/>
          <w:sz w:val="32"/>
          <w:szCs w:val="32"/>
          <w:lang w:val="en-US" w:eastAsia="zh-CN" w:bidi="ar-SA"/>
        </w:rPr>
      </w:pPr>
      <w:bookmarkStart w:id="288" w:name="_Toc13327"/>
      <w:bookmarkStart w:id="289" w:name="_Toc20961"/>
      <w:r>
        <w:rPr>
          <w:rFonts w:hint="eastAsia" w:ascii="黑体" w:hAnsi="黑体" w:eastAsia="黑体" w:cs="黑体"/>
          <w:b w:val="0"/>
          <w:bCs w:val="0"/>
          <w:color w:val="auto"/>
          <w:sz w:val="32"/>
          <w:szCs w:val="32"/>
          <w:lang w:val="en-US" w:eastAsia="zh-CN" w:bidi="ar-SA"/>
        </w:rPr>
        <w:t>附件10</w:t>
      </w:r>
      <w:r>
        <w:rPr>
          <w:rFonts w:hint="eastAsia" w:ascii="仿宋_GB2312" w:hAnsi="仿宋_GB2312" w:eastAsia="仿宋_GB2312" w:cs="仿宋_GB2312"/>
          <w:b/>
          <w:bCs/>
          <w:color w:val="auto"/>
          <w:sz w:val="32"/>
          <w:szCs w:val="32"/>
          <w:lang w:val="en-US" w:eastAsia="zh-CN" w:bidi="ar-SA"/>
        </w:rPr>
        <w:t xml:space="preserve">  赤壁市集中式地表水饮用水水源地突发环境事件情景应急处置措施</w:t>
      </w:r>
      <w:bookmarkEnd w:id="288"/>
      <w:bookmarkEnd w:id="289"/>
    </w:p>
    <w:tbl>
      <w:tblPr>
        <w:tblStyle w:val="17"/>
        <w:tblW w:w="852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04"/>
        <w:gridCol w:w="689"/>
        <w:gridCol w:w="3004"/>
        <w:gridCol w:w="4225"/>
      </w:tblGrid>
      <w:tr w14:paraId="471600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4" w:type="dxa"/>
            <w:tcBorders>
              <w:tl2br w:val="nil"/>
              <w:tr2bl w:val="nil"/>
            </w:tcBorders>
            <w:tcMar>
              <w:top w:w="0" w:type="dxa"/>
              <w:left w:w="108" w:type="dxa"/>
              <w:bottom w:w="0" w:type="dxa"/>
              <w:right w:w="108" w:type="dxa"/>
            </w:tcMar>
            <w:vAlign w:val="center"/>
          </w:tcPr>
          <w:p w14:paraId="077F828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水源地</w:t>
            </w:r>
          </w:p>
        </w:tc>
        <w:tc>
          <w:tcPr>
            <w:tcW w:w="689" w:type="dxa"/>
            <w:tcBorders>
              <w:tl2br w:val="nil"/>
              <w:tr2bl w:val="nil"/>
            </w:tcBorders>
            <w:tcMar>
              <w:top w:w="0" w:type="dxa"/>
              <w:left w:w="108" w:type="dxa"/>
              <w:bottom w:w="0" w:type="dxa"/>
              <w:right w:w="108" w:type="dxa"/>
            </w:tcMar>
            <w:vAlign w:val="center"/>
          </w:tcPr>
          <w:p w14:paraId="6A20C20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突发事件类</w:t>
            </w:r>
            <w:r>
              <w:rPr>
                <w:rFonts w:hint="eastAsia" w:ascii="仿宋" w:hAnsi="仿宋" w:eastAsia="仿宋" w:cs="仿宋"/>
                <w:b w:val="0"/>
                <w:bCs/>
                <w:color w:val="auto"/>
                <w:w w:val="100"/>
                <w:sz w:val="24"/>
                <w:szCs w:val="24"/>
              </w:rPr>
              <w:t>型</w:t>
            </w:r>
          </w:p>
        </w:tc>
        <w:tc>
          <w:tcPr>
            <w:tcW w:w="3004" w:type="dxa"/>
            <w:tcBorders>
              <w:tl2br w:val="nil"/>
              <w:tr2bl w:val="nil"/>
            </w:tcBorders>
            <w:tcMar>
              <w:top w:w="0" w:type="dxa"/>
              <w:left w:w="108" w:type="dxa"/>
              <w:bottom w:w="0" w:type="dxa"/>
              <w:right w:w="108" w:type="dxa"/>
            </w:tcMar>
            <w:vAlign w:val="center"/>
          </w:tcPr>
          <w:p w14:paraId="37078C42">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事件引发或次生突发环境事件情景</w:t>
            </w:r>
          </w:p>
        </w:tc>
        <w:tc>
          <w:tcPr>
            <w:tcW w:w="4225" w:type="dxa"/>
            <w:tcBorders>
              <w:tl2br w:val="nil"/>
              <w:tr2bl w:val="nil"/>
            </w:tcBorders>
            <w:tcMar>
              <w:top w:w="0" w:type="dxa"/>
              <w:left w:w="108" w:type="dxa"/>
              <w:bottom w:w="0" w:type="dxa"/>
              <w:right w:w="108" w:type="dxa"/>
            </w:tcMar>
            <w:vAlign w:val="center"/>
          </w:tcPr>
          <w:p w14:paraId="3926994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处置措施</w:t>
            </w:r>
          </w:p>
        </w:tc>
      </w:tr>
      <w:tr w14:paraId="5A3A06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4" w:type="dxa"/>
            <w:vMerge w:val="restart"/>
            <w:tcBorders>
              <w:tl2br w:val="nil"/>
              <w:tr2bl w:val="nil"/>
            </w:tcBorders>
            <w:tcMar>
              <w:top w:w="0" w:type="dxa"/>
              <w:left w:w="108" w:type="dxa"/>
              <w:bottom w:w="0" w:type="dxa"/>
              <w:right w:w="108" w:type="dxa"/>
            </w:tcMar>
            <w:vAlign w:val="center"/>
          </w:tcPr>
          <w:p w14:paraId="59C325C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陆水水库水源地</w:t>
            </w:r>
          </w:p>
        </w:tc>
        <w:tc>
          <w:tcPr>
            <w:tcW w:w="689" w:type="dxa"/>
            <w:tcBorders>
              <w:tl2br w:val="nil"/>
              <w:tr2bl w:val="nil"/>
            </w:tcBorders>
            <w:tcMar>
              <w:top w:w="0" w:type="dxa"/>
              <w:left w:w="108" w:type="dxa"/>
              <w:bottom w:w="0" w:type="dxa"/>
              <w:right w:w="108" w:type="dxa"/>
            </w:tcMar>
            <w:vAlign w:val="center"/>
          </w:tcPr>
          <w:p w14:paraId="0365F60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固定源</w:t>
            </w:r>
          </w:p>
        </w:tc>
        <w:tc>
          <w:tcPr>
            <w:tcW w:w="3004" w:type="dxa"/>
            <w:tcBorders>
              <w:tl2br w:val="nil"/>
              <w:tr2bl w:val="nil"/>
            </w:tcBorders>
            <w:tcMar>
              <w:top w:w="0" w:type="dxa"/>
              <w:left w:w="108" w:type="dxa"/>
              <w:bottom w:w="0" w:type="dxa"/>
              <w:right w:w="108" w:type="dxa"/>
            </w:tcMar>
            <w:vAlign w:val="center"/>
          </w:tcPr>
          <w:p w14:paraId="28D4530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zh-CN" w:eastAsia="zh-CN"/>
              </w:rPr>
              <w:t>周边企业储存、运输、使用危险化学品过程中发生生产安全事故或违法排污，导致水源地风险物质直接或间接排入水源地保护区或其上游链接水体</w:t>
            </w:r>
          </w:p>
        </w:tc>
        <w:tc>
          <w:tcPr>
            <w:tcW w:w="4225" w:type="dxa"/>
            <w:tcBorders>
              <w:tl2br w:val="nil"/>
              <w:tr2bl w:val="nil"/>
            </w:tcBorders>
            <w:tcMar>
              <w:top w:w="0" w:type="dxa"/>
              <w:left w:w="108" w:type="dxa"/>
              <w:bottom w:w="0" w:type="dxa"/>
              <w:right w:w="108" w:type="dxa"/>
            </w:tcMar>
            <w:vAlign w:val="center"/>
          </w:tcPr>
          <w:p w14:paraId="5477417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zh-CN" w:eastAsia="zh-CN"/>
              </w:rPr>
              <w:t>应尽快采取关闭、封堵、收集、转移等措施，切断污染源或泄露源</w:t>
            </w:r>
          </w:p>
        </w:tc>
      </w:tr>
      <w:tr w14:paraId="3686EA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4" w:type="dxa"/>
            <w:vMerge w:val="continue"/>
            <w:tcBorders>
              <w:tl2br w:val="nil"/>
              <w:tr2bl w:val="nil"/>
            </w:tcBorders>
            <w:tcMar>
              <w:top w:w="0" w:type="dxa"/>
              <w:left w:w="108" w:type="dxa"/>
              <w:bottom w:w="0" w:type="dxa"/>
              <w:right w:w="108" w:type="dxa"/>
            </w:tcMar>
            <w:vAlign w:val="center"/>
          </w:tcPr>
          <w:p w14:paraId="00A21676">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689" w:type="dxa"/>
            <w:vMerge w:val="restart"/>
            <w:tcBorders>
              <w:tl2br w:val="nil"/>
              <w:tr2bl w:val="nil"/>
            </w:tcBorders>
            <w:tcMar>
              <w:top w:w="0" w:type="dxa"/>
              <w:left w:w="108" w:type="dxa"/>
              <w:bottom w:w="0" w:type="dxa"/>
              <w:right w:w="108" w:type="dxa"/>
            </w:tcMar>
            <w:vAlign w:val="center"/>
          </w:tcPr>
          <w:p w14:paraId="2BCD01D1">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流动源</w:t>
            </w:r>
          </w:p>
        </w:tc>
        <w:tc>
          <w:tcPr>
            <w:tcW w:w="3004" w:type="dxa"/>
            <w:tcBorders>
              <w:tl2br w:val="nil"/>
              <w:tr2bl w:val="nil"/>
            </w:tcBorders>
            <w:tcMar>
              <w:top w:w="0" w:type="dxa"/>
              <w:left w:w="108" w:type="dxa"/>
              <w:bottom w:w="0" w:type="dxa"/>
              <w:right w:w="108" w:type="dxa"/>
            </w:tcMar>
            <w:vAlign w:val="center"/>
          </w:tcPr>
          <w:p w14:paraId="33DAA8CF">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color w:val="auto"/>
                <w:kern w:val="0"/>
                <w:sz w:val="24"/>
                <w:szCs w:val="24"/>
                <w:lang w:val="en-US" w:eastAsia="zh-CN"/>
              </w:rPr>
              <w:t>车辆经过水库沿岸道路时发生事故，导致危险化学品、危险废物、其他污染水源的风险物质发生泄露，导致</w:t>
            </w:r>
            <w:r>
              <w:rPr>
                <w:rFonts w:hint="eastAsia" w:ascii="仿宋" w:hAnsi="仿宋" w:eastAsia="仿宋" w:cs="仿宋"/>
                <w:color w:val="auto"/>
                <w:kern w:val="0"/>
                <w:sz w:val="24"/>
                <w:szCs w:val="24"/>
                <w:lang w:val="zh-CN" w:eastAsia="zh-CN"/>
              </w:rPr>
              <w:t>风险物质直接或间接排入水源地保护区或其上游连接水体</w:t>
            </w:r>
          </w:p>
        </w:tc>
        <w:tc>
          <w:tcPr>
            <w:tcW w:w="4225" w:type="dxa"/>
            <w:tcBorders>
              <w:tl2br w:val="nil"/>
              <w:tr2bl w:val="nil"/>
            </w:tcBorders>
            <w:tcMar>
              <w:top w:w="0" w:type="dxa"/>
              <w:left w:w="108" w:type="dxa"/>
              <w:bottom w:w="0" w:type="dxa"/>
              <w:right w:w="108" w:type="dxa"/>
            </w:tcMar>
            <w:vAlign w:val="center"/>
          </w:tcPr>
          <w:p w14:paraId="4529709B">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可启动路面系统的导流槽、应急池或紧急设置围堰、闸坝等，对污染源进行围堵并收集污染物</w:t>
            </w:r>
          </w:p>
        </w:tc>
      </w:tr>
      <w:tr w14:paraId="46456F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4" w:type="dxa"/>
            <w:vMerge w:val="continue"/>
            <w:tcBorders>
              <w:tl2br w:val="nil"/>
              <w:tr2bl w:val="nil"/>
            </w:tcBorders>
            <w:tcMar>
              <w:top w:w="0" w:type="dxa"/>
              <w:left w:w="108" w:type="dxa"/>
              <w:bottom w:w="0" w:type="dxa"/>
              <w:right w:w="108" w:type="dxa"/>
            </w:tcMar>
            <w:vAlign w:val="center"/>
          </w:tcPr>
          <w:p w14:paraId="40CEF1B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689" w:type="dxa"/>
            <w:vMerge w:val="continue"/>
            <w:tcBorders>
              <w:tl2br w:val="nil"/>
              <w:tr2bl w:val="nil"/>
            </w:tcBorders>
            <w:tcMar>
              <w:top w:w="0" w:type="dxa"/>
              <w:left w:w="108" w:type="dxa"/>
              <w:bottom w:w="0" w:type="dxa"/>
              <w:right w:w="108" w:type="dxa"/>
            </w:tcMar>
            <w:vAlign w:val="center"/>
          </w:tcPr>
          <w:p w14:paraId="69929CB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p>
        </w:tc>
        <w:tc>
          <w:tcPr>
            <w:tcW w:w="3004" w:type="dxa"/>
            <w:tcBorders>
              <w:tl2br w:val="nil"/>
              <w:tr2bl w:val="nil"/>
            </w:tcBorders>
            <w:tcMar>
              <w:top w:w="0" w:type="dxa"/>
              <w:left w:w="108" w:type="dxa"/>
              <w:bottom w:w="0" w:type="dxa"/>
              <w:right w:w="108" w:type="dxa"/>
            </w:tcMar>
            <w:vAlign w:val="center"/>
          </w:tcPr>
          <w:p w14:paraId="332F0D12">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航道内事故多发点船舶发生碰撞，导致溢油事故</w:t>
            </w:r>
          </w:p>
        </w:tc>
        <w:tc>
          <w:tcPr>
            <w:tcW w:w="4225" w:type="dxa"/>
            <w:tcBorders>
              <w:tl2br w:val="nil"/>
              <w:tr2bl w:val="nil"/>
            </w:tcBorders>
            <w:tcMar>
              <w:top w:w="0" w:type="dxa"/>
              <w:left w:w="108" w:type="dxa"/>
              <w:bottom w:w="0" w:type="dxa"/>
              <w:right w:w="108" w:type="dxa"/>
            </w:tcMar>
            <w:vAlign w:val="center"/>
          </w:tcPr>
          <w:p w14:paraId="7E473D88">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在事故发生的水域及时采用围油栏控制溢油，然后用撇油器回收、用围油栏保护敏感区域、用吸油毡吸油并回收等措施，防止污染扩大</w:t>
            </w:r>
          </w:p>
        </w:tc>
      </w:tr>
      <w:tr w14:paraId="129613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4" w:type="dxa"/>
            <w:vMerge w:val="continue"/>
            <w:tcBorders>
              <w:tl2br w:val="nil"/>
              <w:tr2bl w:val="nil"/>
            </w:tcBorders>
            <w:tcMar>
              <w:top w:w="0" w:type="dxa"/>
              <w:left w:w="108" w:type="dxa"/>
              <w:bottom w:w="0" w:type="dxa"/>
              <w:right w:w="108" w:type="dxa"/>
            </w:tcMar>
            <w:vAlign w:val="center"/>
          </w:tcPr>
          <w:p w14:paraId="2E3473C9">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689" w:type="dxa"/>
            <w:vMerge w:val="restart"/>
            <w:tcBorders>
              <w:tl2br w:val="nil"/>
              <w:tr2bl w:val="nil"/>
            </w:tcBorders>
            <w:tcMar>
              <w:top w:w="0" w:type="dxa"/>
              <w:left w:w="108" w:type="dxa"/>
              <w:bottom w:w="0" w:type="dxa"/>
              <w:right w:w="108" w:type="dxa"/>
            </w:tcMar>
            <w:vAlign w:val="center"/>
          </w:tcPr>
          <w:p w14:paraId="516583A0">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非点源</w:t>
            </w:r>
          </w:p>
        </w:tc>
        <w:tc>
          <w:tcPr>
            <w:tcW w:w="3004" w:type="dxa"/>
            <w:tcBorders>
              <w:tl2br w:val="nil"/>
              <w:tr2bl w:val="nil"/>
            </w:tcBorders>
            <w:tcMar>
              <w:top w:w="0" w:type="dxa"/>
              <w:left w:w="108" w:type="dxa"/>
              <w:bottom w:w="0" w:type="dxa"/>
              <w:right w:w="108" w:type="dxa"/>
            </w:tcMar>
            <w:vAlign w:val="center"/>
          </w:tcPr>
          <w:p w14:paraId="72ABCAA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暴雨冲刷农田或果园土壤，导致大量农药、化肥等随地表或地下径流进入水库</w:t>
            </w:r>
          </w:p>
        </w:tc>
        <w:tc>
          <w:tcPr>
            <w:tcW w:w="4225" w:type="dxa"/>
            <w:tcBorders>
              <w:tl2br w:val="nil"/>
              <w:tr2bl w:val="nil"/>
            </w:tcBorders>
            <w:tcMar>
              <w:top w:w="0" w:type="dxa"/>
              <w:left w:w="108" w:type="dxa"/>
              <w:bottom w:w="0" w:type="dxa"/>
              <w:right w:w="108" w:type="dxa"/>
            </w:tcMar>
            <w:vAlign w:val="center"/>
          </w:tcPr>
          <w:p w14:paraId="4C4214C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可启动临时设置的导流槽等对雨水口垃圾清运和拦截</w:t>
            </w:r>
          </w:p>
        </w:tc>
      </w:tr>
      <w:tr w14:paraId="5B6F9B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4" w:type="dxa"/>
            <w:vMerge w:val="continue"/>
            <w:tcBorders>
              <w:tl2br w:val="nil"/>
              <w:tr2bl w:val="nil"/>
            </w:tcBorders>
            <w:tcMar>
              <w:top w:w="0" w:type="dxa"/>
              <w:left w:w="108" w:type="dxa"/>
              <w:bottom w:w="0" w:type="dxa"/>
              <w:right w:w="108" w:type="dxa"/>
            </w:tcMar>
            <w:vAlign w:val="center"/>
          </w:tcPr>
          <w:p w14:paraId="388BA94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689" w:type="dxa"/>
            <w:vMerge w:val="continue"/>
            <w:tcBorders>
              <w:tl2br w:val="nil"/>
              <w:tr2bl w:val="nil"/>
            </w:tcBorders>
            <w:tcMar>
              <w:top w:w="0" w:type="dxa"/>
              <w:left w:w="108" w:type="dxa"/>
              <w:bottom w:w="0" w:type="dxa"/>
              <w:right w:w="108" w:type="dxa"/>
            </w:tcMar>
            <w:vAlign w:val="center"/>
          </w:tcPr>
          <w:p w14:paraId="6B218E3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p>
        </w:tc>
        <w:tc>
          <w:tcPr>
            <w:tcW w:w="3004" w:type="dxa"/>
            <w:tcBorders>
              <w:tl2br w:val="nil"/>
              <w:tr2bl w:val="nil"/>
            </w:tcBorders>
            <w:tcMar>
              <w:top w:w="0" w:type="dxa"/>
              <w:left w:w="108" w:type="dxa"/>
              <w:bottom w:w="0" w:type="dxa"/>
              <w:right w:w="108" w:type="dxa"/>
            </w:tcMar>
            <w:vAlign w:val="center"/>
          </w:tcPr>
          <w:p w14:paraId="52AFF07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zh-CN" w:eastAsia="zh-CN"/>
              </w:rPr>
              <w:t>居民日常生活污水排放，COD、氨氮、总磷、总氮污染物浓度高</w:t>
            </w:r>
          </w:p>
        </w:tc>
        <w:tc>
          <w:tcPr>
            <w:tcW w:w="4225" w:type="dxa"/>
            <w:tcBorders>
              <w:tl2br w:val="nil"/>
              <w:tr2bl w:val="nil"/>
            </w:tcBorders>
            <w:tcMar>
              <w:top w:w="0" w:type="dxa"/>
              <w:left w:w="108" w:type="dxa"/>
              <w:bottom w:w="0" w:type="dxa"/>
              <w:right w:w="108" w:type="dxa"/>
            </w:tcMar>
            <w:vAlign w:val="center"/>
          </w:tcPr>
          <w:p w14:paraId="73ADDE37">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应开展分散式、低成本的小型人工湿地、无</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微</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动力处理设施和氧化塘等方式对生活污水进行处理，处理后的污水还田。</w:t>
            </w:r>
          </w:p>
        </w:tc>
      </w:tr>
      <w:tr w14:paraId="1B70BC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4" w:type="dxa"/>
            <w:vMerge w:val="continue"/>
            <w:tcBorders>
              <w:tl2br w:val="nil"/>
              <w:tr2bl w:val="nil"/>
            </w:tcBorders>
            <w:tcMar>
              <w:top w:w="0" w:type="dxa"/>
              <w:left w:w="108" w:type="dxa"/>
              <w:bottom w:w="0" w:type="dxa"/>
              <w:right w:w="108" w:type="dxa"/>
            </w:tcMar>
            <w:vAlign w:val="center"/>
          </w:tcPr>
          <w:p w14:paraId="6FAD6DEC">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rPr>
            </w:pPr>
          </w:p>
        </w:tc>
        <w:tc>
          <w:tcPr>
            <w:tcW w:w="689" w:type="dxa"/>
            <w:tcBorders>
              <w:tl2br w:val="nil"/>
              <w:tr2bl w:val="nil"/>
            </w:tcBorders>
            <w:tcMar>
              <w:top w:w="0" w:type="dxa"/>
              <w:left w:w="108" w:type="dxa"/>
              <w:bottom w:w="0" w:type="dxa"/>
              <w:right w:w="108" w:type="dxa"/>
            </w:tcMar>
            <w:vAlign w:val="center"/>
          </w:tcPr>
          <w:p w14:paraId="2DB07E9D">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水华灾害</w:t>
            </w:r>
          </w:p>
        </w:tc>
        <w:tc>
          <w:tcPr>
            <w:tcW w:w="3004" w:type="dxa"/>
            <w:tcBorders>
              <w:tl2br w:val="nil"/>
              <w:tr2bl w:val="nil"/>
            </w:tcBorders>
            <w:tcMar>
              <w:top w:w="0" w:type="dxa"/>
              <w:left w:w="108" w:type="dxa"/>
              <w:bottom w:w="0" w:type="dxa"/>
              <w:right w:w="108" w:type="dxa"/>
            </w:tcMar>
            <w:vAlign w:val="center"/>
          </w:tcPr>
          <w:p w14:paraId="0D9A39A4">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zh-CN" w:eastAsia="zh-CN"/>
              </w:rPr>
              <w:t>总氮、总磷等污染物浓度过高</w:t>
            </w:r>
          </w:p>
        </w:tc>
        <w:tc>
          <w:tcPr>
            <w:tcW w:w="4225" w:type="dxa"/>
            <w:tcBorders>
              <w:tl2br w:val="nil"/>
              <w:tr2bl w:val="nil"/>
            </w:tcBorders>
            <w:tcMar>
              <w:top w:w="0" w:type="dxa"/>
              <w:left w:w="108" w:type="dxa"/>
              <w:bottom w:w="0" w:type="dxa"/>
              <w:right w:w="108" w:type="dxa"/>
            </w:tcMar>
            <w:vAlign w:val="center"/>
          </w:tcPr>
          <w:p w14:paraId="44137455">
            <w:pPr>
              <w:pStyle w:val="2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rPr>
              <w:t>当水库藻类大规模爆发时，根据实际情况，对上游实施调水冲污，遏制和减缓河流藻类生长；将藻类迅速打捞出水。打捞可采取人工捞取或者机动表层抽吸；放养合适的生物或者动物；可考虑加入适当的化学药剂</w:t>
            </w:r>
          </w:p>
        </w:tc>
      </w:tr>
    </w:tbl>
    <w:p w14:paraId="23BB9BDF">
      <w:pPr>
        <w:rPr>
          <w:rFonts w:hint="eastAsia" w:ascii="仿宋" w:hAnsi="仿宋" w:eastAsia="仿宋" w:cs="仿宋"/>
          <w:color w:val="auto"/>
          <w:kern w:val="21"/>
          <w:sz w:val="32"/>
          <w:szCs w:val="32"/>
          <w:lang w:val="en-US" w:eastAsia="zh-CN" w:bidi="ar-SA"/>
        </w:rPr>
      </w:pPr>
      <w:r>
        <w:rPr>
          <w:rFonts w:hint="eastAsia" w:ascii="仿宋" w:hAnsi="仿宋" w:eastAsia="仿宋" w:cs="仿宋"/>
          <w:color w:val="auto"/>
          <w:kern w:val="21"/>
          <w:sz w:val="32"/>
          <w:szCs w:val="32"/>
          <w:lang w:val="en-US" w:eastAsia="zh-CN" w:bidi="ar-SA"/>
        </w:rPr>
        <w:br w:type="page"/>
      </w:r>
    </w:p>
    <w:p w14:paraId="58AF3FDC">
      <w:pPr>
        <w:pStyle w:val="2"/>
        <w:keepNext w:val="0"/>
        <w:keepLines w:val="0"/>
        <w:pageBreakBefore w:val="0"/>
        <w:widowControl w:val="0"/>
        <w:kinsoku/>
        <w:wordWrap/>
        <w:overflowPunct/>
        <w:topLinePunct w:val="0"/>
        <w:autoSpaceDE w:val="0"/>
        <w:autoSpaceDN w:val="0"/>
        <w:bidi w:val="0"/>
        <w:adjustRightInd/>
        <w:snapToGrid/>
        <w:spacing w:line="460" w:lineRule="exact"/>
        <w:jc w:val="center"/>
        <w:textAlignment w:val="auto"/>
        <w:rPr>
          <w:rFonts w:hint="eastAsia" w:ascii="仿宋_GB2312" w:hAnsi="仿宋_GB2312" w:eastAsia="仿宋_GB2312" w:cs="仿宋_GB2312"/>
          <w:b/>
          <w:bCs/>
          <w:color w:val="auto"/>
          <w:sz w:val="32"/>
          <w:szCs w:val="32"/>
          <w:lang w:val="en-US" w:eastAsia="zh-CN" w:bidi="ar-SA"/>
        </w:rPr>
      </w:pPr>
      <w:r>
        <w:rPr>
          <w:rFonts w:hint="eastAsia" w:ascii="黑体" w:hAnsi="黑体" w:eastAsia="黑体" w:cs="黑体"/>
          <w:b w:val="0"/>
          <w:bCs w:val="0"/>
          <w:color w:val="auto"/>
          <w:sz w:val="32"/>
          <w:szCs w:val="32"/>
          <w:lang w:val="en-US" w:eastAsia="zh-CN" w:bidi="ar-SA"/>
        </w:rPr>
        <w:t>附件11</w:t>
      </w:r>
      <w:r>
        <w:rPr>
          <w:rFonts w:hint="eastAsia" w:ascii="仿宋_GB2312" w:hAnsi="仿宋_GB2312" w:eastAsia="仿宋_GB2312" w:cs="仿宋_GB2312"/>
          <w:b/>
          <w:bCs/>
          <w:color w:val="auto"/>
          <w:sz w:val="32"/>
          <w:szCs w:val="32"/>
          <w:lang w:val="en-US" w:eastAsia="zh-CN" w:bidi="ar-SA"/>
        </w:rPr>
        <w:t xml:space="preserve">  赤壁市集中式地表水饮用水水源地突发环境事件现场调查表</w:t>
      </w:r>
    </w:p>
    <w:p w14:paraId="0879ED16">
      <w:pPr>
        <w:pStyle w:val="59"/>
        <w:spacing w:before="156" w:after="156"/>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赤壁市</w:t>
      </w:r>
      <w:r>
        <w:rPr>
          <w:rFonts w:hint="eastAsia" w:ascii="仿宋" w:hAnsi="仿宋" w:eastAsia="仿宋" w:cs="仿宋"/>
          <w:b/>
          <w:bCs/>
          <w:color w:val="auto"/>
          <w:sz w:val="24"/>
          <w:szCs w:val="24"/>
        </w:rPr>
        <w:t>集中式地表水饮用水水源地突发环境事件现场调查表</w:t>
      </w:r>
    </w:p>
    <w:p w14:paraId="446B0AC2">
      <w:pPr>
        <w:pStyle w:val="55"/>
        <w:wordWrap w:val="0"/>
        <w:ind w:right="120" w:firstLine="480"/>
        <w:jc w:val="right"/>
        <w:rPr>
          <w:rFonts w:hint="eastAsia" w:ascii="仿宋" w:hAnsi="仿宋" w:eastAsia="仿宋" w:cs="仿宋"/>
          <w:color w:val="auto"/>
        </w:rPr>
      </w:pPr>
      <w:r>
        <w:rPr>
          <w:rFonts w:hint="eastAsia" w:ascii="仿宋" w:hAnsi="仿宋" w:eastAsia="仿宋" w:cs="仿宋"/>
          <w:color w:val="auto"/>
        </w:rPr>
        <w:t>调查时间：</w:t>
      </w:r>
      <w:r>
        <w:rPr>
          <w:rFonts w:hint="eastAsia" w:ascii="仿宋" w:hAnsi="仿宋" w:eastAsia="仿宋" w:cs="仿宋"/>
          <w:color w:val="auto"/>
          <w:lang w:val="en-US" w:eastAsia="zh-CN"/>
        </w:rPr>
        <w:t xml:space="preserve">  </w:t>
      </w:r>
      <w:r>
        <w:rPr>
          <w:rFonts w:hint="eastAsia" w:ascii="仿宋" w:hAnsi="仿宋" w:eastAsia="仿宋" w:cs="仿宋"/>
          <w:color w:val="auto"/>
        </w:rPr>
        <w:t>年</w:t>
      </w:r>
      <w:r>
        <w:rPr>
          <w:rFonts w:hint="eastAsia" w:ascii="仿宋" w:hAnsi="仿宋" w:eastAsia="仿宋" w:cs="仿宋"/>
          <w:color w:val="auto"/>
          <w:lang w:val="en-US" w:eastAsia="zh-CN"/>
        </w:rPr>
        <w:t xml:space="preserve">   </w:t>
      </w:r>
      <w:r>
        <w:rPr>
          <w:rFonts w:hint="eastAsia" w:ascii="仿宋" w:hAnsi="仿宋" w:eastAsia="仿宋" w:cs="仿宋"/>
          <w:color w:val="auto"/>
        </w:rPr>
        <w:t>月</w:t>
      </w:r>
      <w:r>
        <w:rPr>
          <w:rFonts w:hint="eastAsia" w:ascii="仿宋" w:hAnsi="仿宋" w:eastAsia="仿宋" w:cs="仿宋"/>
          <w:color w:val="auto"/>
          <w:lang w:val="en-US" w:eastAsia="zh-CN"/>
        </w:rPr>
        <w:t xml:space="preserve">  </w:t>
      </w:r>
      <w:r>
        <w:rPr>
          <w:rFonts w:hint="eastAsia" w:ascii="仿宋" w:hAnsi="仿宋" w:eastAsia="仿宋" w:cs="仿宋"/>
          <w:color w:val="auto"/>
        </w:rPr>
        <w:t>日</w:t>
      </w:r>
      <w:r>
        <w:rPr>
          <w:rFonts w:hint="eastAsia" w:ascii="仿宋" w:hAnsi="仿宋" w:eastAsia="仿宋" w:cs="仿宋"/>
          <w:color w:val="auto"/>
          <w:lang w:val="en-US" w:eastAsia="zh-CN"/>
        </w:rPr>
        <w:t xml:space="preserve">  </w:t>
      </w:r>
      <w:r>
        <w:rPr>
          <w:rFonts w:hint="eastAsia" w:ascii="仿宋" w:hAnsi="仿宋" w:eastAsia="仿宋" w:cs="仿宋"/>
          <w:color w:val="auto"/>
        </w:rPr>
        <w:t>时</w:t>
      </w:r>
      <w:r>
        <w:rPr>
          <w:rFonts w:hint="eastAsia" w:ascii="仿宋" w:hAnsi="仿宋" w:eastAsia="仿宋" w:cs="仿宋"/>
          <w:color w:val="auto"/>
          <w:lang w:val="en-US" w:eastAsia="zh-CN"/>
        </w:rPr>
        <w:t xml:space="preserve"> </w:t>
      </w:r>
      <w:r>
        <w:rPr>
          <w:rFonts w:hint="eastAsia" w:ascii="仿宋" w:hAnsi="仿宋" w:eastAsia="仿宋" w:cs="仿宋"/>
          <w:color w:val="auto"/>
        </w:rPr>
        <w:t>分</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37"/>
        <w:gridCol w:w="330"/>
        <w:gridCol w:w="854"/>
        <w:gridCol w:w="212"/>
        <w:gridCol w:w="644"/>
        <w:gridCol w:w="295"/>
        <w:gridCol w:w="466"/>
        <w:gridCol w:w="499"/>
        <w:gridCol w:w="885"/>
        <w:gridCol w:w="75"/>
        <w:gridCol w:w="1808"/>
      </w:tblGrid>
      <w:tr w14:paraId="56C5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12"/>
            <w:vAlign w:val="center"/>
          </w:tcPr>
          <w:p w14:paraId="36BED722">
            <w:pPr>
              <w:pStyle w:val="55"/>
              <w:ind w:firstLine="0" w:firstLineChars="0"/>
              <w:rPr>
                <w:rFonts w:hint="eastAsia" w:ascii="仿宋" w:hAnsi="仿宋" w:eastAsia="仿宋" w:cs="仿宋"/>
                <w:b/>
                <w:bCs/>
                <w:color w:val="auto"/>
              </w:rPr>
            </w:pPr>
            <w:r>
              <w:rPr>
                <w:rFonts w:hint="eastAsia" w:ascii="仿宋" w:hAnsi="仿宋" w:eastAsia="仿宋" w:cs="仿宋"/>
                <w:b/>
                <w:bCs/>
                <w:color w:val="auto"/>
                <w:sz w:val="28"/>
                <w:szCs w:val="28"/>
              </w:rPr>
              <w:t>1、突发环境事件基本情况</w:t>
            </w:r>
          </w:p>
        </w:tc>
      </w:tr>
      <w:tr w14:paraId="3AE2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2454" w:type="dxa"/>
            <w:gridSpan w:val="2"/>
            <w:vAlign w:val="center"/>
          </w:tcPr>
          <w:p w14:paraId="2AEB89C4">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信息来源</w:t>
            </w:r>
          </w:p>
        </w:tc>
        <w:tc>
          <w:tcPr>
            <w:tcW w:w="1184" w:type="dxa"/>
            <w:gridSpan w:val="2"/>
            <w:vAlign w:val="center"/>
          </w:tcPr>
          <w:p w14:paraId="6B2C0BD2">
            <w:pPr>
              <w:pStyle w:val="55"/>
              <w:ind w:firstLine="480"/>
              <w:rPr>
                <w:rFonts w:hint="eastAsia" w:ascii="仿宋" w:hAnsi="仿宋" w:eastAsia="仿宋" w:cs="仿宋"/>
                <w:color w:val="auto"/>
                <w:sz w:val="28"/>
                <w:szCs w:val="28"/>
              </w:rPr>
            </w:pPr>
          </w:p>
        </w:tc>
        <w:tc>
          <w:tcPr>
            <w:tcW w:w="856" w:type="dxa"/>
            <w:gridSpan w:val="2"/>
            <w:vAlign w:val="center"/>
          </w:tcPr>
          <w:p w14:paraId="5B5D6581">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发生时间</w:t>
            </w:r>
          </w:p>
        </w:tc>
        <w:tc>
          <w:tcPr>
            <w:tcW w:w="1260" w:type="dxa"/>
            <w:gridSpan w:val="3"/>
            <w:vAlign w:val="center"/>
          </w:tcPr>
          <w:p w14:paraId="233D775A">
            <w:pPr>
              <w:pStyle w:val="55"/>
              <w:ind w:firstLine="480"/>
              <w:rPr>
                <w:rFonts w:hint="eastAsia" w:ascii="仿宋" w:hAnsi="仿宋" w:eastAsia="仿宋" w:cs="仿宋"/>
                <w:color w:val="auto"/>
                <w:sz w:val="28"/>
                <w:szCs w:val="28"/>
              </w:rPr>
            </w:pPr>
          </w:p>
        </w:tc>
        <w:tc>
          <w:tcPr>
            <w:tcW w:w="885" w:type="dxa"/>
            <w:vAlign w:val="center"/>
          </w:tcPr>
          <w:p w14:paraId="6B118C76">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地点</w:t>
            </w:r>
          </w:p>
        </w:tc>
        <w:tc>
          <w:tcPr>
            <w:tcW w:w="1883" w:type="dxa"/>
            <w:gridSpan w:val="2"/>
            <w:vAlign w:val="center"/>
          </w:tcPr>
          <w:p w14:paraId="6B309931">
            <w:pPr>
              <w:pStyle w:val="55"/>
              <w:ind w:firstLine="480"/>
              <w:rPr>
                <w:rFonts w:hint="eastAsia" w:ascii="仿宋" w:hAnsi="仿宋" w:eastAsia="仿宋" w:cs="仿宋"/>
                <w:color w:val="auto"/>
              </w:rPr>
            </w:pPr>
          </w:p>
        </w:tc>
      </w:tr>
      <w:tr w14:paraId="29BC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2454" w:type="dxa"/>
            <w:gridSpan w:val="2"/>
            <w:vAlign w:val="center"/>
          </w:tcPr>
          <w:p w14:paraId="42327D72">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事件起因</w:t>
            </w:r>
          </w:p>
        </w:tc>
        <w:tc>
          <w:tcPr>
            <w:tcW w:w="6068" w:type="dxa"/>
            <w:gridSpan w:val="10"/>
            <w:vAlign w:val="center"/>
          </w:tcPr>
          <w:p w14:paraId="40EEDF0E">
            <w:pPr>
              <w:pStyle w:val="55"/>
              <w:ind w:firstLine="480"/>
              <w:rPr>
                <w:rFonts w:hint="eastAsia" w:ascii="仿宋" w:hAnsi="仿宋" w:eastAsia="仿宋" w:cs="仿宋"/>
                <w:color w:val="auto"/>
              </w:rPr>
            </w:pPr>
          </w:p>
        </w:tc>
      </w:tr>
      <w:tr w14:paraId="240D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454" w:type="dxa"/>
            <w:gridSpan w:val="2"/>
            <w:vAlign w:val="center"/>
          </w:tcPr>
          <w:p w14:paraId="3BB469B3">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主要污染物和量</w:t>
            </w:r>
          </w:p>
        </w:tc>
        <w:tc>
          <w:tcPr>
            <w:tcW w:w="6068" w:type="dxa"/>
            <w:gridSpan w:val="10"/>
            <w:vAlign w:val="center"/>
          </w:tcPr>
          <w:p w14:paraId="004AA3E5">
            <w:pPr>
              <w:pStyle w:val="55"/>
              <w:ind w:firstLine="480"/>
              <w:rPr>
                <w:rFonts w:hint="eastAsia" w:ascii="仿宋" w:hAnsi="仿宋" w:eastAsia="仿宋" w:cs="仿宋"/>
                <w:color w:val="auto"/>
              </w:rPr>
            </w:pPr>
          </w:p>
        </w:tc>
      </w:tr>
      <w:tr w14:paraId="41CA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2454" w:type="dxa"/>
            <w:gridSpan w:val="2"/>
            <w:vAlign w:val="center"/>
          </w:tcPr>
          <w:p w14:paraId="7550EE7B">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污染程度和范围</w:t>
            </w:r>
          </w:p>
        </w:tc>
        <w:tc>
          <w:tcPr>
            <w:tcW w:w="6068" w:type="dxa"/>
            <w:gridSpan w:val="10"/>
            <w:vAlign w:val="center"/>
          </w:tcPr>
          <w:p w14:paraId="3CD8F744">
            <w:pPr>
              <w:pStyle w:val="55"/>
              <w:ind w:firstLine="480"/>
              <w:rPr>
                <w:rFonts w:hint="eastAsia" w:ascii="仿宋" w:hAnsi="仿宋" w:eastAsia="仿宋" w:cs="仿宋"/>
                <w:color w:val="auto"/>
              </w:rPr>
            </w:pPr>
          </w:p>
        </w:tc>
      </w:tr>
      <w:tr w14:paraId="608E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2454" w:type="dxa"/>
            <w:gridSpan w:val="2"/>
            <w:vAlign w:val="center"/>
          </w:tcPr>
          <w:p w14:paraId="4D9D01B5">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人员受害</w:t>
            </w:r>
          </w:p>
          <w:p w14:paraId="350D676B">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及救护情况</w:t>
            </w:r>
          </w:p>
        </w:tc>
        <w:tc>
          <w:tcPr>
            <w:tcW w:w="6068" w:type="dxa"/>
            <w:gridSpan w:val="10"/>
            <w:vAlign w:val="center"/>
          </w:tcPr>
          <w:p w14:paraId="19E38D7B">
            <w:pPr>
              <w:pStyle w:val="55"/>
              <w:ind w:firstLine="480"/>
              <w:rPr>
                <w:rFonts w:hint="eastAsia" w:ascii="仿宋" w:hAnsi="仿宋" w:eastAsia="仿宋" w:cs="仿宋"/>
                <w:color w:val="auto"/>
              </w:rPr>
            </w:pPr>
          </w:p>
        </w:tc>
      </w:tr>
      <w:tr w14:paraId="301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454" w:type="dxa"/>
            <w:gridSpan w:val="2"/>
            <w:vAlign w:val="center"/>
          </w:tcPr>
          <w:p w14:paraId="7D31C332">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环境敏感点受影响情况(企业基本情况）</w:t>
            </w:r>
          </w:p>
        </w:tc>
        <w:tc>
          <w:tcPr>
            <w:tcW w:w="6068" w:type="dxa"/>
            <w:gridSpan w:val="10"/>
            <w:vAlign w:val="center"/>
          </w:tcPr>
          <w:p w14:paraId="00DEE6AA">
            <w:pPr>
              <w:pStyle w:val="55"/>
              <w:ind w:firstLine="480"/>
              <w:rPr>
                <w:rFonts w:hint="eastAsia" w:ascii="仿宋" w:hAnsi="仿宋" w:eastAsia="仿宋" w:cs="仿宋"/>
                <w:color w:val="auto"/>
              </w:rPr>
            </w:pPr>
          </w:p>
        </w:tc>
      </w:tr>
      <w:tr w14:paraId="49E6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2454" w:type="dxa"/>
            <w:gridSpan w:val="2"/>
            <w:vAlign w:val="center"/>
          </w:tcPr>
          <w:p w14:paraId="75F21B11">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是否及时启动</w:t>
            </w:r>
          </w:p>
          <w:p w14:paraId="2396C940">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环境应急预案</w:t>
            </w:r>
          </w:p>
        </w:tc>
        <w:tc>
          <w:tcPr>
            <w:tcW w:w="1184" w:type="dxa"/>
            <w:gridSpan w:val="2"/>
            <w:vAlign w:val="center"/>
          </w:tcPr>
          <w:p w14:paraId="0C90323E">
            <w:pPr>
              <w:pStyle w:val="55"/>
              <w:ind w:firstLine="480"/>
              <w:rPr>
                <w:rFonts w:hint="eastAsia" w:ascii="仿宋" w:hAnsi="仿宋" w:eastAsia="仿宋" w:cs="仿宋"/>
                <w:color w:val="auto"/>
              </w:rPr>
            </w:pPr>
          </w:p>
        </w:tc>
        <w:tc>
          <w:tcPr>
            <w:tcW w:w="1151" w:type="dxa"/>
            <w:gridSpan w:val="3"/>
            <w:vAlign w:val="center"/>
          </w:tcPr>
          <w:p w14:paraId="479725D3">
            <w:pPr>
              <w:pStyle w:val="55"/>
              <w:ind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预计事件发展趋势</w:t>
            </w:r>
          </w:p>
        </w:tc>
        <w:tc>
          <w:tcPr>
            <w:tcW w:w="3733" w:type="dxa"/>
            <w:gridSpan w:val="5"/>
            <w:vAlign w:val="center"/>
          </w:tcPr>
          <w:p w14:paraId="2BAA59F7">
            <w:pPr>
              <w:pStyle w:val="55"/>
              <w:ind w:firstLine="480"/>
              <w:rPr>
                <w:rFonts w:hint="eastAsia" w:ascii="仿宋" w:hAnsi="仿宋" w:eastAsia="仿宋" w:cs="仿宋"/>
                <w:color w:val="auto"/>
                <w:sz w:val="28"/>
                <w:szCs w:val="28"/>
              </w:rPr>
            </w:pPr>
          </w:p>
        </w:tc>
      </w:tr>
      <w:tr w14:paraId="7F72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3638" w:type="dxa"/>
            <w:gridSpan w:val="4"/>
            <w:vAlign w:val="center"/>
          </w:tcPr>
          <w:p w14:paraId="7190FC32">
            <w:pPr>
              <w:pStyle w:val="55"/>
              <w:ind w:firstLine="0" w:firstLineChars="0"/>
              <w:rPr>
                <w:rFonts w:hint="eastAsia" w:ascii="仿宋" w:hAnsi="仿宋" w:eastAsia="仿宋" w:cs="仿宋"/>
                <w:b/>
                <w:bCs/>
                <w:color w:val="auto"/>
              </w:rPr>
            </w:pPr>
            <w:r>
              <w:rPr>
                <w:rFonts w:hint="eastAsia" w:ascii="仿宋" w:hAnsi="仿宋" w:eastAsia="仿宋" w:cs="仿宋"/>
                <w:b/>
                <w:bCs/>
                <w:color w:val="auto"/>
                <w:sz w:val="28"/>
                <w:szCs w:val="28"/>
              </w:rPr>
              <w:t>2、事件可能级别</w:t>
            </w:r>
          </w:p>
        </w:tc>
        <w:tc>
          <w:tcPr>
            <w:tcW w:w="4884" w:type="dxa"/>
            <w:gridSpan w:val="8"/>
            <w:vAlign w:val="center"/>
          </w:tcPr>
          <w:p w14:paraId="6D716D45">
            <w:pPr>
              <w:pStyle w:val="55"/>
              <w:ind w:firstLine="0" w:firstLineChars="0"/>
              <w:jc w:val="center"/>
              <w:rPr>
                <w:rFonts w:hint="eastAsia" w:ascii="仿宋" w:hAnsi="仿宋" w:eastAsia="仿宋" w:cs="仿宋"/>
                <w:color w:val="auto"/>
                <w:sz w:val="28"/>
                <w:szCs w:val="28"/>
              </w:rPr>
            </w:pPr>
            <w:r>
              <w:rPr>
                <w:rFonts w:hint="eastAsia" w:ascii="仿宋" w:hAnsi="仿宋" w:eastAsia="仿宋" w:cs="仿宋"/>
                <w:color w:val="auto"/>
                <w:sz w:val="28"/>
                <w:szCs w:val="28"/>
              </w:rPr>
              <w:t>特别重大口重大口较大口一般口</w:t>
            </w:r>
          </w:p>
        </w:tc>
      </w:tr>
      <w:tr w14:paraId="2C15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522" w:type="dxa"/>
            <w:gridSpan w:val="12"/>
            <w:vAlign w:val="center"/>
          </w:tcPr>
          <w:p w14:paraId="61C923A3">
            <w:pPr>
              <w:pStyle w:val="55"/>
              <w:ind w:firstLine="480"/>
              <w:rPr>
                <w:rFonts w:hint="eastAsia" w:ascii="仿宋" w:hAnsi="仿宋" w:eastAsia="仿宋" w:cs="仿宋"/>
                <w:color w:val="auto"/>
                <w:sz w:val="28"/>
                <w:szCs w:val="28"/>
              </w:rPr>
            </w:pPr>
            <w:r>
              <w:rPr>
                <w:rFonts w:hint="eastAsia" w:ascii="仿宋" w:hAnsi="仿宋" w:eastAsia="仿宋" w:cs="仿宋"/>
                <w:color w:val="auto"/>
                <w:sz w:val="28"/>
                <w:szCs w:val="28"/>
              </w:rPr>
              <w:t>（1）是否对饮用水源保护区造成或者可能造成影响：否口是口</w:t>
            </w:r>
          </w:p>
        </w:tc>
      </w:tr>
      <w:tr w14:paraId="6A5B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522" w:type="dxa"/>
            <w:gridSpan w:val="12"/>
            <w:vAlign w:val="center"/>
          </w:tcPr>
          <w:p w14:paraId="6CE31FC7">
            <w:pPr>
              <w:pStyle w:val="55"/>
              <w:ind w:firstLine="480"/>
              <w:rPr>
                <w:rFonts w:hint="eastAsia" w:ascii="仿宋" w:hAnsi="仿宋" w:eastAsia="仿宋" w:cs="仿宋"/>
                <w:color w:val="auto"/>
                <w:sz w:val="28"/>
                <w:szCs w:val="28"/>
              </w:rPr>
            </w:pPr>
            <w:r>
              <w:rPr>
                <w:rFonts w:hint="eastAsia" w:ascii="仿宋" w:hAnsi="仿宋" w:eastAsia="仿宋" w:cs="仿宋"/>
                <w:color w:val="auto"/>
                <w:sz w:val="28"/>
                <w:szCs w:val="28"/>
              </w:rPr>
              <w:t>（2）是否涉及居民聚居区、学校、医院等敏感区域和敏感人群：否口是口</w:t>
            </w:r>
          </w:p>
        </w:tc>
      </w:tr>
      <w:tr w14:paraId="1B1B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522" w:type="dxa"/>
            <w:gridSpan w:val="12"/>
            <w:vAlign w:val="center"/>
          </w:tcPr>
          <w:p w14:paraId="4904D268">
            <w:pPr>
              <w:pStyle w:val="55"/>
              <w:ind w:firstLine="480"/>
              <w:rPr>
                <w:rFonts w:hint="eastAsia" w:ascii="仿宋" w:hAnsi="仿宋" w:eastAsia="仿宋" w:cs="仿宋"/>
                <w:color w:val="auto"/>
                <w:sz w:val="28"/>
                <w:szCs w:val="28"/>
              </w:rPr>
            </w:pPr>
            <w:r>
              <w:rPr>
                <w:rFonts w:hint="eastAsia" w:ascii="仿宋" w:hAnsi="仿宋" w:eastAsia="仿宋" w:cs="仿宋"/>
                <w:color w:val="auto"/>
                <w:sz w:val="28"/>
                <w:szCs w:val="28"/>
              </w:rPr>
              <w:t>（3）是否涉及重金属或者类金属污染：否口是口</w:t>
            </w:r>
          </w:p>
        </w:tc>
      </w:tr>
      <w:tr w14:paraId="68FB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522" w:type="dxa"/>
            <w:gridSpan w:val="12"/>
            <w:vAlign w:val="center"/>
          </w:tcPr>
          <w:p w14:paraId="671CCF39">
            <w:pPr>
              <w:pStyle w:val="55"/>
              <w:ind w:firstLine="480"/>
              <w:rPr>
                <w:rFonts w:hint="eastAsia" w:ascii="仿宋" w:hAnsi="仿宋" w:eastAsia="仿宋" w:cs="仿宋"/>
                <w:color w:val="auto"/>
                <w:sz w:val="28"/>
                <w:szCs w:val="28"/>
              </w:rPr>
            </w:pPr>
            <w:r>
              <w:rPr>
                <w:rFonts w:hint="eastAsia" w:ascii="仿宋" w:hAnsi="仿宋" w:eastAsia="仿宋" w:cs="仿宋"/>
                <w:color w:val="auto"/>
                <w:sz w:val="28"/>
                <w:szCs w:val="28"/>
              </w:rPr>
              <w:t>（4）是否因环境污染引发群体性事件，或者社会影响较大的：否口是口</w:t>
            </w:r>
          </w:p>
        </w:tc>
      </w:tr>
      <w:tr w14:paraId="78FA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522" w:type="dxa"/>
            <w:gridSpan w:val="12"/>
            <w:vAlign w:val="center"/>
          </w:tcPr>
          <w:p w14:paraId="33986E21">
            <w:pPr>
              <w:pStyle w:val="55"/>
              <w:ind w:firstLine="480"/>
              <w:rPr>
                <w:rFonts w:hint="eastAsia" w:ascii="仿宋" w:hAnsi="仿宋" w:eastAsia="仿宋" w:cs="仿宋"/>
                <w:color w:val="auto"/>
                <w:sz w:val="28"/>
                <w:szCs w:val="28"/>
              </w:rPr>
            </w:pPr>
            <w:r>
              <w:rPr>
                <w:rFonts w:hint="eastAsia" w:ascii="仿宋" w:hAnsi="仿宋" w:eastAsia="仿宋" w:cs="仿宋"/>
                <w:color w:val="auto"/>
                <w:sz w:val="28"/>
                <w:szCs w:val="28"/>
              </w:rPr>
              <w:t>（5）是否有可能产生跨市、跨省或者跨国影响的：否口是口</w:t>
            </w:r>
          </w:p>
        </w:tc>
      </w:tr>
      <w:tr w14:paraId="7976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522" w:type="dxa"/>
            <w:gridSpan w:val="12"/>
            <w:vAlign w:val="center"/>
          </w:tcPr>
          <w:p w14:paraId="59CBC497">
            <w:pPr>
              <w:pStyle w:val="55"/>
              <w:ind w:firstLine="480"/>
              <w:rPr>
                <w:rFonts w:hint="eastAsia" w:ascii="仿宋" w:hAnsi="仿宋" w:eastAsia="仿宋" w:cs="仿宋"/>
                <w:color w:val="auto"/>
                <w:sz w:val="28"/>
                <w:szCs w:val="28"/>
              </w:rPr>
            </w:pPr>
            <w:r>
              <w:rPr>
                <w:rFonts w:hint="eastAsia" w:ascii="仿宋" w:hAnsi="仿宋" w:eastAsia="仿宋" w:cs="仿宋"/>
                <w:color w:val="auto"/>
                <w:sz w:val="28"/>
                <w:szCs w:val="28"/>
              </w:rPr>
              <w:t>（6）其他情形：_______________</w:t>
            </w:r>
          </w:p>
        </w:tc>
      </w:tr>
      <w:tr w14:paraId="6F27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2784" w:type="dxa"/>
            <w:gridSpan w:val="3"/>
            <w:vAlign w:val="center"/>
          </w:tcPr>
          <w:p w14:paraId="2048DA0A">
            <w:pPr>
              <w:pStyle w:val="55"/>
              <w:ind w:firstLine="0" w:firstLineChars="0"/>
              <w:rPr>
                <w:rFonts w:hint="eastAsia" w:ascii="仿宋" w:hAnsi="仿宋" w:eastAsia="仿宋" w:cs="仿宋"/>
                <w:b/>
                <w:bCs/>
                <w:color w:val="auto"/>
              </w:rPr>
            </w:pPr>
            <w:r>
              <w:rPr>
                <w:rFonts w:hint="eastAsia" w:ascii="仿宋" w:hAnsi="仿宋" w:eastAsia="仿宋" w:cs="仿宋"/>
                <w:b/>
                <w:bCs/>
                <w:color w:val="auto"/>
                <w:sz w:val="28"/>
                <w:szCs w:val="28"/>
              </w:rPr>
              <w:t>3、信息报告情况</w:t>
            </w:r>
          </w:p>
        </w:tc>
        <w:tc>
          <w:tcPr>
            <w:tcW w:w="5738" w:type="dxa"/>
            <w:gridSpan w:val="9"/>
            <w:vAlign w:val="center"/>
          </w:tcPr>
          <w:p w14:paraId="0D3C7411">
            <w:pPr>
              <w:pStyle w:val="55"/>
              <w:ind w:firstLine="480"/>
              <w:rPr>
                <w:rFonts w:hint="eastAsia" w:ascii="仿宋" w:hAnsi="仿宋" w:eastAsia="仿宋" w:cs="仿宋"/>
                <w:color w:val="auto"/>
              </w:rPr>
            </w:pPr>
            <w:r>
              <w:rPr>
                <w:rFonts w:hint="eastAsia" w:ascii="仿宋" w:hAnsi="仿宋" w:eastAsia="仿宋" w:cs="仿宋"/>
                <w:color w:val="auto"/>
                <w:sz w:val="28"/>
                <w:szCs w:val="28"/>
              </w:rPr>
              <w:t>（何时向何部门报告）</w:t>
            </w:r>
          </w:p>
        </w:tc>
      </w:tr>
      <w:tr w14:paraId="5116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2784" w:type="dxa"/>
            <w:gridSpan w:val="3"/>
            <w:vAlign w:val="center"/>
          </w:tcPr>
          <w:p w14:paraId="7F8ADDDA">
            <w:pPr>
              <w:pStyle w:val="55"/>
              <w:ind w:firstLine="0" w:firstLineChars="0"/>
              <w:rPr>
                <w:rFonts w:hint="eastAsia" w:ascii="仿宋" w:hAnsi="仿宋" w:eastAsia="仿宋" w:cs="仿宋"/>
                <w:b/>
                <w:bCs/>
                <w:color w:val="auto"/>
              </w:rPr>
            </w:pPr>
            <w:r>
              <w:rPr>
                <w:rFonts w:hint="eastAsia" w:ascii="仿宋" w:hAnsi="仿宋" w:eastAsia="仿宋" w:cs="仿宋"/>
                <w:b/>
                <w:bCs/>
                <w:color w:val="auto"/>
                <w:sz w:val="28"/>
                <w:szCs w:val="28"/>
              </w:rPr>
              <w:t>4、监测情况</w:t>
            </w:r>
          </w:p>
        </w:tc>
        <w:tc>
          <w:tcPr>
            <w:tcW w:w="5738" w:type="dxa"/>
            <w:gridSpan w:val="9"/>
            <w:vAlign w:val="center"/>
          </w:tcPr>
          <w:p w14:paraId="69CA3E20">
            <w:pPr>
              <w:pStyle w:val="55"/>
              <w:ind w:firstLine="480"/>
              <w:rPr>
                <w:rFonts w:hint="eastAsia" w:ascii="仿宋" w:hAnsi="仿宋" w:eastAsia="仿宋" w:cs="仿宋"/>
                <w:color w:val="auto"/>
              </w:rPr>
            </w:pPr>
            <w:r>
              <w:rPr>
                <w:rFonts w:hint="eastAsia" w:ascii="仿宋" w:hAnsi="仿宋" w:eastAsia="仿宋" w:cs="仿宋"/>
                <w:color w:val="auto"/>
                <w:sz w:val="28"/>
                <w:szCs w:val="28"/>
              </w:rPr>
              <w:t>（何时，何地取样，监测结果）</w:t>
            </w:r>
          </w:p>
        </w:tc>
      </w:tr>
      <w:tr w14:paraId="4BED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2784" w:type="dxa"/>
            <w:gridSpan w:val="3"/>
            <w:vAlign w:val="center"/>
          </w:tcPr>
          <w:p w14:paraId="6E22A731">
            <w:pPr>
              <w:pStyle w:val="55"/>
              <w:ind w:firstLine="0" w:firstLineChars="0"/>
              <w:rPr>
                <w:rFonts w:hint="eastAsia" w:ascii="仿宋" w:hAnsi="仿宋" w:eastAsia="仿宋" w:cs="仿宋"/>
                <w:b/>
                <w:bCs/>
                <w:color w:val="auto"/>
                <w:sz w:val="28"/>
                <w:szCs w:val="28"/>
              </w:rPr>
            </w:pPr>
            <w:r>
              <w:rPr>
                <w:rFonts w:hint="eastAsia" w:ascii="仿宋" w:hAnsi="仿宋" w:eastAsia="仿宋" w:cs="仿宋"/>
                <w:b/>
                <w:bCs/>
                <w:color w:val="auto"/>
                <w:sz w:val="28"/>
                <w:szCs w:val="28"/>
              </w:rPr>
              <w:t>5、已采取的措施</w:t>
            </w:r>
          </w:p>
          <w:p w14:paraId="61FCB3E9">
            <w:pPr>
              <w:pStyle w:val="55"/>
              <w:ind w:firstLine="0" w:firstLineChars="0"/>
              <w:rPr>
                <w:rFonts w:hint="eastAsia" w:ascii="仿宋" w:hAnsi="仿宋" w:eastAsia="仿宋" w:cs="仿宋"/>
                <w:b/>
                <w:bCs/>
                <w:color w:val="auto"/>
              </w:rPr>
            </w:pPr>
            <w:r>
              <w:rPr>
                <w:rFonts w:hint="eastAsia" w:ascii="仿宋" w:hAnsi="仿宋" w:eastAsia="仿宋" w:cs="仿宋"/>
                <w:b/>
                <w:bCs/>
                <w:color w:val="auto"/>
                <w:sz w:val="28"/>
                <w:szCs w:val="28"/>
              </w:rPr>
              <w:t>及效果</w:t>
            </w:r>
          </w:p>
        </w:tc>
        <w:tc>
          <w:tcPr>
            <w:tcW w:w="5738" w:type="dxa"/>
            <w:gridSpan w:val="9"/>
            <w:vAlign w:val="center"/>
          </w:tcPr>
          <w:p w14:paraId="2764EFE5">
            <w:pPr>
              <w:pStyle w:val="55"/>
              <w:ind w:firstLine="480"/>
              <w:rPr>
                <w:rFonts w:hint="eastAsia" w:ascii="仿宋" w:hAnsi="仿宋" w:eastAsia="仿宋" w:cs="仿宋"/>
                <w:color w:val="auto"/>
              </w:rPr>
            </w:pPr>
          </w:p>
        </w:tc>
      </w:tr>
      <w:tr w14:paraId="0999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2784" w:type="dxa"/>
            <w:gridSpan w:val="3"/>
            <w:vAlign w:val="center"/>
          </w:tcPr>
          <w:p w14:paraId="10AC7C57">
            <w:pPr>
              <w:pStyle w:val="55"/>
              <w:ind w:firstLine="0" w:firstLineChars="0"/>
              <w:rPr>
                <w:rFonts w:hint="eastAsia" w:ascii="仿宋" w:hAnsi="仿宋" w:eastAsia="仿宋" w:cs="仿宋"/>
                <w:b/>
                <w:bCs/>
                <w:color w:val="auto"/>
              </w:rPr>
            </w:pPr>
            <w:r>
              <w:rPr>
                <w:rFonts w:hint="eastAsia" w:ascii="仿宋" w:hAnsi="仿宋" w:eastAsia="仿宋" w:cs="仿宋"/>
                <w:b/>
                <w:bCs/>
                <w:color w:val="auto"/>
                <w:sz w:val="28"/>
                <w:szCs w:val="28"/>
              </w:rPr>
              <w:t>6、下一步拟采取措施</w:t>
            </w:r>
          </w:p>
        </w:tc>
        <w:tc>
          <w:tcPr>
            <w:tcW w:w="5738" w:type="dxa"/>
            <w:gridSpan w:val="9"/>
            <w:vAlign w:val="center"/>
          </w:tcPr>
          <w:p w14:paraId="779366A3">
            <w:pPr>
              <w:pStyle w:val="55"/>
              <w:ind w:firstLine="480"/>
              <w:rPr>
                <w:rFonts w:hint="eastAsia" w:ascii="仿宋" w:hAnsi="仿宋" w:eastAsia="仿宋" w:cs="仿宋"/>
                <w:color w:val="auto"/>
              </w:rPr>
            </w:pPr>
          </w:p>
        </w:tc>
      </w:tr>
      <w:tr w14:paraId="5C99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17" w:type="dxa"/>
            <w:vAlign w:val="center"/>
          </w:tcPr>
          <w:p w14:paraId="5C6686F0">
            <w:pPr>
              <w:pStyle w:val="55"/>
              <w:ind w:firstLine="0" w:firstLineChars="0"/>
              <w:jc w:val="center"/>
              <w:rPr>
                <w:rFonts w:hint="eastAsia" w:ascii="仿宋" w:hAnsi="仿宋" w:eastAsia="仿宋" w:cs="仿宋"/>
                <w:color w:val="auto"/>
                <w:sz w:val="28"/>
                <w:szCs w:val="28"/>
              </w:rPr>
            </w:pPr>
            <w:r>
              <w:rPr>
                <w:rFonts w:hint="eastAsia" w:ascii="仿宋" w:hAnsi="仿宋" w:eastAsia="仿宋" w:cs="仿宋"/>
                <w:color w:val="auto"/>
                <w:sz w:val="28"/>
                <w:szCs w:val="28"/>
              </w:rPr>
              <w:t>被调查人</w:t>
            </w:r>
          </w:p>
        </w:tc>
        <w:tc>
          <w:tcPr>
            <w:tcW w:w="1367" w:type="dxa"/>
            <w:gridSpan w:val="2"/>
            <w:vAlign w:val="center"/>
          </w:tcPr>
          <w:p w14:paraId="476AC6B3">
            <w:pPr>
              <w:pStyle w:val="55"/>
              <w:ind w:firstLine="480"/>
              <w:jc w:val="center"/>
              <w:rPr>
                <w:rFonts w:hint="eastAsia" w:ascii="仿宋" w:hAnsi="仿宋" w:eastAsia="仿宋" w:cs="仿宋"/>
                <w:color w:val="auto"/>
                <w:sz w:val="28"/>
                <w:szCs w:val="28"/>
              </w:rPr>
            </w:pPr>
          </w:p>
        </w:tc>
        <w:tc>
          <w:tcPr>
            <w:tcW w:w="1066" w:type="dxa"/>
            <w:gridSpan w:val="2"/>
            <w:vAlign w:val="center"/>
          </w:tcPr>
          <w:p w14:paraId="0396BF8A">
            <w:pPr>
              <w:pStyle w:val="55"/>
              <w:ind w:firstLine="0" w:firstLineChars="0"/>
              <w:jc w:val="center"/>
              <w:rPr>
                <w:rFonts w:hint="eastAsia" w:ascii="仿宋" w:hAnsi="仿宋" w:eastAsia="仿宋" w:cs="仿宋"/>
                <w:color w:val="auto"/>
                <w:sz w:val="28"/>
                <w:szCs w:val="28"/>
              </w:rPr>
            </w:pPr>
            <w:r>
              <w:rPr>
                <w:rFonts w:hint="eastAsia" w:ascii="仿宋" w:hAnsi="仿宋" w:eastAsia="仿宋" w:cs="仿宋"/>
                <w:color w:val="auto"/>
                <w:sz w:val="28"/>
                <w:szCs w:val="28"/>
              </w:rPr>
              <w:t>职务</w:t>
            </w:r>
          </w:p>
        </w:tc>
        <w:tc>
          <w:tcPr>
            <w:tcW w:w="1405" w:type="dxa"/>
            <w:gridSpan w:val="3"/>
            <w:vAlign w:val="center"/>
          </w:tcPr>
          <w:p w14:paraId="5BAFBFAE">
            <w:pPr>
              <w:pStyle w:val="55"/>
              <w:ind w:firstLine="480"/>
              <w:jc w:val="center"/>
              <w:rPr>
                <w:rFonts w:hint="eastAsia" w:ascii="仿宋" w:hAnsi="仿宋" w:eastAsia="仿宋" w:cs="仿宋"/>
                <w:color w:val="auto"/>
                <w:sz w:val="28"/>
                <w:szCs w:val="28"/>
              </w:rPr>
            </w:pPr>
          </w:p>
        </w:tc>
        <w:tc>
          <w:tcPr>
            <w:tcW w:w="1459" w:type="dxa"/>
            <w:gridSpan w:val="3"/>
            <w:vAlign w:val="center"/>
          </w:tcPr>
          <w:p w14:paraId="38C5D8C0">
            <w:pPr>
              <w:pStyle w:val="55"/>
              <w:ind w:firstLine="0" w:firstLineChars="0"/>
              <w:jc w:val="center"/>
              <w:rPr>
                <w:rFonts w:hint="eastAsia" w:ascii="仿宋" w:hAnsi="仿宋" w:eastAsia="仿宋" w:cs="仿宋"/>
                <w:color w:val="auto"/>
                <w:sz w:val="28"/>
                <w:szCs w:val="28"/>
              </w:rPr>
            </w:pPr>
            <w:r>
              <w:rPr>
                <w:rFonts w:hint="eastAsia" w:ascii="仿宋" w:hAnsi="仿宋" w:eastAsia="仿宋" w:cs="仿宋"/>
                <w:color w:val="auto"/>
                <w:sz w:val="28"/>
                <w:szCs w:val="28"/>
              </w:rPr>
              <w:t>联系方式</w:t>
            </w:r>
          </w:p>
        </w:tc>
        <w:tc>
          <w:tcPr>
            <w:tcW w:w="1808" w:type="dxa"/>
            <w:vAlign w:val="center"/>
          </w:tcPr>
          <w:p w14:paraId="6AADCEE8">
            <w:pPr>
              <w:pStyle w:val="55"/>
              <w:ind w:firstLine="480"/>
              <w:jc w:val="center"/>
              <w:rPr>
                <w:rFonts w:hint="eastAsia" w:ascii="仿宋" w:hAnsi="仿宋" w:eastAsia="仿宋" w:cs="仿宋"/>
                <w:color w:val="auto"/>
                <w:sz w:val="28"/>
                <w:szCs w:val="28"/>
              </w:rPr>
            </w:pPr>
          </w:p>
        </w:tc>
      </w:tr>
      <w:tr w14:paraId="236F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417" w:type="dxa"/>
            <w:vAlign w:val="center"/>
          </w:tcPr>
          <w:p w14:paraId="67F633AB">
            <w:pPr>
              <w:pStyle w:val="55"/>
              <w:ind w:firstLine="0" w:firstLineChars="0"/>
              <w:jc w:val="center"/>
              <w:rPr>
                <w:rFonts w:hint="eastAsia" w:ascii="仿宋" w:hAnsi="仿宋" w:eastAsia="仿宋" w:cs="仿宋"/>
                <w:color w:val="auto"/>
                <w:sz w:val="28"/>
                <w:szCs w:val="28"/>
              </w:rPr>
            </w:pPr>
            <w:r>
              <w:rPr>
                <w:rFonts w:hint="eastAsia" w:ascii="仿宋" w:hAnsi="仿宋" w:eastAsia="仿宋" w:cs="仿宋"/>
                <w:color w:val="auto"/>
                <w:sz w:val="28"/>
                <w:szCs w:val="28"/>
              </w:rPr>
              <w:t>调查人</w:t>
            </w:r>
          </w:p>
        </w:tc>
        <w:tc>
          <w:tcPr>
            <w:tcW w:w="1367" w:type="dxa"/>
            <w:gridSpan w:val="2"/>
            <w:vAlign w:val="center"/>
          </w:tcPr>
          <w:p w14:paraId="36716103">
            <w:pPr>
              <w:pStyle w:val="55"/>
              <w:ind w:firstLine="480"/>
              <w:jc w:val="center"/>
              <w:rPr>
                <w:rFonts w:hint="eastAsia" w:ascii="仿宋" w:hAnsi="仿宋" w:eastAsia="仿宋" w:cs="仿宋"/>
                <w:color w:val="auto"/>
                <w:sz w:val="28"/>
                <w:szCs w:val="28"/>
              </w:rPr>
            </w:pPr>
          </w:p>
        </w:tc>
        <w:tc>
          <w:tcPr>
            <w:tcW w:w="1066" w:type="dxa"/>
            <w:gridSpan w:val="2"/>
            <w:vAlign w:val="center"/>
          </w:tcPr>
          <w:p w14:paraId="65CC4DA3">
            <w:pPr>
              <w:pStyle w:val="55"/>
              <w:ind w:firstLine="0" w:firstLineChars="0"/>
              <w:jc w:val="center"/>
              <w:rPr>
                <w:rFonts w:hint="eastAsia" w:ascii="仿宋" w:hAnsi="仿宋" w:eastAsia="仿宋" w:cs="仿宋"/>
                <w:color w:val="auto"/>
                <w:sz w:val="28"/>
                <w:szCs w:val="28"/>
              </w:rPr>
            </w:pPr>
            <w:r>
              <w:rPr>
                <w:rFonts w:hint="eastAsia" w:ascii="仿宋" w:hAnsi="仿宋" w:eastAsia="仿宋" w:cs="仿宋"/>
                <w:color w:val="auto"/>
                <w:sz w:val="28"/>
                <w:szCs w:val="28"/>
              </w:rPr>
              <w:t>单位</w:t>
            </w:r>
          </w:p>
        </w:tc>
        <w:tc>
          <w:tcPr>
            <w:tcW w:w="4672" w:type="dxa"/>
            <w:gridSpan w:val="7"/>
            <w:vAlign w:val="center"/>
          </w:tcPr>
          <w:p w14:paraId="4565FBE0">
            <w:pPr>
              <w:pStyle w:val="55"/>
              <w:ind w:firstLine="480"/>
              <w:jc w:val="center"/>
              <w:rPr>
                <w:rFonts w:hint="eastAsia" w:ascii="仿宋" w:hAnsi="仿宋" w:eastAsia="仿宋" w:cs="仿宋"/>
                <w:color w:val="auto"/>
                <w:sz w:val="28"/>
                <w:szCs w:val="28"/>
              </w:rPr>
            </w:pPr>
          </w:p>
        </w:tc>
      </w:tr>
    </w:tbl>
    <w:p w14:paraId="2B8D5182">
      <w:pPr>
        <w:pStyle w:val="27"/>
        <w:bidi w:val="0"/>
        <w:ind w:left="0" w:leftChars="0" w:firstLine="0" w:firstLineChars="0"/>
        <w:jc w:val="both"/>
        <w:rPr>
          <w:rFonts w:hint="eastAsia" w:ascii="仿宋" w:hAnsi="仿宋" w:eastAsia="仿宋" w:cs="仿宋"/>
          <w:b/>
          <w:bCs/>
          <w:color w:val="auto"/>
          <w:lang w:val="en-US" w:eastAsia="zh-CN"/>
        </w:rPr>
        <w:sectPr>
          <w:pgSz w:w="11906" w:h="16838"/>
          <w:pgMar w:top="1440" w:right="1800" w:bottom="1440" w:left="1800" w:header="1134"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4A84829">
      <w:pPr>
        <w:pStyle w:val="2"/>
        <w:keepNext w:val="0"/>
        <w:keepLines w:val="0"/>
        <w:pageBreakBefore w:val="0"/>
        <w:widowControl w:val="0"/>
        <w:kinsoku/>
        <w:wordWrap/>
        <w:overflowPunct/>
        <w:topLinePunct w:val="0"/>
        <w:autoSpaceDE w:val="0"/>
        <w:autoSpaceDN w:val="0"/>
        <w:bidi w:val="0"/>
        <w:adjustRightInd/>
        <w:snapToGrid/>
        <w:spacing w:line="460" w:lineRule="exact"/>
        <w:jc w:val="center"/>
        <w:textAlignment w:val="auto"/>
        <w:rPr>
          <w:rFonts w:hint="eastAsia" w:ascii="仿宋_GB2312" w:hAnsi="仿宋_GB2312" w:eastAsia="仿宋_GB2312" w:cs="仿宋_GB2312"/>
          <w:b/>
          <w:bCs/>
          <w:color w:val="auto"/>
          <w:sz w:val="32"/>
          <w:szCs w:val="32"/>
          <w:lang w:val="en-US" w:eastAsia="zh-CN" w:bidi="ar-SA"/>
        </w:rPr>
      </w:pPr>
      <w:r>
        <w:rPr>
          <w:rFonts w:hint="eastAsia" w:ascii="黑体" w:hAnsi="黑体" w:eastAsia="黑体" w:cs="黑体"/>
          <w:b w:val="0"/>
          <w:bCs w:val="0"/>
          <w:color w:val="auto"/>
          <w:sz w:val="32"/>
          <w:szCs w:val="32"/>
          <w:lang w:val="en-US" w:eastAsia="zh-CN" w:bidi="ar-SA"/>
        </w:rPr>
        <w:t>附件12</w:t>
      </w:r>
      <w:r>
        <w:rPr>
          <w:rFonts w:hint="eastAsia" w:ascii="仿宋_GB2312" w:hAnsi="仿宋_GB2312" w:eastAsia="仿宋_GB2312" w:cs="仿宋_GB2312"/>
          <w:b/>
          <w:bCs/>
          <w:color w:val="auto"/>
          <w:sz w:val="32"/>
          <w:szCs w:val="32"/>
          <w:lang w:val="en-US" w:eastAsia="zh-CN" w:bidi="ar-SA"/>
        </w:rPr>
        <w:t xml:space="preserve">  赤壁市集中式地表水饮用水水源地突发环境事件</w:t>
      </w:r>
    </w:p>
    <w:p w14:paraId="7C6AFB05">
      <w:pPr>
        <w:pStyle w:val="2"/>
        <w:keepNext w:val="0"/>
        <w:keepLines w:val="0"/>
        <w:pageBreakBefore w:val="0"/>
        <w:widowControl w:val="0"/>
        <w:kinsoku/>
        <w:wordWrap/>
        <w:overflowPunct/>
        <w:topLinePunct w:val="0"/>
        <w:autoSpaceDE w:val="0"/>
        <w:autoSpaceDN w:val="0"/>
        <w:bidi w:val="0"/>
        <w:adjustRightInd/>
        <w:snapToGrid/>
        <w:spacing w:line="460" w:lineRule="exact"/>
        <w:jc w:val="center"/>
        <w:textAlignment w:val="auto"/>
        <w:rPr>
          <w:rFonts w:hint="eastAsia"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信息报送内容</w:t>
      </w:r>
    </w:p>
    <w:p w14:paraId="483D0185">
      <w:pPr>
        <w:pStyle w:val="59"/>
        <w:spacing w:before="156" w:after="156"/>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赤壁市</w:t>
      </w:r>
      <w:r>
        <w:rPr>
          <w:rFonts w:hint="eastAsia" w:ascii="仿宋" w:hAnsi="仿宋" w:eastAsia="仿宋" w:cs="仿宋"/>
          <w:b/>
          <w:bCs/>
          <w:color w:val="auto"/>
          <w:sz w:val="24"/>
          <w:szCs w:val="24"/>
        </w:rPr>
        <w:t>集中式地表水饮用水水源地突发环境事件信息报送内容</w:t>
      </w:r>
    </w:p>
    <w:tbl>
      <w:tblPr>
        <w:tblStyle w:val="17"/>
        <w:tblW w:w="85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6444"/>
      </w:tblGrid>
      <w:tr w14:paraId="69B44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tblHeader/>
          <w:jc w:val="center"/>
        </w:trPr>
        <w:tc>
          <w:tcPr>
            <w:tcW w:w="2142" w:type="dxa"/>
            <w:tcBorders>
              <w:top w:val="single" w:color="auto" w:sz="12" w:space="0"/>
            </w:tcBorders>
            <w:vAlign w:val="center"/>
          </w:tcPr>
          <w:p w14:paraId="03EF88BD">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项目</w:t>
            </w:r>
          </w:p>
        </w:tc>
        <w:tc>
          <w:tcPr>
            <w:tcW w:w="6444" w:type="dxa"/>
            <w:tcBorders>
              <w:top w:val="single" w:color="auto" w:sz="12" w:space="0"/>
            </w:tcBorders>
            <w:vAlign w:val="center"/>
          </w:tcPr>
          <w:p w14:paraId="5BF75305">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内容</w:t>
            </w:r>
          </w:p>
        </w:tc>
      </w:tr>
      <w:tr w14:paraId="5B5B0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42" w:type="dxa"/>
            <w:vAlign w:val="center"/>
          </w:tcPr>
          <w:p w14:paraId="16B037BA">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现场信息</w:t>
            </w:r>
          </w:p>
        </w:tc>
        <w:tc>
          <w:tcPr>
            <w:tcW w:w="6444" w:type="dxa"/>
            <w:vAlign w:val="center"/>
          </w:tcPr>
          <w:p w14:paraId="1D4E06D7">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报告时间；现场联系人、报告人及联系方式。</w:t>
            </w:r>
          </w:p>
        </w:tc>
      </w:tr>
      <w:tr w14:paraId="3F037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42" w:type="dxa"/>
            <w:vAlign w:val="center"/>
          </w:tcPr>
          <w:p w14:paraId="7BA56E73">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事件基本信息</w:t>
            </w:r>
          </w:p>
        </w:tc>
        <w:tc>
          <w:tcPr>
            <w:tcW w:w="6444" w:type="dxa"/>
            <w:vAlign w:val="center"/>
          </w:tcPr>
          <w:p w14:paraId="68321AC6">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事件类型、发生地点、发生时间、污染源、泄漏数量、财产损失、人员伤亡、事故原因、事故进展。</w:t>
            </w:r>
          </w:p>
        </w:tc>
      </w:tr>
      <w:tr w14:paraId="1A896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42" w:type="dxa"/>
            <w:vAlign w:val="center"/>
          </w:tcPr>
          <w:p w14:paraId="08B7ABB3">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现场勘察情况</w:t>
            </w:r>
          </w:p>
        </w:tc>
        <w:tc>
          <w:tcPr>
            <w:tcW w:w="6444" w:type="dxa"/>
            <w:vAlign w:val="center"/>
          </w:tcPr>
          <w:p w14:paraId="3A94DAAB">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1.饮用水源地状况：分布情况（离事发地距离）、供水范围（每日供水量、影响人口量）；</w:t>
            </w:r>
          </w:p>
          <w:p w14:paraId="6E7F3760">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2.周边是否有居民点：离事发地距离；</w:t>
            </w:r>
          </w:p>
          <w:p w14:paraId="2B9BB87B">
            <w:pPr>
              <w:pStyle w:val="6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3.水文、气象条件：流速、风速。</w:t>
            </w:r>
          </w:p>
        </w:tc>
      </w:tr>
      <w:tr w14:paraId="226FD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42" w:type="dxa"/>
            <w:vAlign w:val="center"/>
          </w:tcPr>
          <w:p w14:paraId="3B5F17BD">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现场监测情况</w:t>
            </w:r>
          </w:p>
        </w:tc>
        <w:tc>
          <w:tcPr>
            <w:tcW w:w="6444" w:type="dxa"/>
            <w:vAlign w:val="center"/>
          </w:tcPr>
          <w:p w14:paraId="2EAAFF1F">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监测报告、监测点位图（关键点位离事发地及敏感区域距离）</w:t>
            </w:r>
          </w:p>
        </w:tc>
      </w:tr>
      <w:tr w14:paraId="3AE0A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42" w:type="dxa"/>
            <w:tcBorders>
              <w:bottom w:val="single" w:color="auto" w:sz="12" w:space="0"/>
            </w:tcBorders>
            <w:vAlign w:val="center"/>
          </w:tcPr>
          <w:p w14:paraId="151052F3">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应急处置措施</w:t>
            </w:r>
          </w:p>
        </w:tc>
        <w:tc>
          <w:tcPr>
            <w:tcW w:w="6444" w:type="dxa"/>
            <w:tcBorders>
              <w:bottom w:val="single" w:color="auto" w:sz="12" w:space="0"/>
            </w:tcBorders>
            <w:vAlign w:val="center"/>
          </w:tcPr>
          <w:p w14:paraId="41C09CA0">
            <w:pPr>
              <w:pStyle w:val="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政府和生态环境部门采取的措施</w:t>
            </w:r>
          </w:p>
        </w:tc>
      </w:tr>
    </w:tbl>
    <w:p w14:paraId="36BDD0D3">
      <w:pPr>
        <w:rPr>
          <w:rFonts w:hint="eastAsia"/>
          <w:color w:val="auto"/>
          <w:lang w:eastAsia="zh-CN"/>
        </w:rPr>
      </w:pPr>
    </w:p>
    <w:p w14:paraId="3E9E3D6F">
      <w:pPr>
        <w:pStyle w:val="27"/>
        <w:bidi w:val="0"/>
        <w:ind w:left="0" w:leftChars="0" w:firstLine="0" w:firstLineChars="0"/>
        <w:jc w:val="both"/>
        <w:rPr>
          <w:rFonts w:hint="default" w:ascii="Times New Roman" w:hAnsi="Times New Roman" w:eastAsia="宋体" w:cs="Times New Roman"/>
          <w:b/>
          <w:bCs/>
          <w:color w:val="auto"/>
          <w:lang w:val="en-US" w:eastAsia="zh-CN"/>
        </w:rPr>
        <w:sectPr>
          <w:pgSz w:w="11906" w:h="16838"/>
          <w:pgMar w:top="1440" w:right="1800" w:bottom="1440" w:left="1800" w:header="1134"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134ED8E3">
      <w:pPr>
        <w:pStyle w:val="2"/>
        <w:keepNext w:val="0"/>
        <w:keepLines w:val="0"/>
        <w:pageBreakBefore w:val="0"/>
        <w:widowControl w:val="0"/>
        <w:kinsoku/>
        <w:wordWrap/>
        <w:overflowPunct/>
        <w:topLinePunct w:val="0"/>
        <w:autoSpaceDE w:val="0"/>
        <w:autoSpaceDN w:val="0"/>
        <w:bidi w:val="0"/>
        <w:adjustRightInd/>
        <w:snapToGrid/>
        <w:spacing w:line="460" w:lineRule="exact"/>
        <w:jc w:val="center"/>
        <w:textAlignment w:val="auto"/>
        <w:rPr>
          <w:rFonts w:hint="eastAsia" w:ascii="仿宋_GB2312" w:hAnsi="仿宋_GB2312" w:eastAsia="仿宋_GB2312" w:cs="仿宋_GB2312"/>
          <w:b/>
          <w:bCs/>
          <w:color w:val="auto"/>
          <w:sz w:val="32"/>
          <w:szCs w:val="32"/>
          <w:lang w:val="en-US" w:eastAsia="zh-CN" w:bidi="ar-SA"/>
        </w:rPr>
      </w:pPr>
      <w:r>
        <w:rPr>
          <w:rFonts w:hint="eastAsia" w:ascii="黑体" w:hAnsi="黑体" w:eastAsia="黑体" w:cs="黑体"/>
          <w:b w:val="0"/>
          <w:bCs w:val="0"/>
          <w:color w:val="auto"/>
          <w:sz w:val="32"/>
          <w:szCs w:val="32"/>
          <w:lang w:val="en-US" w:eastAsia="zh-CN" w:bidi="ar-SA"/>
        </w:rPr>
        <w:t>附件13</w:t>
      </w:r>
      <w:r>
        <w:rPr>
          <w:rFonts w:hint="eastAsia" w:ascii="仿宋_GB2312" w:hAnsi="仿宋_GB2312" w:eastAsia="仿宋_GB2312" w:cs="仿宋_GB2312"/>
          <w:b/>
          <w:bCs/>
          <w:color w:val="auto"/>
          <w:sz w:val="32"/>
          <w:szCs w:val="32"/>
          <w:lang w:val="en-US" w:eastAsia="zh-CN" w:bidi="ar-SA"/>
        </w:rPr>
        <w:t xml:space="preserve">  赤壁市集中式地表水饮用水水源地突发环境事件</w:t>
      </w:r>
    </w:p>
    <w:p w14:paraId="7A2F91C9">
      <w:pPr>
        <w:pStyle w:val="2"/>
        <w:keepNext w:val="0"/>
        <w:keepLines w:val="0"/>
        <w:pageBreakBefore w:val="0"/>
        <w:widowControl w:val="0"/>
        <w:kinsoku/>
        <w:wordWrap/>
        <w:overflowPunct/>
        <w:topLinePunct w:val="0"/>
        <w:autoSpaceDE w:val="0"/>
        <w:autoSpaceDN w:val="0"/>
        <w:bidi w:val="0"/>
        <w:adjustRightInd/>
        <w:snapToGrid/>
        <w:spacing w:line="460" w:lineRule="exact"/>
        <w:jc w:val="center"/>
        <w:textAlignment w:val="auto"/>
        <w:rPr>
          <w:rFonts w:hint="eastAsia"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启动令和终止令宣布格式</w:t>
      </w:r>
    </w:p>
    <w:p w14:paraId="5FBF4BF9">
      <w:pPr>
        <w:pStyle w:val="2"/>
        <w:keepNext w:val="0"/>
        <w:keepLines w:val="0"/>
        <w:pageBreakBefore w:val="0"/>
        <w:widowControl w:val="0"/>
        <w:kinsoku/>
        <w:wordWrap/>
        <w:overflowPunct/>
        <w:topLinePunct w:val="0"/>
        <w:autoSpaceDE w:val="0"/>
        <w:autoSpaceDN w:val="0"/>
        <w:bidi w:val="0"/>
        <w:adjustRightInd/>
        <w:snapToGrid/>
        <w:spacing w:line="460" w:lineRule="exact"/>
        <w:jc w:val="center"/>
        <w:textAlignment w:val="auto"/>
        <w:rPr>
          <w:rFonts w:hint="eastAsia" w:ascii="仿宋_GB2312" w:hAnsi="仿宋_GB2312" w:eastAsia="仿宋_GB2312" w:cs="仿宋_GB2312"/>
          <w:b/>
          <w:bCs/>
          <w:color w:val="auto"/>
          <w:sz w:val="32"/>
          <w:szCs w:val="32"/>
          <w:lang w:val="en-US" w:eastAsia="zh-CN" w:bidi="ar-SA"/>
        </w:rPr>
      </w:pPr>
    </w:p>
    <w:p w14:paraId="1028C2EB">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eastAsia" w:ascii="黑体" w:hAnsi="黑体" w:eastAsia="黑体" w:cs="黑体"/>
          <w:color w:val="auto"/>
          <w:sz w:val="28"/>
          <w:szCs w:val="28"/>
          <w:lang w:val="en-GB" w:eastAsia="zh-CN" w:bidi="zh-CN"/>
        </w:rPr>
      </w:pPr>
      <w:r>
        <w:rPr>
          <w:rFonts w:hint="eastAsia" w:ascii="黑体" w:hAnsi="黑体" w:eastAsia="黑体" w:cs="黑体"/>
          <w:color w:val="auto"/>
          <w:sz w:val="28"/>
          <w:szCs w:val="28"/>
          <w:lang w:val="en-GB" w:eastAsia="zh-CN" w:bidi="zh-CN"/>
        </w:rPr>
        <w:t>赤壁市集中式地表水饮用水水源地突发环境事件</w:t>
      </w:r>
    </w:p>
    <w:p w14:paraId="18A4BF61">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eastAsia" w:ascii="黑体" w:hAnsi="黑体" w:eastAsia="黑体" w:cs="黑体"/>
          <w:color w:val="auto"/>
          <w:sz w:val="28"/>
          <w:szCs w:val="28"/>
          <w:lang w:val="en-GB" w:eastAsia="zh-CN" w:bidi="zh-CN"/>
        </w:rPr>
      </w:pPr>
      <w:r>
        <w:rPr>
          <w:rFonts w:hint="eastAsia" w:ascii="黑体" w:hAnsi="黑体" w:eastAsia="黑体" w:cs="黑体"/>
          <w:color w:val="auto"/>
          <w:sz w:val="28"/>
          <w:szCs w:val="28"/>
          <w:lang w:val="en-GB" w:eastAsia="zh-CN" w:bidi="zh-CN"/>
        </w:rPr>
        <w:t>启动令格式内容</w:t>
      </w:r>
    </w:p>
    <w:p w14:paraId="2F59DA86">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560" w:firstLineChars="200"/>
        <w:jc w:val="left"/>
        <w:textAlignment w:val="auto"/>
        <w:outlineLvl w:val="9"/>
        <w:rPr>
          <w:rFonts w:hint="eastAsia" w:ascii="仿宋" w:hAnsi="仿宋" w:eastAsia="仿宋" w:cs="仿宋"/>
          <w:color w:val="auto"/>
          <w:sz w:val="28"/>
          <w:szCs w:val="28"/>
          <w:lang w:val="en-GB" w:eastAsia="zh-CN" w:bidi="zh-CN"/>
        </w:rPr>
      </w:pPr>
      <w:r>
        <w:rPr>
          <w:rFonts w:hint="eastAsia" w:ascii="仿宋" w:hAnsi="仿宋" w:eastAsia="仿宋" w:cs="仿宋"/>
          <w:color w:val="auto"/>
          <w:sz w:val="28"/>
          <w:szCs w:val="28"/>
          <w:lang w:val="en-GB" w:eastAsia="zh-CN" w:bidi="zh-CN"/>
        </w:rPr>
        <w:t>鉴于陆水水库水源地保护区发生突发环保事件，根据应急预案的设立的启动条件，应立即启动级应急响应，按集中式地表水饮用水水源地突发环境事件应急预案施行。</w:t>
      </w:r>
    </w:p>
    <w:p w14:paraId="5C3B1ED2">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eastAsia" w:ascii="仿宋" w:hAnsi="仿宋" w:eastAsia="仿宋" w:cs="仿宋"/>
          <w:color w:val="auto"/>
          <w:sz w:val="28"/>
          <w:szCs w:val="28"/>
          <w:lang w:val="en-GB" w:eastAsia="zh-CN" w:bidi="zh-CN"/>
        </w:rPr>
      </w:pPr>
    </w:p>
    <w:p w14:paraId="6C5AB267">
      <w:pPr>
        <w:pStyle w:val="27"/>
        <w:bidi w:val="0"/>
        <w:ind w:left="0" w:leftChars="0" w:firstLine="0" w:firstLineChars="0"/>
        <w:jc w:val="center"/>
        <w:rPr>
          <w:rFonts w:hint="eastAsia" w:ascii="仿宋" w:hAnsi="仿宋" w:eastAsia="仿宋" w:cs="仿宋"/>
          <w:b w:val="0"/>
          <w:bCs w:val="0"/>
          <w:color w:val="auto"/>
          <w:lang w:val="en-US" w:eastAsia="zh-CN"/>
        </w:rPr>
      </w:pPr>
      <w:r>
        <w:rPr>
          <w:rFonts w:hint="eastAsia" w:ascii="仿宋" w:hAnsi="仿宋" w:eastAsia="仿宋" w:cs="仿宋"/>
          <w:b w:val="0"/>
          <w:bCs w:val="0"/>
          <w:color w:val="auto"/>
          <w:lang w:val="en-US" w:eastAsia="zh-CN"/>
        </w:rPr>
        <w:t xml:space="preserve">                赤壁市人民政府</w:t>
      </w:r>
    </w:p>
    <w:p w14:paraId="7E4EAD8E">
      <w:pPr>
        <w:pStyle w:val="27"/>
        <w:bidi w:val="0"/>
        <w:ind w:left="0" w:leftChars="0" w:firstLine="0" w:firstLineChars="0"/>
        <w:jc w:val="center"/>
        <w:rPr>
          <w:rFonts w:hint="eastAsia" w:ascii="仿宋" w:hAnsi="仿宋" w:eastAsia="仿宋" w:cs="仿宋"/>
          <w:b w:val="0"/>
          <w:bCs w:val="0"/>
          <w:color w:val="auto"/>
          <w:lang w:val="en-US" w:eastAsia="zh-CN"/>
        </w:rPr>
      </w:pPr>
      <w:r>
        <w:rPr>
          <w:rFonts w:hint="eastAsia" w:ascii="仿宋" w:hAnsi="仿宋" w:eastAsia="仿宋" w:cs="仿宋"/>
          <w:b w:val="0"/>
          <w:bCs w:val="0"/>
          <w:color w:val="auto"/>
          <w:lang w:val="en-US" w:eastAsia="zh-CN"/>
        </w:rPr>
        <w:t xml:space="preserve">              年  月  日</w:t>
      </w:r>
    </w:p>
    <w:p w14:paraId="3B85B57A">
      <w:pPr>
        <w:rPr>
          <w:rFonts w:hint="eastAsia" w:ascii="仿宋" w:hAnsi="仿宋" w:eastAsia="仿宋" w:cs="仿宋"/>
          <w:color w:val="auto"/>
        </w:rPr>
      </w:pPr>
    </w:p>
    <w:p w14:paraId="73696285">
      <w:pPr>
        <w:rPr>
          <w:rFonts w:hint="eastAsia" w:ascii="仿宋" w:hAnsi="仿宋" w:eastAsia="仿宋" w:cs="仿宋"/>
          <w:color w:val="auto"/>
          <w:sz w:val="32"/>
          <w:szCs w:val="32"/>
          <w:lang w:eastAsia="zh-CN"/>
        </w:rPr>
      </w:pPr>
    </w:p>
    <w:p w14:paraId="770A908C">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eastAsia" w:ascii="仿宋" w:hAnsi="仿宋" w:eastAsia="仿宋" w:cs="仿宋"/>
          <w:color w:val="auto"/>
          <w:sz w:val="28"/>
          <w:szCs w:val="28"/>
          <w:lang w:val="en-GB" w:eastAsia="zh-CN" w:bidi="zh-CN"/>
        </w:rPr>
      </w:pPr>
      <w:bookmarkStart w:id="290" w:name="_Toc27224"/>
    </w:p>
    <w:p w14:paraId="0BE3AA62">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eastAsia" w:ascii="黑体" w:hAnsi="黑体" w:eastAsia="黑体" w:cs="黑体"/>
          <w:color w:val="auto"/>
          <w:sz w:val="28"/>
          <w:szCs w:val="28"/>
          <w:lang w:val="en-GB" w:eastAsia="zh-CN" w:bidi="zh-CN"/>
        </w:rPr>
      </w:pPr>
      <w:r>
        <w:rPr>
          <w:rFonts w:hint="eastAsia" w:ascii="黑体" w:hAnsi="黑体" w:eastAsia="黑体" w:cs="黑体"/>
          <w:color w:val="auto"/>
          <w:sz w:val="28"/>
          <w:szCs w:val="28"/>
          <w:lang w:val="en-GB" w:eastAsia="zh-CN" w:bidi="zh-CN"/>
        </w:rPr>
        <w:t>赤壁市集中式地表水饮用水水源地突发环境事件</w:t>
      </w:r>
      <w:bookmarkEnd w:id="290"/>
    </w:p>
    <w:p w14:paraId="629B7EC7">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eastAsia" w:ascii="黑体" w:hAnsi="黑体" w:eastAsia="黑体" w:cs="黑体"/>
          <w:color w:val="auto"/>
          <w:sz w:val="28"/>
          <w:szCs w:val="28"/>
          <w:lang w:val="en-GB" w:eastAsia="zh-CN" w:bidi="zh-CN"/>
        </w:rPr>
      </w:pPr>
      <w:bookmarkStart w:id="291" w:name="_Toc9191"/>
      <w:r>
        <w:rPr>
          <w:rFonts w:hint="eastAsia" w:ascii="黑体" w:hAnsi="黑体" w:eastAsia="黑体" w:cs="黑体"/>
          <w:color w:val="auto"/>
          <w:sz w:val="28"/>
          <w:szCs w:val="28"/>
          <w:lang w:val="en-GB" w:eastAsia="zh-CN" w:bidi="zh-CN"/>
        </w:rPr>
        <w:t>终止令格式内容</w:t>
      </w:r>
      <w:bookmarkEnd w:id="291"/>
    </w:p>
    <w:p w14:paraId="7550294F">
      <w:pPr>
        <w:pStyle w:val="55"/>
        <w:ind w:firstLine="480"/>
        <w:rPr>
          <w:rFonts w:hint="eastAsia" w:ascii="仿宋" w:hAnsi="仿宋" w:eastAsia="仿宋" w:cs="仿宋"/>
          <w:color w:val="auto"/>
          <w:sz w:val="28"/>
          <w:szCs w:val="28"/>
        </w:rPr>
      </w:pPr>
      <w:r>
        <w:rPr>
          <w:rFonts w:hint="eastAsia" w:ascii="仿宋" w:hAnsi="仿宋" w:eastAsia="仿宋" w:cs="仿宋"/>
          <w:color w:val="auto"/>
          <w:sz w:val="28"/>
          <w:szCs w:val="28"/>
        </w:rPr>
        <w:t>经过</w:t>
      </w:r>
      <w:r>
        <w:rPr>
          <w:rFonts w:hint="eastAsia" w:ascii="仿宋" w:hAnsi="仿宋" w:eastAsia="仿宋" w:cs="仿宋"/>
          <w:color w:val="auto"/>
          <w:sz w:val="28"/>
          <w:szCs w:val="28"/>
          <w:lang w:eastAsia="zh-CN"/>
        </w:rPr>
        <w:t>赤壁市</w:t>
      </w:r>
      <w:r>
        <w:rPr>
          <w:rFonts w:hint="eastAsia" w:ascii="仿宋" w:hAnsi="仿宋" w:eastAsia="仿宋" w:cs="仿宋"/>
          <w:color w:val="auto"/>
          <w:sz w:val="28"/>
          <w:szCs w:val="28"/>
        </w:rPr>
        <w:t>人民政府和_____________专业（部门）的及时处理处置，发生在</w:t>
      </w:r>
      <w:r>
        <w:rPr>
          <w:rFonts w:hint="eastAsia" w:ascii="仿宋" w:hAnsi="仿宋" w:eastAsia="仿宋" w:cs="仿宋"/>
          <w:color w:val="auto"/>
          <w:sz w:val="28"/>
          <w:szCs w:val="28"/>
          <w:u w:val="single"/>
        </w:rPr>
        <w:t xml:space="preserve">_  </w:t>
      </w:r>
      <w:r>
        <w:rPr>
          <w:rFonts w:hint="eastAsia" w:ascii="仿宋" w:hAnsi="仿宋" w:eastAsia="仿宋" w:cs="仿宋"/>
          <w:color w:val="auto"/>
          <w:sz w:val="28"/>
          <w:szCs w:val="28"/>
        </w:rPr>
        <w:t>月___日的_________________________________（地方）</w:t>
      </w:r>
      <w:r>
        <w:rPr>
          <w:rFonts w:hint="eastAsia" w:ascii="仿宋" w:hAnsi="仿宋" w:eastAsia="仿宋" w:cs="仿宋"/>
          <w:vanish/>
          <w:color w:val="auto"/>
          <w:sz w:val="28"/>
          <w:szCs w:val="28"/>
        </w:rPr>
        <w:t>饮用水水源地突发环境事件</w:t>
      </w:r>
      <w:r>
        <w:rPr>
          <w:rFonts w:hint="eastAsia" w:ascii="仿宋" w:hAnsi="仿宋" w:eastAsia="仿宋" w:cs="仿宋"/>
          <w:color w:val="auto"/>
          <w:sz w:val="28"/>
          <w:szCs w:val="28"/>
        </w:rPr>
        <w:t>救援工作基本结束，现场基本恢复，现场应急指挥部撤销，相关部门认真做好善后恢复工作。</w:t>
      </w:r>
    </w:p>
    <w:p w14:paraId="490AF120">
      <w:pPr>
        <w:pStyle w:val="27"/>
        <w:bidi w:val="0"/>
        <w:ind w:left="0" w:leftChars="0" w:firstLine="0" w:firstLineChars="0"/>
        <w:jc w:val="center"/>
        <w:rPr>
          <w:rFonts w:hint="eastAsia" w:ascii="仿宋" w:hAnsi="仿宋" w:eastAsia="仿宋" w:cs="仿宋"/>
          <w:b w:val="0"/>
          <w:bCs w:val="0"/>
          <w:color w:val="auto"/>
          <w:lang w:val="en-US" w:eastAsia="zh-CN"/>
        </w:rPr>
      </w:pPr>
      <w:r>
        <w:rPr>
          <w:rFonts w:hint="eastAsia" w:ascii="仿宋" w:hAnsi="仿宋" w:eastAsia="仿宋" w:cs="仿宋"/>
          <w:b w:val="0"/>
          <w:bCs w:val="0"/>
          <w:color w:val="auto"/>
          <w:lang w:val="en-US" w:eastAsia="zh-CN"/>
        </w:rPr>
        <w:t xml:space="preserve">            </w:t>
      </w:r>
    </w:p>
    <w:p w14:paraId="59A4F46C">
      <w:pPr>
        <w:pStyle w:val="27"/>
        <w:bidi w:val="0"/>
        <w:ind w:left="0" w:leftChars="0" w:firstLine="0" w:firstLineChars="0"/>
        <w:jc w:val="center"/>
        <w:rPr>
          <w:rFonts w:hint="eastAsia" w:ascii="仿宋" w:hAnsi="仿宋" w:eastAsia="仿宋" w:cs="仿宋"/>
          <w:b w:val="0"/>
          <w:bCs w:val="0"/>
          <w:color w:val="auto"/>
          <w:lang w:val="en-US" w:eastAsia="zh-CN"/>
        </w:rPr>
      </w:pPr>
      <w:r>
        <w:rPr>
          <w:rFonts w:hint="eastAsia" w:ascii="仿宋" w:hAnsi="仿宋" w:eastAsia="仿宋" w:cs="仿宋"/>
          <w:b w:val="0"/>
          <w:bCs w:val="0"/>
          <w:color w:val="auto"/>
          <w:lang w:val="en-US" w:eastAsia="zh-CN"/>
        </w:rPr>
        <w:t xml:space="preserve">                 赤壁市人民政府</w:t>
      </w:r>
    </w:p>
    <w:p w14:paraId="169B5698">
      <w:pPr>
        <w:pStyle w:val="2"/>
        <w:jc w:val="center"/>
        <w:rPr>
          <w:rFonts w:hint="eastAsia" w:ascii="仿宋" w:hAnsi="仿宋" w:eastAsia="仿宋" w:cs="仿宋"/>
          <w:b w:val="0"/>
          <w:bCs w:val="0"/>
          <w:color w:val="auto"/>
          <w:lang w:val="en-US" w:eastAsia="zh-CN"/>
        </w:rPr>
      </w:pPr>
      <w:r>
        <w:rPr>
          <w:rFonts w:hint="eastAsia" w:ascii="仿宋" w:hAnsi="仿宋" w:eastAsia="仿宋" w:cs="仿宋"/>
          <w:b w:val="0"/>
          <w:bCs w:val="0"/>
          <w:color w:val="auto"/>
          <w:lang w:val="en-US" w:eastAsia="zh-CN"/>
        </w:rPr>
        <w:t xml:space="preserve">                年  月  日</w:t>
      </w:r>
    </w:p>
    <w:p w14:paraId="4CBA72A3">
      <w:pPr>
        <w:rPr>
          <w:rFonts w:hint="eastAsia" w:ascii="仿宋" w:hAnsi="仿宋" w:eastAsia="仿宋" w:cs="仿宋"/>
          <w:b w:val="0"/>
          <w:bCs w:val="0"/>
          <w:color w:val="auto"/>
          <w:lang w:val="en-US" w:eastAsia="zh-CN"/>
        </w:rPr>
      </w:pPr>
      <w:r>
        <w:rPr>
          <w:rFonts w:hint="eastAsia" w:ascii="仿宋" w:hAnsi="仿宋" w:eastAsia="仿宋" w:cs="仿宋"/>
          <w:b w:val="0"/>
          <w:bCs w:val="0"/>
          <w:color w:val="auto"/>
          <w:lang w:val="en-US" w:eastAsia="zh-CN"/>
        </w:rPr>
        <w:br w:type="page"/>
      </w:r>
    </w:p>
    <w:p w14:paraId="38E87FEA">
      <w:pPr>
        <w:pStyle w:val="2"/>
        <w:jc w:val="center"/>
        <w:rPr>
          <w:rFonts w:hint="default" w:ascii="仿宋_GB2312" w:hAnsi="仿宋_GB2312" w:eastAsia="仿宋_GB2312" w:cs="仿宋_GB2312"/>
          <w:b/>
          <w:bCs/>
          <w:color w:val="auto"/>
          <w:sz w:val="32"/>
          <w:szCs w:val="32"/>
          <w:lang w:val="en-US" w:eastAsia="zh-CN" w:bidi="ar-SA"/>
        </w:rPr>
      </w:pPr>
      <w:bookmarkStart w:id="292" w:name="_Toc7619"/>
      <w:bookmarkStart w:id="293" w:name="_Toc25283"/>
      <w:bookmarkStart w:id="294" w:name="_Toc9976"/>
      <w:bookmarkStart w:id="295" w:name="_Toc4166"/>
      <w:bookmarkStart w:id="296" w:name="_Toc17349"/>
      <w:bookmarkStart w:id="297" w:name="_Toc13524"/>
      <w:r>
        <w:rPr>
          <w:rFonts w:hint="default" w:ascii="黑体" w:hAnsi="黑体" w:eastAsia="黑体" w:cs="黑体"/>
          <w:b w:val="0"/>
          <w:bCs w:val="0"/>
          <w:color w:val="auto"/>
          <w:sz w:val="32"/>
          <w:szCs w:val="32"/>
          <w:lang w:val="en-US" w:eastAsia="zh-CN" w:bidi="ar-SA"/>
        </w:rPr>
        <w:t>附件</w:t>
      </w:r>
      <w:r>
        <w:rPr>
          <w:rFonts w:hint="eastAsia" w:ascii="黑体" w:hAnsi="黑体" w:eastAsia="黑体" w:cs="黑体"/>
          <w:b w:val="0"/>
          <w:bCs w:val="0"/>
          <w:color w:val="auto"/>
          <w:sz w:val="32"/>
          <w:szCs w:val="32"/>
          <w:lang w:val="en-US" w:eastAsia="zh-CN" w:bidi="ar-SA"/>
        </w:rPr>
        <w:t>14</w:t>
      </w:r>
      <w:r>
        <w:rPr>
          <w:rFonts w:hint="eastAsia" w:ascii="仿宋_GB2312" w:hAnsi="仿宋_GB2312" w:eastAsia="仿宋_GB2312" w:cs="仿宋_GB2312"/>
          <w:b/>
          <w:bCs/>
          <w:color w:val="auto"/>
          <w:sz w:val="32"/>
          <w:szCs w:val="32"/>
          <w:lang w:val="en-US" w:eastAsia="zh-CN" w:bidi="ar-SA"/>
        </w:rPr>
        <w:t xml:space="preserve">  应急预案</w:t>
      </w:r>
      <w:r>
        <w:rPr>
          <w:rFonts w:hint="default" w:ascii="仿宋_GB2312" w:hAnsi="仿宋_GB2312" w:eastAsia="仿宋_GB2312" w:cs="仿宋_GB2312"/>
          <w:b/>
          <w:bCs/>
          <w:color w:val="auto"/>
          <w:sz w:val="32"/>
          <w:szCs w:val="32"/>
          <w:lang w:val="en-US" w:eastAsia="zh-CN" w:bidi="ar-SA"/>
        </w:rPr>
        <w:t>演习记录表</w:t>
      </w:r>
      <w:bookmarkEnd w:id="292"/>
      <w:bookmarkEnd w:id="293"/>
      <w:bookmarkEnd w:id="294"/>
      <w:bookmarkEnd w:id="295"/>
      <w:bookmarkEnd w:id="296"/>
      <w:bookmarkEnd w:id="297"/>
    </w:p>
    <w:p w14:paraId="1DC0CA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color w:val="auto"/>
          <w:sz w:val="28"/>
          <w:szCs w:val="28"/>
        </w:rPr>
      </w:pPr>
    </w:p>
    <w:p w14:paraId="2B5D0E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color w:val="auto"/>
          <w:sz w:val="28"/>
          <w:szCs w:val="28"/>
        </w:rPr>
      </w:pPr>
      <w:r>
        <w:rPr>
          <w:rFonts w:hint="eastAsia" w:ascii="黑体" w:hAnsi="黑体" w:eastAsia="黑体" w:cs="黑体"/>
          <w:b/>
          <w:color w:val="auto"/>
          <w:sz w:val="28"/>
          <w:szCs w:val="28"/>
        </w:rPr>
        <w:t>演习记录表</w:t>
      </w:r>
    </w:p>
    <w:p w14:paraId="348C4025">
      <w:pPr>
        <w:pStyle w:val="2"/>
        <w:rPr>
          <w:rFonts w:hint="eastAsia"/>
        </w:rPr>
      </w:pPr>
    </w:p>
    <w:tbl>
      <w:tblPr>
        <w:tblStyle w:val="17"/>
        <w:tblW w:w="845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2"/>
        <w:gridCol w:w="690"/>
        <w:gridCol w:w="2433"/>
        <w:gridCol w:w="1209"/>
        <w:gridCol w:w="1208"/>
        <w:gridCol w:w="1209"/>
        <w:gridCol w:w="1208"/>
      </w:tblGrid>
      <w:tr w14:paraId="0C76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1192" w:type="dxa"/>
            <w:gridSpan w:val="2"/>
            <w:vAlign w:val="center"/>
          </w:tcPr>
          <w:p w14:paraId="77C36B2B">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预案名称</w:t>
            </w:r>
          </w:p>
        </w:tc>
        <w:tc>
          <w:tcPr>
            <w:tcW w:w="4850" w:type="dxa"/>
            <w:gridSpan w:val="3"/>
            <w:vAlign w:val="center"/>
          </w:tcPr>
          <w:p w14:paraId="7F03F883">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c>
          <w:tcPr>
            <w:tcW w:w="1209" w:type="dxa"/>
            <w:vAlign w:val="center"/>
          </w:tcPr>
          <w:p w14:paraId="6AC3EAD8">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演练地点</w:t>
            </w:r>
          </w:p>
        </w:tc>
        <w:tc>
          <w:tcPr>
            <w:tcW w:w="1208" w:type="dxa"/>
            <w:vAlign w:val="center"/>
          </w:tcPr>
          <w:p w14:paraId="128E6EB2">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r>
      <w:tr w14:paraId="2938D4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1192" w:type="dxa"/>
            <w:gridSpan w:val="2"/>
            <w:vAlign w:val="center"/>
          </w:tcPr>
          <w:p w14:paraId="108E2FBB">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组织部门</w:t>
            </w:r>
          </w:p>
        </w:tc>
        <w:tc>
          <w:tcPr>
            <w:tcW w:w="2433" w:type="dxa"/>
            <w:vAlign w:val="center"/>
          </w:tcPr>
          <w:p w14:paraId="4702FD97">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c>
          <w:tcPr>
            <w:tcW w:w="1209" w:type="dxa"/>
            <w:vAlign w:val="center"/>
          </w:tcPr>
          <w:p w14:paraId="5C9E463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总指挥</w:t>
            </w:r>
          </w:p>
        </w:tc>
        <w:tc>
          <w:tcPr>
            <w:tcW w:w="1208" w:type="dxa"/>
            <w:vAlign w:val="center"/>
          </w:tcPr>
          <w:p w14:paraId="43CCA5AF">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c>
          <w:tcPr>
            <w:tcW w:w="1209" w:type="dxa"/>
            <w:vAlign w:val="center"/>
          </w:tcPr>
          <w:p w14:paraId="23BF9BA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演练时间</w:t>
            </w:r>
          </w:p>
        </w:tc>
        <w:tc>
          <w:tcPr>
            <w:tcW w:w="1208" w:type="dxa"/>
            <w:vAlign w:val="center"/>
          </w:tcPr>
          <w:p w14:paraId="105C14CB">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r>
      <w:tr w14:paraId="19E48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6" w:hRule="atLeast"/>
        </w:trPr>
        <w:tc>
          <w:tcPr>
            <w:tcW w:w="1192" w:type="dxa"/>
            <w:gridSpan w:val="2"/>
            <w:vAlign w:val="center"/>
          </w:tcPr>
          <w:p w14:paraId="11AFD076">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参加部门和单位</w:t>
            </w:r>
          </w:p>
        </w:tc>
        <w:tc>
          <w:tcPr>
            <w:tcW w:w="7267" w:type="dxa"/>
            <w:gridSpan w:val="5"/>
            <w:vAlign w:val="center"/>
          </w:tcPr>
          <w:p w14:paraId="443FCB14">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r>
      <w:tr w14:paraId="07284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7" w:hRule="atLeast"/>
        </w:trPr>
        <w:tc>
          <w:tcPr>
            <w:tcW w:w="1192" w:type="dxa"/>
            <w:gridSpan w:val="2"/>
            <w:vAlign w:val="center"/>
          </w:tcPr>
          <w:p w14:paraId="3215661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演练类别</w:t>
            </w:r>
          </w:p>
        </w:tc>
        <w:tc>
          <w:tcPr>
            <w:tcW w:w="4850" w:type="dxa"/>
            <w:gridSpan w:val="3"/>
            <w:vAlign w:val="center"/>
          </w:tcPr>
          <w:p w14:paraId="61E96BD9">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□实际演练 □桌面演练</w:t>
            </w:r>
          </w:p>
          <w:p w14:paraId="771E1954">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□提问讨论式演练</w:t>
            </w:r>
          </w:p>
          <w:p w14:paraId="242CAD6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□全部预案 □部分预案</w:t>
            </w:r>
          </w:p>
        </w:tc>
        <w:tc>
          <w:tcPr>
            <w:tcW w:w="2417" w:type="dxa"/>
            <w:gridSpan w:val="2"/>
            <w:vAlign w:val="center"/>
          </w:tcPr>
          <w:p w14:paraId="3D4DBC0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演练部分：</w:t>
            </w:r>
          </w:p>
        </w:tc>
      </w:tr>
      <w:tr w14:paraId="3AB34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1" w:hRule="atLeast"/>
        </w:trPr>
        <w:tc>
          <w:tcPr>
            <w:tcW w:w="1192" w:type="dxa"/>
            <w:gridSpan w:val="2"/>
            <w:vAlign w:val="center"/>
          </w:tcPr>
          <w:p w14:paraId="48F6D623">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物资准备和人员培训情况</w:t>
            </w:r>
          </w:p>
        </w:tc>
        <w:tc>
          <w:tcPr>
            <w:tcW w:w="7267" w:type="dxa"/>
            <w:gridSpan w:val="5"/>
            <w:vAlign w:val="center"/>
          </w:tcPr>
          <w:p w14:paraId="22A10002">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r>
      <w:tr w14:paraId="2474A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5" w:hRule="atLeast"/>
        </w:trPr>
        <w:tc>
          <w:tcPr>
            <w:tcW w:w="1192" w:type="dxa"/>
            <w:gridSpan w:val="2"/>
            <w:vAlign w:val="center"/>
          </w:tcPr>
          <w:p w14:paraId="071B20F4">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演练过程描述</w:t>
            </w:r>
          </w:p>
        </w:tc>
        <w:tc>
          <w:tcPr>
            <w:tcW w:w="7267" w:type="dxa"/>
            <w:gridSpan w:val="5"/>
            <w:vAlign w:val="center"/>
          </w:tcPr>
          <w:p w14:paraId="637C963E">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r>
      <w:tr w14:paraId="61D3B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78" w:hRule="atLeast"/>
        </w:trPr>
        <w:tc>
          <w:tcPr>
            <w:tcW w:w="1192" w:type="dxa"/>
            <w:gridSpan w:val="2"/>
            <w:vAlign w:val="center"/>
          </w:tcPr>
          <w:p w14:paraId="71E35748">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预案适宜性和充分性评审</w:t>
            </w:r>
          </w:p>
        </w:tc>
        <w:tc>
          <w:tcPr>
            <w:tcW w:w="7267" w:type="dxa"/>
            <w:gridSpan w:val="5"/>
            <w:vAlign w:val="center"/>
          </w:tcPr>
          <w:p w14:paraId="7550CE97">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适宜性：□全部能够执行 □执行过程不够顺利 □明显不适宜</w:t>
            </w:r>
          </w:p>
          <w:p w14:paraId="1B3B27B4">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充分性：□完全满足应急要求 □基本满足需要完善 □不充分，必须修改</w:t>
            </w:r>
          </w:p>
        </w:tc>
      </w:tr>
      <w:tr w14:paraId="6A750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6" w:hRule="atLeast"/>
        </w:trPr>
        <w:tc>
          <w:tcPr>
            <w:tcW w:w="502" w:type="dxa"/>
            <w:vMerge w:val="restart"/>
            <w:vAlign w:val="center"/>
          </w:tcPr>
          <w:p w14:paraId="6810555B">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演练效果评审</w:t>
            </w:r>
          </w:p>
        </w:tc>
        <w:tc>
          <w:tcPr>
            <w:tcW w:w="690" w:type="dxa"/>
            <w:vAlign w:val="center"/>
          </w:tcPr>
          <w:p w14:paraId="36058DD6">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人员到位情况</w:t>
            </w:r>
          </w:p>
        </w:tc>
        <w:tc>
          <w:tcPr>
            <w:tcW w:w="7267" w:type="dxa"/>
            <w:gridSpan w:val="5"/>
            <w:vAlign w:val="center"/>
          </w:tcPr>
          <w:p w14:paraId="2A15F14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□迅速准确 □基本按时到位 □个别人员不到位 □重点部位人员不到位</w:t>
            </w:r>
          </w:p>
          <w:p w14:paraId="3C9CF0A9">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□职责明确，操作熟练 □职责明确，操作不熟练 □职责不明，操作不熟练</w:t>
            </w:r>
          </w:p>
        </w:tc>
      </w:tr>
      <w:tr w14:paraId="7976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502" w:type="dxa"/>
            <w:vMerge w:val="continue"/>
            <w:vAlign w:val="center"/>
          </w:tcPr>
          <w:p w14:paraId="60632C94">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c>
          <w:tcPr>
            <w:tcW w:w="690" w:type="dxa"/>
            <w:vAlign w:val="center"/>
          </w:tcPr>
          <w:p w14:paraId="1E55A457">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物资到位情况</w:t>
            </w:r>
          </w:p>
        </w:tc>
        <w:tc>
          <w:tcPr>
            <w:tcW w:w="7267" w:type="dxa"/>
            <w:gridSpan w:val="5"/>
            <w:vAlign w:val="center"/>
          </w:tcPr>
          <w:p w14:paraId="43EE7855">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现场物资：□现场物资充分，全部有效 □现场准备不充分 □现场物资严重缺乏</w:t>
            </w:r>
          </w:p>
          <w:p w14:paraId="2AA47365">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个人防护：□全部人员防护到位 □个别人员防护不到位 □大部分人员防护不到位</w:t>
            </w:r>
          </w:p>
        </w:tc>
      </w:tr>
      <w:tr w14:paraId="4AF92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6" w:hRule="atLeast"/>
        </w:trPr>
        <w:tc>
          <w:tcPr>
            <w:tcW w:w="502" w:type="dxa"/>
            <w:vMerge w:val="continue"/>
            <w:vAlign w:val="center"/>
          </w:tcPr>
          <w:p w14:paraId="096210F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c>
          <w:tcPr>
            <w:tcW w:w="690" w:type="dxa"/>
            <w:vAlign w:val="center"/>
          </w:tcPr>
          <w:p w14:paraId="06F6D494">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协调组织情况</w:t>
            </w:r>
          </w:p>
        </w:tc>
        <w:tc>
          <w:tcPr>
            <w:tcW w:w="7267" w:type="dxa"/>
            <w:gridSpan w:val="5"/>
            <w:vAlign w:val="center"/>
          </w:tcPr>
          <w:p w14:paraId="6F802DD5">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整体组织：□准确，高效 □协调基本顺利，能满足要求 □效率低，有待改进</w:t>
            </w:r>
          </w:p>
          <w:p w14:paraId="51C6EDAD">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工作组分工：□合理、高效 □基本合理，能完成任务 □效率低，没有完成任务</w:t>
            </w:r>
          </w:p>
        </w:tc>
      </w:tr>
      <w:tr w14:paraId="04ED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6" w:hRule="atLeast"/>
        </w:trPr>
        <w:tc>
          <w:tcPr>
            <w:tcW w:w="502" w:type="dxa"/>
            <w:vMerge w:val="continue"/>
            <w:vAlign w:val="center"/>
          </w:tcPr>
          <w:p w14:paraId="0FF1F063">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c>
          <w:tcPr>
            <w:tcW w:w="690" w:type="dxa"/>
            <w:vAlign w:val="center"/>
          </w:tcPr>
          <w:p w14:paraId="50BB5F1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实战效果评价</w:t>
            </w:r>
          </w:p>
        </w:tc>
        <w:tc>
          <w:tcPr>
            <w:tcW w:w="7267" w:type="dxa"/>
            <w:gridSpan w:val="5"/>
            <w:vAlign w:val="center"/>
          </w:tcPr>
          <w:p w14:paraId="334302DB">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□达到预期目标 □基本达到目的，部分环节有待改进</w:t>
            </w:r>
          </w:p>
          <w:p w14:paraId="3427CD6D">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□没有达到目标，需重新演练</w:t>
            </w:r>
          </w:p>
        </w:tc>
      </w:tr>
      <w:tr w14:paraId="001DA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78" w:hRule="atLeast"/>
        </w:trPr>
        <w:tc>
          <w:tcPr>
            <w:tcW w:w="502" w:type="dxa"/>
            <w:vMerge w:val="continue"/>
            <w:vAlign w:val="center"/>
          </w:tcPr>
          <w:p w14:paraId="57211333">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c>
          <w:tcPr>
            <w:tcW w:w="690" w:type="dxa"/>
            <w:vAlign w:val="center"/>
          </w:tcPr>
          <w:p w14:paraId="54BED19E">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外部部门协作性</w:t>
            </w:r>
          </w:p>
        </w:tc>
        <w:tc>
          <w:tcPr>
            <w:tcW w:w="7267" w:type="dxa"/>
            <w:gridSpan w:val="5"/>
            <w:vAlign w:val="center"/>
          </w:tcPr>
          <w:p w14:paraId="68E02F0E">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报告上级政府                                □报告及时□联系不上</w:t>
            </w:r>
          </w:p>
          <w:p w14:paraId="350D2258">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周边同级政府                                □按要求配合□不配合</w:t>
            </w:r>
          </w:p>
        </w:tc>
      </w:tr>
      <w:tr w14:paraId="137EC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01" w:hRule="atLeast"/>
        </w:trPr>
        <w:tc>
          <w:tcPr>
            <w:tcW w:w="1192" w:type="dxa"/>
            <w:gridSpan w:val="2"/>
            <w:vAlign w:val="center"/>
          </w:tcPr>
          <w:p w14:paraId="7A7BD658">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存在问题和改进措施</w:t>
            </w:r>
          </w:p>
        </w:tc>
        <w:tc>
          <w:tcPr>
            <w:tcW w:w="7267" w:type="dxa"/>
            <w:gridSpan w:val="5"/>
            <w:vAlign w:val="center"/>
          </w:tcPr>
          <w:p w14:paraId="495D4C7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auto"/>
                <w:sz w:val="24"/>
                <w:szCs w:val="24"/>
              </w:rPr>
            </w:pPr>
          </w:p>
        </w:tc>
      </w:tr>
    </w:tbl>
    <w:p w14:paraId="165EB7D1">
      <w:pPr>
        <w:pStyle w:val="27"/>
        <w:bidi w:val="0"/>
        <w:ind w:left="0" w:leftChars="0" w:firstLine="0" w:firstLineChars="0"/>
        <w:jc w:val="right"/>
        <w:rPr>
          <w:rFonts w:hint="default" w:cs="Times New Roman"/>
          <w:b w:val="0"/>
          <w:bCs w:val="0"/>
          <w:color w:val="auto"/>
          <w:lang w:val="en-US" w:eastAsia="zh-CN"/>
        </w:rPr>
        <w:sectPr>
          <w:pgSz w:w="11906" w:h="16838"/>
          <w:pgMar w:top="1440" w:right="1800" w:bottom="1440" w:left="1800" w:header="1134"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AAA1EA9">
      <w:pPr>
        <w:pStyle w:val="2"/>
        <w:jc w:val="center"/>
        <w:rPr>
          <w:rFonts w:hint="default" w:ascii="仿宋_GB2312" w:hAnsi="仿宋_GB2312" w:eastAsia="仿宋_GB2312" w:cs="仿宋_GB2312"/>
          <w:b/>
          <w:bCs/>
          <w:color w:val="auto"/>
          <w:sz w:val="32"/>
          <w:szCs w:val="32"/>
          <w:lang w:val="en-US" w:eastAsia="zh-CN" w:bidi="ar-SA"/>
        </w:rPr>
      </w:pPr>
      <w:r>
        <w:rPr>
          <w:rFonts w:hint="eastAsia" w:ascii="黑体" w:hAnsi="黑体" w:eastAsia="黑体" w:cs="黑体"/>
          <w:b w:val="0"/>
          <w:bCs w:val="0"/>
          <w:color w:val="auto"/>
          <w:sz w:val="32"/>
          <w:szCs w:val="32"/>
          <w:lang w:val="en-US" w:eastAsia="zh-CN" w:bidi="ar-SA"/>
        </w:rPr>
        <w:t>附件15</w:t>
      </w:r>
      <w:r>
        <w:rPr>
          <w:rFonts w:hint="eastAsia" w:ascii="仿宋_GB2312" w:hAnsi="仿宋_GB2312" w:eastAsia="仿宋_GB2312" w:cs="仿宋_GB2312"/>
          <w:b/>
          <w:bCs/>
          <w:color w:val="auto"/>
          <w:sz w:val="32"/>
          <w:szCs w:val="32"/>
          <w:lang w:val="en-US" w:eastAsia="zh-CN" w:bidi="ar-SA"/>
        </w:rPr>
        <w:t xml:space="preserve">  </w:t>
      </w:r>
      <w:r>
        <w:rPr>
          <w:rFonts w:hint="default" w:ascii="仿宋_GB2312" w:hAnsi="仿宋_GB2312" w:eastAsia="仿宋_GB2312" w:cs="仿宋_GB2312"/>
          <w:b/>
          <w:bCs/>
          <w:color w:val="auto"/>
          <w:sz w:val="32"/>
          <w:szCs w:val="32"/>
          <w:lang w:val="en-US" w:eastAsia="zh-CN" w:bidi="ar-SA"/>
        </w:rPr>
        <w:t>应急组织指挥体系框架图</w:t>
      </w:r>
    </w:p>
    <w:p w14:paraId="6C05B151">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5938520" cy="8882380"/>
            <wp:effectExtent l="0" t="0" r="5080" b="13970"/>
            <wp:docPr id="24" name="图片 24" descr="QQ截图2021070917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210709170542"/>
                    <pic:cNvPicPr>
                      <a:picLocks noChangeAspect="1"/>
                    </pic:cNvPicPr>
                  </pic:nvPicPr>
                  <pic:blipFill>
                    <a:blip r:embed="rId19"/>
                    <a:stretch>
                      <a:fillRect/>
                    </a:stretch>
                  </pic:blipFill>
                  <pic:spPr>
                    <a:xfrm>
                      <a:off x="0" y="0"/>
                      <a:ext cx="5938520" cy="8882380"/>
                    </a:xfrm>
                    <a:prstGeom prst="rect">
                      <a:avLst/>
                    </a:prstGeom>
                  </pic:spPr>
                </pic:pic>
              </a:graphicData>
            </a:graphic>
          </wp:inline>
        </w:drawing>
      </w:r>
    </w:p>
    <w:p w14:paraId="3205D830">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sectPr>
          <w:pgSz w:w="11906" w:h="16838"/>
          <w:pgMar w:top="720" w:right="720" w:bottom="720" w:left="720" w:header="1134"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72E1364E">
      <w:pPr>
        <w:pStyle w:val="2"/>
        <w:jc w:val="center"/>
        <w:rPr>
          <w:rFonts w:hint="eastAsia" w:ascii="仿宋_GB2312" w:hAnsi="仿宋_GB2312" w:eastAsia="仿宋_GB2312" w:cs="仿宋_GB2312"/>
          <w:b/>
          <w:bCs/>
          <w:color w:val="auto"/>
          <w:sz w:val="32"/>
          <w:szCs w:val="32"/>
          <w:lang w:val="en-US" w:eastAsia="zh-CN" w:bidi="ar-SA"/>
        </w:rPr>
      </w:pPr>
      <w:r>
        <w:rPr>
          <w:rFonts w:hint="eastAsia" w:ascii="黑体" w:hAnsi="黑体" w:eastAsia="黑体" w:cs="黑体"/>
          <w:b w:val="0"/>
          <w:bCs w:val="0"/>
          <w:color w:val="auto"/>
          <w:sz w:val="32"/>
          <w:szCs w:val="32"/>
          <w:lang w:val="en-US" w:eastAsia="zh-CN" w:bidi="ar-SA"/>
        </w:rPr>
        <w:t>附件16</w:t>
      </w:r>
      <w:r>
        <w:rPr>
          <w:rFonts w:hint="eastAsia" w:ascii="仿宋_GB2312" w:hAnsi="仿宋_GB2312" w:eastAsia="仿宋_GB2312" w:cs="仿宋_GB2312"/>
          <w:b/>
          <w:bCs/>
          <w:color w:val="auto"/>
          <w:sz w:val="32"/>
          <w:szCs w:val="32"/>
          <w:lang w:val="en-US" w:eastAsia="zh-CN" w:bidi="ar-SA"/>
        </w:rPr>
        <w:t xml:space="preserve">  湖北省县级以上集中式饮用水水源保护区划分方案</w:t>
      </w:r>
    </w:p>
    <w:p w14:paraId="0B108D3F">
      <w:pPr>
        <w:pStyle w:val="11"/>
        <w:ind w:left="0" w:leftChars="0" w:right="0" w:rightChars="0" w:firstLine="0" w:firstLineChars="0"/>
        <w:jc w:val="center"/>
        <w:rPr>
          <w:rFonts w:hint="default"/>
          <w:color w:val="auto"/>
          <w:lang w:val="en-US" w:eastAsia="zh-CN"/>
        </w:rPr>
      </w:pPr>
    </w:p>
    <w:p w14:paraId="14521CFA">
      <w:pPr>
        <w:jc w:val="center"/>
        <w:rPr>
          <w:rFonts w:hint="eastAsia"/>
          <w:b/>
          <w:color w:val="auto"/>
          <w:sz w:val="48"/>
          <w:szCs w:val="48"/>
        </w:rPr>
      </w:pPr>
      <w:r>
        <w:rPr>
          <w:rFonts w:hint="eastAsia"/>
          <w:b/>
          <w:color w:val="auto"/>
          <w:sz w:val="48"/>
          <w:szCs w:val="48"/>
        </w:rPr>
        <w:t>湖北省人民政府办公厅文件</w:t>
      </w:r>
    </w:p>
    <w:p w14:paraId="13FB78AF">
      <w:pPr>
        <w:rPr>
          <w:rFonts w:hint="eastAsia"/>
          <w:color w:val="auto"/>
          <w:sz w:val="24"/>
        </w:rPr>
      </w:pPr>
    </w:p>
    <w:p w14:paraId="4622372A">
      <w:pPr>
        <w:jc w:val="center"/>
        <w:rPr>
          <w:rFonts w:hint="eastAsia"/>
          <w:color w:val="auto"/>
          <w:sz w:val="24"/>
        </w:rPr>
      </w:pPr>
      <w:r>
        <w:rPr>
          <w:rFonts w:hint="eastAsia"/>
          <w:color w:val="auto"/>
          <w:sz w:val="24"/>
        </w:rPr>
        <w:t>鄂政办发[2011]130号</w:t>
      </w:r>
    </w:p>
    <w:p w14:paraId="3BFE12EF">
      <w:pPr>
        <w:rPr>
          <w:color w:val="auto"/>
          <w:sz w:val="24"/>
        </w:rPr>
      </w:pPr>
    </w:p>
    <w:p w14:paraId="6376DB63">
      <w:pPr>
        <w:jc w:val="center"/>
        <w:rPr>
          <w:rFonts w:hint="eastAsia"/>
          <w:b/>
          <w:color w:val="auto"/>
          <w:sz w:val="30"/>
          <w:szCs w:val="30"/>
        </w:rPr>
      </w:pPr>
      <w:r>
        <w:rPr>
          <w:rFonts w:hint="eastAsia"/>
          <w:b/>
          <w:color w:val="auto"/>
          <w:sz w:val="30"/>
          <w:szCs w:val="30"/>
        </w:rPr>
        <w:t>省人民政府办公厅关于印发湖北省县级</w:t>
      </w:r>
    </w:p>
    <w:p w14:paraId="6E4F8B7F">
      <w:pPr>
        <w:jc w:val="center"/>
        <w:rPr>
          <w:rFonts w:hint="eastAsia"/>
          <w:b/>
          <w:color w:val="auto"/>
          <w:sz w:val="30"/>
          <w:szCs w:val="30"/>
        </w:rPr>
      </w:pPr>
      <w:r>
        <w:rPr>
          <w:rFonts w:hint="eastAsia"/>
          <w:b/>
          <w:color w:val="auto"/>
          <w:sz w:val="30"/>
          <w:szCs w:val="30"/>
        </w:rPr>
        <w:t>以上集中式饮用水水源保护区划分方案的通知</w:t>
      </w:r>
    </w:p>
    <w:p w14:paraId="1AE25650">
      <w:pPr>
        <w:rPr>
          <w:color w:val="auto"/>
          <w:sz w:val="24"/>
        </w:rPr>
      </w:pPr>
    </w:p>
    <w:p w14:paraId="774BAC0C">
      <w:pPr>
        <w:rPr>
          <w:rFonts w:hint="eastAsia" w:ascii="仿宋" w:hAnsi="仿宋" w:eastAsia="仿宋" w:cs="仿宋"/>
          <w:color w:val="auto"/>
          <w:sz w:val="24"/>
        </w:rPr>
      </w:pPr>
      <w:r>
        <w:rPr>
          <w:rFonts w:hint="eastAsia" w:ascii="仿宋" w:hAnsi="仿宋" w:eastAsia="仿宋" w:cs="仿宋"/>
          <w:color w:val="auto"/>
          <w:sz w:val="24"/>
        </w:rPr>
        <w:t>各市、州、县人民政府，省政府各部门：</w:t>
      </w:r>
    </w:p>
    <w:p w14:paraId="69B28F64">
      <w:pPr>
        <w:rPr>
          <w:rFonts w:hint="eastAsia" w:ascii="仿宋" w:hAnsi="仿宋" w:eastAsia="仿宋" w:cs="仿宋"/>
          <w:color w:val="auto"/>
          <w:sz w:val="24"/>
        </w:rPr>
      </w:pPr>
      <w:r>
        <w:rPr>
          <w:rFonts w:hint="eastAsia" w:ascii="仿宋" w:hAnsi="仿宋" w:eastAsia="仿宋" w:cs="仿宋"/>
          <w:color w:val="auto"/>
          <w:sz w:val="24"/>
        </w:rPr>
        <w:t>　　《湖北省县级以上集中式饮用水水源保护区划分方案》已经省人民政府同意，现印发给你们，请认真贯彻执行。</w:t>
      </w:r>
    </w:p>
    <w:p w14:paraId="43268D6D">
      <w:pPr>
        <w:rPr>
          <w:rFonts w:hint="eastAsia" w:ascii="仿宋" w:hAnsi="仿宋" w:eastAsia="仿宋" w:cs="仿宋"/>
          <w:color w:val="auto"/>
          <w:sz w:val="24"/>
        </w:rPr>
      </w:pPr>
    </w:p>
    <w:p w14:paraId="590A8E38">
      <w:pPr>
        <w:rPr>
          <w:rFonts w:hint="eastAsia" w:ascii="仿宋" w:hAnsi="仿宋" w:eastAsia="仿宋" w:cs="仿宋"/>
          <w:color w:val="auto"/>
          <w:sz w:val="24"/>
        </w:rPr>
      </w:pPr>
      <w:r>
        <w:rPr>
          <w:rFonts w:hint="eastAsia" w:ascii="仿宋" w:hAnsi="仿宋" w:eastAsia="仿宋" w:cs="仿宋"/>
          <w:color w:val="auto"/>
          <w:sz w:val="24"/>
        </w:rPr>
        <w:t xml:space="preserve">                                          二○一一年十二月二十六日</w:t>
      </w:r>
    </w:p>
    <w:p w14:paraId="69FAA737">
      <w:pPr>
        <w:rPr>
          <w:color w:val="auto"/>
          <w:sz w:val="24"/>
        </w:rPr>
      </w:pPr>
    </w:p>
    <w:p w14:paraId="712A9368">
      <w:pPr>
        <w:jc w:val="center"/>
        <w:rPr>
          <w:rFonts w:hint="eastAsia"/>
          <w:b/>
          <w:color w:val="auto"/>
          <w:sz w:val="30"/>
          <w:szCs w:val="30"/>
        </w:rPr>
      </w:pPr>
      <w:r>
        <w:rPr>
          <w:rFonts w:hint="eastAsia"/>
          <w:b/>
          <w:color w:val="auto"/>
          <w:sz w:val="30"/>
          <w:szCs w:val="30"/>
        </w:rPr>
        <w:t>湖北省县级以上集中式饮用水水源保护区划分方案</w:t>
      </w:r>
    </w:p>
    <w:p w14:paraId="3BF3FC29">
      <w:pPr>
        <w:rPr>
          <w:color w:val="auto"/>
          <w:sz w:val="24"/>
        </w:rPr>
      </w:pPr>
    </w:p>
    <w:p w14:paraId="10AEBAB5">
      <w:pPr>
        <w:rPr>
          <w:rFonts w:hint="eastAsia" w:ascii="仿宋" w:hAnsi="仿宋" w:eastAsia="仿宋" w:cs="仿宋"/>
          <w:color w:val="auto"/>
          <w:sz w:val="24"/>
        </w:rPr>
      </w:pPr>
      <w:r>
        <w:rPr>
          <w:rFonts w:hint="eastAsia"/>
          <w:color w:val="auto"/>
          <w:sz w:val="24"/>
        </w:rPr>
        <w:t>　　</w:t>
      </w:r>
      <w:r>
        <w:rPr>
          <w:rFonts w:hint="eastAsia" w:ascii="仿宋" w:hAnsi="仿宋" w:eastAsia="仿宋" w:cs="仿宋"/>
          <w:color w:val="auto"/>
          <w:sz w:val="24"/>
        </w:rPr>
        <w:t>根据《中华人民共和国环境保护法》、《中华人民共和国水污染防治法》、《中华人民共和国水法》和《湖北省实施〈中华人民共和国水污染防治法〉办法》、《湖北省城市供水管理实施办法》等法规规定，按照《饮用水水源保护区划分技术规范》（HJ/T338-2007）等规范要求，结合各地实际制定本划分方案。</w:t>
      </w:r>
    </w:p>
    <w:p w14:paraId="446BFCDC">
      <w:pPr>
        <w:rPr>
          <w:rFonts w:hint="eastAsia" w:ascii="仿宋" w:hAnsi="仿宋" w:eastAsia="仿宋" w:cs="仿宋"/>
          <w:b/>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一、适用范围</w:t>
      </w:r>
    </w:p>
    <w:p w14:paraId="5885C289">
      <w:pPr>
        <w:rPr>
          <w:rFonts w:hint="eastAsia" w:ascii="仿宋" w:hAnsi="仿宋" w:eastAsia="仿宋" w:cs="仿宋"/>
          <w:color w:val="auto"/>
          <w:sz w:val="24"/>
        </w:rPr>
      </w:pPr>
      <w:r>
        <w:rPr>
          <w:rFonts w:hint="eastAsia" w:ascii="仿宋" w:hAnsi="仿宋" w:eastAsia="仿宋" w:cs="仿宋"/>
          <w:color w:val="auto"/>
          <w:sz w:val="24"/>
        </w:rPr>
        <w:t>　　本方案划分范围包括湖北省范围内的县城以上城镇集中式饮用水水源地。</w:t>
      </w:r>
    </w:p>
    <w:p w14:paraId="68AABB29">
      <w:pPr>
        <w:rPr>
          <w:rFonts w:hint="eastAsia" w:ascii="仿宋" w:hAnsi="仿宋" w:eastAsia="仿宋" w:cs="仿宋"/>
          <w:color w:val="auto"/>
          <w:sz w:val="24"/>
        </w:rPr>
      </w:pPr>
      <w:r>
        <w:rPr>
          <w:rFonts w:hint="eastAsia" w:ascii="仿宋" w:hAnsi="仿宋" w:eastAsia="仿宋" w:cs="仿宋"/>
          <w:color w:val="auto"/>
          <w:sz w:val="24"/>
        </w:rPr>
        <w:t>　　全省拟规划建设的城镇集中式饮用水水源保护区的划分，根据其水源地属性参照本方案的有关规定执行。</w:t>
      </w:r>
    </w:p>
    <w:p w14:paraId="4E874EC4">
      <w:pPr>
        <w:rPr>
          <w:rFonts w:hint="eastAsia" w:ascii="仿宋" w:hAnsi="仿宋" w:eastAsia="仿宋" w:cs="仿宋"/>
          <w:b/>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二、水源地保护区水质执行标准</w:t>
      </w:r>
    </w:p>
    <w:p w14:paraId="36CC1AAE">
      <w:pPr>
        <w:rPr>
          <w:rFonts w:hint="eastAsia" w:ascii="仿宋" w:hAnsi="仿宋" w:eastAsia="仿宋" w:cs="仿宋"/>
          <w:b/>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（一）地表水饮用水源保护区水质要求。</w:t>
      </w:r>
    </w:p>
    <w:p w14:paraId="2D0A2B43">
      <w:pPr>
        <w:rPr>
          <w:rFonts w:hint="eastAsia" w:ascii="仿宋" w:hAnsi="仿宋" w:eastAsia="仿宋" w:cs="仿宋"/>
          <w:color w:val="auto"/>
          <w:sz w:val="24"/>
        </w:rPr>
      </w:pPr>
      <w:r>
        <w:rPr>
          <w:rFonts w:hint="eastAsia" w:ascii="仿宋" w:hAnsi="仿宋" w:eastAsia="仿宋" w:cs="仿宋"/>
          <w:color w:val="auto"/>
          <w:sz w:val="24"/>
        </w:rPr>
        <w:t>　　地表水饮用水源一级保护区的水质基本项目限值不得低于《地表水环境质量标准》（GB3838）中的Ⅱ类标准，且补充项目和特定项目应满足该标准规定的限值要求。</w:t>
      </w:r>
    </w:p>
    <w:p w14:paraId="1C2FC077">
      <w:pPr>
        <w:rPr>
          <w:rFonts w:hint="eastAsia" w:ascii="仿宋" w:hAnsi="仿宋" w:eastAsia="仿宋" w:cs="仿宋"/>
          <w:color w:val="auto"/>
          <w:sz w:val="24"/>
        </w:rPr>
      </w:pPr>
      <w:r>
        <w:rPr>
          <w:rFonts w:hint="eastAsia" w:ascii="仿宋" w:hAnsi="仿宋" w:eastAsia="仿宋" w:cs="仿宋"/>
          <w:color w:val="auto"/>
          <w:sz w:val="24"/>
        </w:rPr>
        <w:t>　　地表水饮用水源二级保护区的水质基本项目限值不得低于《地表水环境质量标准》（GB3838）中的Ⅲ类标准，并保证流入一级保护区的水质满足一级保护区水质标准的要求。</w:t>
      </w:r>
    </w:p>
    <w:p w14:paraId="0254F5AE">
      <w:pPr>
        <w:rPr>
          <w:rFonts w:hint="eastAsia" w:ascii="仿宋" w:hAnsi="仿宋" w:eastAsia="仿宋" w:cs="仿宋"/>
          <w:color w:val="auto"/>
          <w:sz w:val="24"/>
        </w:rPr>
      </w:pPr>
      <w:r>
        <w:rPr>
          <w:rFonts w:hint="eastAsia" w:ascii="仿宋" w:hAnsi="仿宋" w:eastAsia="仿宋" w:cs="仿宋"/>
          <w:color w:val="auto"/>
          <w:sz w:val="24"/>
        </w:rPr>
        <w:t>　　地表水饮用水源准保护区的水质标准应保证流入二级保护区的水质满足二级保护区水质标准的要求。</w:t>
      </w:r>
    </w:p>
    <w:p w14:paraId="390C457F">
      <w:pPr>
        <w:rPr>
          <w:rFonts w:hint="eastAsia" w:ascii="仿宋" w:hAnsi="仿宋" w:eastAsia="仿宋" w:cs="仿宋"/>
          <w:b/>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（二）地下水饮用水源保护区水质要求。</w:t>
      </w:r>
    </w:p>
    <w:p w14:paraId="2DD5C624">
      <w:pPr>
        <w:rPr>
          <w:rFonts w:hint="eastAsia" w:ascii="仿宋" w:hAnsi="仿宋" w:eastAsia="仿宋" w:cs="仿宋"/>
          <w:color w:val="auto"/>
          <w:sz w:val="24"/>
        </w:rPr>
      </w:pPr>
      <w:r>
        <w:rPr>
          <w:rFonts w:hint="eastAsia" w:ascii="仿宋" w:hAnsi="仿宋" w:eastAsia="仿宋" w:cs="仿宋"/>
          <w:color w:val="auto"/>
          <w:sz w:val="24"/>
        </w:rPr>
        <w:t>　　地下水饮用水源保护区（包括一级、二级和准保护区）水质各项指标不得低于《地下水质量标准》（GB/T14848-1993）中的Ⅲ类标准。</w:t>
      </w:r>
    </w:p>
    <w:p w14:paraId="7A651A77">
      <w:pPr>
        <w:rPr>
          <w:rFonts w:hint="eastAsia" w:ascii="仿宋" w:hAnsi="仿宋" w:eastAsia="仿宋" w:cs="仿宋"/>
          <w:b/>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三、水源地保护区环境管理规定</w:t>
      </w:r>
    </w:p>
    <w:p w14:paraId="5B853F3A">
      <w:pPr>
        <w:rPr>
          <w:rFonts w:hint="eastAsia" w:ascii="仿宋" w:hAnsi="仿宋" w:eastAsia="仿宋" w:cs="仿宋"/>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（一）</w:t>
      </w:r>
      <w:r>
        <w:rPr>
          <w:rFonts w:hint="eastAsia" w:ascii="仿宋" w:hAnsi="仿宋" w:eastAsia="仿宋" w:cs="仿宋"/>
          <w:color w:val="auto"/>
          <w:sz w:val="24"/>
        </w:rPr>
        <w:t>在饮用水水源保护区内，禁止设置排污口。</w:t>
      </w:r>
    </w:p>
    <w:p w14:paraId="3630C838">
      <w:pPr>
        <w:rPr>
          <w:rFonts w:hint="eastAsia" w:ascii="仿宋" w:hAnsi="仿宋" w:eastAsia="仿宋" w:cs="仿宋"/>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（二）</w:t>
      </w:r>
      <w:r>
        <w:rPr>
          <w:rFonts w:hint="eastAsia" w:ascii="仿宋" w:hAnsi="仿宋" w:eastAsia="仿宋" w:cs="仿宋"/>
          <w:color w:val="auto"/>
          <w:sz w:val="24"/>
        </w:rPr>
        <w:t>禁止在饮用水水源一级保护区内新建、改建、扩建与供水设施和保护水源无关的建设项目；已建成的与供水设施和保护水源无关的建设项目，由县级以上人民政府责令拆除或者关闭。</w:t>
      </w:r>
    </w:p>
    <w:p w14:paraId="416D1E07">
      <w:pPr>
        <w:rPr>
          <w:rFonts w:hint="eastAsia" w:ascii="仿宋" w:hAnsi="仿宋" w:eastAsia="仿宋" w:cs="仿宋"/>
          <w:color w:val="auto"/>
          <w:sz w:val="24"/>
        </w:rPr>
      </w:pPr>
      <w:r>
        <w:rPr>
          <w:rFonts w:hint="eastAsia" w:ascii="仿宋" w:hAnsi="仿宋" w:eastAsia="仿宋" w:cs="仿宋"/>
          <w:color w:val="auto"/>
          <w:sz w:val="24"/>
        </w:rPr>
        <w:t>　　禁止在饮用水水源一级保护区内从事网箱养殖、旅游、游泳、垂钓或者其他可能污染饮用水水体的活动。</w:t>
      </w:r>
    </w:p>
    <w:p w14:paraId="338EE2B4">
      <w:pPr>
        <w:rPr>
          <w:rFonts w:hint="eastAsia" w:ascii="仿宋" w:hAnsi="仿宋" w:eastAsia="仿宋" w:cs="仿宋"/>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（三）</w:t>
      </w:r>
      <w:r>
        <w:rPr>
          <w:rFonts w:hint="eastAsia" w:ascii="仿宋" w:hAnsi="仿宋" w:eastAsia="仿宋" w:cs="仿宋"/>
          <w:color w:val="auto"/>
          <w:sz w:val="24"/>
        </w:rPr>
        <w:t>禁止在饮用水水源二级保护区内新建、改建、扩建排放污染物的建设项目；已建成的排放污染物的建设项目，由县级以上人民政府责令拆除或者关闭。</w:t>
      </w:r>
    </w:p>
    <w:p w14:paraId="5CD79ADA">
      <w:pPr>
        <w:rPr>
          <w:rFonts w:hint="eastAsia" w:ascii="仿宋" w:hAnsi="仿宋" w:eastAsia="仿宋" w:cs="仿宋"/>
          <w:color w:val="auto"/>
          <w:sz w:val="24"/>
        </w:rPr>
      </w:pPr>
      <w:r>
        <w:rPr>
          <w:rFonts w:hint="eastAsia" w:ascii="仿宋" w:hAnsi="仿宋" w:eastAsia="仿宋" w:cs="仿宋"/>
          <w:color w:val="auto"/>
          <w:sz w:val="24"/>
        </w:rPr>
        <w:t>　　在饮用水水源二级保护区内从事网箱养殖、旅游等活动的，应当按照规定采取措施，防止污染饮用水水体。</w:t>
      </w:r>
    </w:p>
    <w:p w14:paraId="0C1EED41">
      <w:pPr>
        <w:rPr>
          <w:rFonts w:hint="eastAsia" w:ascii="仿宋" w:hAnsi="仿宋" w:eastAsia="仿宋" w:cs="仿宋"/>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（四）</w:t>
      </w:r>
      <w:r>
        <w:rPr>
          <w:rFonts w:hint="eastAsia" w:ascii="仿宋" w:hAnsi="仿宋" w:eastAsia="仿宋" w:cs="仿宋"/>
          <w:color w:val="auto"/>
          <w:sz w:val="24"/>
        </w:rPr>
        <w:t>禁止在饮用水水源准保护区内新建、扩建对水体污染严重的建设项目；改建建设项目，不得增加排污量。</w:t>
      </w:r>
    </w:p>
    <w:p w14:paraId="5DA2D917">
      <w:pPr>
        <w:rPr>
          <w:rFonts w:hint="eastAsia" w:ascii="仿宋" w:hAnsi="仿宋" w:eastAsia="仿宋" w:cs="仿宋"/>
          <w:b/>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四、监督与管理</w:t>
      </w:r>
    </w:p>
    <w:p w14:paraId="35EE2AE6">
      <w:pPr>
        <w:rPr>
          <w:rFonts w:hint="eastAsia" w:ascii="仿宋" w:hAnsi="仿宋" w:eastAsia="仿宋" w:cs="仿宋"/>
          <w:color w:val="auto"/>
          <w:sz w:val="24"/>
        </w:rPr>
      </w:pPr>
      <w:r>
        <w:rPr>
          <w:rFonts w:hint="eastAsia" w:ascii="仿宋" w:hAnsi="仿宋" w:eastAsia="仿宋" w:cs="仿宋"/>
          <w:color w:val="auto"/>
          <w:sz w:val="24"/>
        </w:rPr>
        <w:t>　　各市、州、县（市、区）人民政府对本辖区内饮用水水源的环境质量负责。</w:t>
      </w:r>
    </w:p>
    <w:p w14:paraId="119DCC24">
      <w:pPr>
        <w:rPr>
          <w:rFonts w:hint="eastAsia" w:ascii="仿宋" w:hAnsi="仿宋" w:eastAsia="仿宋" w:cs="仿宋"/>
          <w:color w:val="auto"/>
          <w:sz w:val="24"/>
        </w:rPr>
      </w:pPr>
      <w:r>
        <w:rPr>
          <w:rFonts w:hint="eastAsia" w:ascii="仿宋" w:hAnsi="仿宋" w:eastAsia="仿宋" w:cs="仿宋"/>
          <w:color w:val="auto"/>
          <w:sz w:val="24"/>
        </w:rPr>
        <w:t>　　环境保护行政主管部门按照《中华人民共和国水污染防治法》等法律、法规的规定，负责对本辖区内饮用水水源污染防治工作实施统一监督管理。</w:t>
      </w:r>
    </w:p>
    <w:p w14:paraId="4525948D">
      <w:pPr>
        <w:rPr>
          <w:rFonts w:hint="eastAsia" w:ascii="仿宋" w:hAnsi="仿宋" w:eastAsia="仿宋" w:cs="仿宋"/>
          <w:color w:val="auto"/>
          <w:sz w:val="24"/>
        </w:rPr>
      </w:pPr>
      <w:r>
        <w:rPr>
          <w:rFonts w:hint="eastAsia" w:ascii="仿宋" w:hAnsi="仿宋" w:eastAsia="仿宋" w:cs="仿宋"/>
          <w:color w:val="auto"/>
          <w:sz w:val="24"/>
        </w:rPr>
        <w:t>　　水利、国土资源、卫生、建设等行政主管部门以及供水单位，按照有关规定和各自职责做好饮用水水源污染防治工作。</w:t>
      </w:r>
    </w:p>
    <w:p w14:paraId="68A5DD9E">
      <w:pPr>
        <w:rPr>
          <w:rFonts w:hint="eastAsia" w:ascii="仿宋" w:hAnsi="仿宋" w:eastAsia="仿宋" w:cs="仿宋"/>
          <w:b/>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五、附加说明</w:t>
      </w:r>
    </w:p>
    <w:p w14:paraId="2A59BDB5">
      <w:pPr>
        <w:rPr>
          <w:rFonts w:hint="eastAsia" w:ascii="仿宋" w:hAnsi="仿宋" w:eastAsia="仿宋" w:cs="仿宋"/>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（一）</w:t>
      </w:r>
      <w:r>
        <w:rPr>
          <w:rFonts w:hint="eastAsia" w:ascii="仿宋" w:hAnsi="仿宋" w:eastAsia="仿宋" w:cs="仿宋"/>
          <w:color w:val="auto"/>
          <w:sz w:val="24"/>
        </w:rPr>
        <w:t>本划分方案自发布之日起实施。</w:t>
      </w:r>
    </w:p>
    <w:p w14:paraId="4F85F600">
      <w:pPr>
        <w:rPr>
          <w:rFonts w:hint="eastAsia" w:ascii="仿宋" w:hAnsi="仿宋" w:eastAsia="仿宋" w:cs="仿宋"/>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（二）</w:t>
      </w:r>
      <w:r>
        <w:rPr>
          <w:rFonts w:hint="eastAsia" w:ascii="仿宋" w:hAnsi="仿宋" w:eastAsia="仿宋" w:cs="仿宋"/>
          <w:color w:val="auto"/>
          <w:sz w:val="24"/>
        </w:rPr>
        <w:t>各市、州、县（市、区）人民政府应将饮用水水源保护区的水环境监测与污染源监督作为重点纳入地方环境管理体系中，对水质不达标或存在恶化趋势的水源地，应及时扩大保护区范围，加强污染防治，实行更严格的管理。</w:t>
      </w:r>
    </w:p>
    <w:p w14:paraId="69B04FFF">
      <w:pPr>
        <w:rPr>
          <w:rFonts w:hint="eastAsia" w:ascii="仿宋" w:hAnsi="仿宋" w:eastAsia="仿宋" w:cs="仿宋"/>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（三）</w:t>
      </w:r>
      <w:r>
        <w:rPr>
          <w:rFonts w:hint="eastAsia" w:ascii="仿宋" w:hAnsi="仿宋" w:eastAsia="仿宋" w:cs="仿宋"/>
          <w:color w:val="auto"/>
          <w:sz w:val="24"/>
        </w:rPr>
        <w:t>新建或改建集中式饮用水水源地，其保护区范围应根据《饮用水水源保护区划分技术规范》（HJ/T338-2007）规定划分，并按有关法律、法规规定的要求和程序报批，确保饮用水安全。</w:t>
      </w:r>
    </w:p>
    <w:p w14:paraId="6E84AC10">
      <w:pPr>
        <w:rPr>
          <w:rFonts w:hint="eastAsia" w:ascii="仿宋" w:hAnsi="仿宋" w:eastAsia="仿宋" w:cs="仿宋"/>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（四）</w:t>
      </w:r>
      <w:r>
        <w:rPr>
          <w:rFonts w:hint="eastAsia" w:ascii="仿宋" w:hAnsi="仿宋" w:eastAsia="仿宋" w:cs="仿宋"/>
          <w:color w:val="auto"/>
          <w:sz w:val="24"/>
        </w:rPr>
        <w:t>保护区重叠部分按高一级保护区要求管理。</w:t>
      </w:r>
    </w:p>
    <w:p w14:paraId="631E8A3C">
      <w:pPr>
        <w:rPr>
          <w:rFonts w:hint="eastAsia" w:ascii="仿宋" w:hAnsi="仿宋" w:eastAsia="仿宋" w:cs="仿宋"/>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（五）</w:t>
      </w:r>
      <w:r>
        <w:rPr>
          <w:rFonts w:hint="eastAsia" w:ascii="仿宋" w:hAnsi="仿宋" w:eastAsia="仿宋" w:cs="仿宋"/>
          <w:color w:val="auto"/>
          <w:sz w:val="24"/>
        </w:rPr>
        <w:t>本划分方案由省环境保护行政主管部门负责解释。</w:t>
      </w:r>
    </w:p>
    <w:p w14:paraId="741C83D0">
      <w:pPr>
        <w:rPr>
          <w:rFonts w:hint="eastAsia" w:ascii="仿宋" w:hAnsi="仿宋" w:eastAsia="仿宋" w:cs="仿宋"/>
          <w:color w:val="auto"/>
          <w:sz w:val="24"/>
        </w:rPr>
      </w:pPr>
    </w:p>
    <w:p w14:paraId="37D8649A">
      <w:pPr>
        <w:rPr>
          <w:rFonts w:hint="eastAsia" w:ascii="仿宋" w:hAnsi="仿宋" w:eastAsia="仿宋" w:cs="仿宋"/>
          <w:color w:val="auto"/>
          <w:sz w:val="24"/>
        </w:rPr>
      </w:pPr>
      <w:r>
        <w:rPr>
          <w:rFonts w:hint="eastAsia" w:ascii="仿宋" w:hAnsi="仿宋" w:eastAsia="仿宋" w:cs="仿宋"/>
          <w:color w:val="auto"/>
          <w:sz w:val="24"/>
        </w:rPr>
        <w:t>　　</w:t>
      </w:r>
      <w:r>
        <w:rPr>
          <w:rFonts w:hint="eastAsia" w:ascii="仿宋" w:hAnsi="仿宋" w:eastAsia="仿宋" w:cs="仿宋"/>
          <w:b/>
          <w:color w:val="auto"/>
          <w:sz w:val="24"/>
        </w:rPr>
        <w:t>附件：</w:t>
      </w:r>
      <w:r>
        <w:rPr>
          <w:rFonts w:hint="eastAsia" w:ascii="仿宋" w:hAnsi="仿宋" w:eastAsia="仿宋" w:cs="仿宋"/>
          <w:color w:val="auto"/>
          <w:sz w:val="24"/>
        </w:rPr>
        <w:t>武汉市、黄石市、十堰市、襄阳市、宜昌市、荆州市、荆门市、鄂州市、孝感市、黄冈市、咸宁市、随州市、恩施州、仙桃市、天门市、潜江市、神农架林区县级以上集中式饮用水水源保护区划分方案。</w:t>
      </w:r>
    </w:p>
    <w:p w14:paraId="2D1B7ABC">
      <w:pPr>
        <w:pStyle w:val="2"/>
        <w:jc w:val="center"/>
        <w:rPr>
          <w:rFonts w:hint="eastAsia" w:ascii="仿宋" w:hAnsi="仿宋" w:eastAsia="仿宋" w:cs="仿宋"/>
          <w:b w:val="0"/>
          <w:bCs w:val="0"/>
          <w:color w:val="auto"/>
          <w:lang w:val="en-US" w:eastAsia="zh-CN"/>
        </w:rPr>
        <w:sectPr>
          <w:pgSz w:w="11906" w:h="16838"/>
          <w:pgMar w:top="1440" w:right="1080" w:bottom="1440" w:left="1080" w:header="1134" w:footer="1219"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42717B09">
      <w:pPr>
        <w:jc w:val="center"/>
        <w:rPr>
          <w:rFonts w:hint="eastAsia"/>
          <w:b/>
          <w:color w:val="auto"/>
          <w:sz w:val="30"/>
          <w:szCs w:val="30"/>
        </w:rPr>
      </w:pPr>
      <w:r>
        <w:rPr>
          <w:rFonts w:hint="eastAsia" w:ascii="宋体" w:hAnsi="宋体" w:cs="宋体"/>
          <w:b/>
          <w:color w:val="auto"/>
          <w:sz w:val="30"/>
          <w:szCs w:val="30"/>
        </w:rPr>
        <w:t>咸宁市县级以上集中式饮用水水源保护区划分方案</w:t>
      </w:r>
    </w:p>
    <w:tbl>
      <w:tblPr>
        <w:tblStyle w:val="18"/>
        <w:tblW w:w="14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50"/>
        <w:gridCol w:w="1230"/>
        <w:gridCol w:w="1003"/>
        <w:gridCol w:w="977"/>
        <w:gridCol w:w="803"/>
        <w:gridCol w:w="1125"/>
        <w:gridCol w:w="3750"/>
        <w:gridCol w:w="3525"/>
        <w:gridCol w:w="877"/>
      </w:tblGrid>
      <w:tr w14:paraId="0C40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restart"/>
            <w:noWrap w:val="0"/>
            <w:vAlign w:val="center"/>
          </w:tcPr>
          <w:p w14:paraId="648A0289">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总序号</w:t>
            </w:r>
          </w:p>
        </w:tc>
        <w:tc>
          <w:tcPr>
            <w:tcW w:w="750" w:type="dxa"/>
            <w:vMerge w:val="restart"/>
            <w:noWrap w:val="0"/>
            <w:vAlign w:val="center"/>
          </w:tcPr>
          <w:p w14:paraId="056D3CC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分序号</w:t>
            </w:r>
          </w:p>
        </w:tc>
        <w:tc>
          <w:tcPr>
            <w:tcW w:w="1230" w:type="dxa"/>
            <w:vMerge w:val="restart"/>
            <w:noWrap w:val="0"/>
            <w:vAlign w:val="center"/>
          </w:tcPr>
          <w:p w14:paraId="0B4B5590">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地市</w:t>
            </w:r>
          </w:p>
        </w:tc>
        <w:tc>
          <w:tcPr>
            <w:tcW w:w="1980" w:type="dxa"/>
            <w:gridSpan w:val="2"/>
            <w:vMerge w:val="restart"/>
            <w:noWrap w:val="0"/>
            <w:vAlign w:val="center"/>
          </w:tcPr>
          <w:p w14:paraId="3115B44C">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水源地</w:t>
            </w:r>
          </w:p>
        </w:tc>
        <w:tc>
          <w:tcPr>
            <w:tcW w:w="803" w:type="dxa"/>
            <w:vMerge w:val="restart"/>
            <w:noWrap w:val="0"/>
            <w:vAlign w:val="center"/>
          </w:tcPr>
          <w:p w14:paraId="2F75E704">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水体</w:t>
            </w:r>
          </w:p>
        </w:tc>
        <w:tc>
          <w:tcPr>
            <w:tcW w:w="1125" w:type="dxa"/>
            <w:vMerge w:val="restart"/>
            <w:noWrap w:val="0"/>
            <w:vAlign w:val="center"/>
          </w:tcPr>
          <w:p w14:paraId="1FB2C8B2">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保护区级别</w:t>
            </w:r>
          </w:p>
        </w:tc>
        <w:tc>
          <w:tcPr>
            <w:tcW w:w="7275" w:type="dxa"/>
            <w:gridSpan w:val="2"/>
            <w:noWrap w:val="0"/>
            <w:vAlign w:val="center"/>
          </w:tcPr>
          <w:p w14:paraId="39BE26FD">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保护区范围</w:t>
            </w:r>
          </w:p>
        </w:tc>
        <w:tc>
          <w:tcPr>
            <w:tcW w:w="877" w:type="dxa"/>
            <w:vMerge w:val="restart"/>
            <w:noWrap w:val="0"/>
            <w:vAlign w:val="center"/>
          </w:tcPr>
          <w:p w14:paraId="3B3B565D">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备注</w:t>
            </w:r>
          </w:p>
        </w:tc>
      </w:tr>
      <w:tr w14:paraId="33E9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36777270">
            <w:pPr>
              <w:jc w:val="center"/>
              <w:rPr>
                <w:rFonts w:hint="eastAsia" w:ascii="仿宋" w:hAnsi="仿宋" w:eastAsia="仿宋" w:cs="仿宋"/>
                <w:color w:val="auto"/>
                <w:sz w:val="21"/>
                <w:szCs w:val="21"/>
              </w:rPr>
            </w:pPr>
          </w:p>
        </w:tc>
        <w:tc>
          <w:tcPr>
            <w:tcW w:w="750" w:type="dxa"/>
            <w:vMerge w:val="continue"/>
            <w:noWrap w:val="0"/>
            <w:vAlign w:val="center"/>
          </w:tcPr>
          <w:p w14:paraId="2EB84213">
            <w:pPr>
              <w:jc w:val="center"/>
              <w:rPr>
                <w:rFonts w:hint="eastAsia" w:ascii="仿宋" w:hAnsi="仿宋" w:eastAsia="仿宋" w:cs="仿宋"/>
                <w:color w:val="auto"/>
                <w:sz w:val="21"/>
                <w:szCs w:val="21"/>
              </w:rPr>
            </w:pPr>
          </w:p>
        </w:tc>
        <w:tc>
          <w:tcPr>
            <w:tcW w:w="1230" w:type="dxa"/>
            <w:vMerge w:val="continue"/>
            <w:noWrap w:val="0"/>
            <w:vAlign w:val="center"/>
          </w:tcPr>
          <w:p w14:paraId="7ABCC015">
            <w:pPr>
              <w:jc w:val="center"/>
              <w:rPr>
                <w:rFonts w:hint="eastAsia" w:ascii="仿宋" w:hAnsi="仿宋" w:eastAsia="仿宋" w:cs="仿宋"/>
                <w:color w:val="auto"/>
                <w:sz w:val="21"/>
                <w:szCs w:val="21"/>
              </w:rPr>
            </w:pPr>
          </w:p>
        </w:tc>
        <w:tc>
          <w:tcPr>
            <w:tcW w:w="1980" w:type="dxa"/>
            <w:gridSpan w:val="2"/>
            <w:vMerge w:val="continue"/>
            <w:noWrap w:val="0"/>
            <w:vAlign w:val="center"/>
          </w:tcPr>
          <w:p w14:paraId="663394C3">
            <w:pPr>
              <w:jc w:val="center"/>
              <w:rPr>
                <w:rFonts w:hint="eastAsia" w:ascii="仿宋" w:hAnsi="仿宋" w:eastAsia="仿宋" w:cs="仿宋"/>
                <w:color w:val="auto"/>
                <w:sz w:val="21"/>
                <w:szCs w:val="21"/>
              </w:rPr>
            </w:pPr>
          </w:p>
        </w:tc>
        <w:tc>
          <w:tcPr>
            <w:tcW w:w="803" w:type="dxa"/>
            <w:vMerge w:val="continue"/>
            <w:noWrap w:val="0"/>
            <w:vAlign w:val="center"/>
          </w:tcPr>
          <w:p w14:paraId="57909A6F">
            <w:pPr>
              <w:jc w:val="center"/>
              <w:rPr>
                <w:rFonts w:hint="eastAsia" w:ascii="仿宋" w:hAnsi="仿宋" w:eastAsia="仿宋" w:cs="仿宋"/>
                <w:color w:val="auto"/>
                <w:sz w:val="21"/>
                <w:szCs w:val="21"/>
              </w:rPr>
            </w:pPr>
          </w:p>
        </w:tc>
        <w:tc>
          <w:tcPr>
            <w:tcW w:w="1125" w:type="dxa"/>
            <w:vMerge w:val="continue"/>
            <w:noWrap w:val="0"/>
            <w:vAlign w:val="center"/>
          </w:tcPr>
          <w:p w14:paraId="28FBD713">
            <w:pPr>
              <w:jc w:val="center"/>
              <w:rPr>
                <w:rFonts w:hint="eastAsia" w:ascii="仿宋" w:hAnsi="仿宋" w:eastAsia="仿宋" w:cs="仿宋"/>
                <w:color w:val="auto"/>
                <w:sz w:val="21"/>
                <w:szCs w:val="21"/>
              </w:rPr>
            </w:pPr>
          </w:p>
        </w:tc>
        <w:tc>
          <w:tcPr>
            <w:tcW w:w="3750" w:type="dxa"/>
            <w:noWrap w:val="0"/>
            <w:vAlign w:val="center"/>
          </w:tcPr>
          <w:p w14:paraId="18626CBF">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水域</w:t>
            </w:r>
          </w:p>
        </w:tc>
        <w:tc>
          <w:tcPr>
            <w:tcW w:w="3525" w:type="dxa"/>
            <w:noWrap w:val="0"/>
            <w:vAlign w:val="center"/>
          </w:tcPr>
          <w:p w14:paraId="4769E188">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陆域</w:t>
            </w:r>
          </w:p>
        </w:tc>
        <w:tc>
          <w:tcPr>
            <w:tcW w:w="877" w:type="dxa"/>
            <w:vMerge w:val="continue"/>
            <w:noWrap w:val="0"/>
            <w:vAlign w:val="top"/>
          </w:tcPr>
          <w:p w14:paraId="4848574F">
            <w:pPr>
              <w:rPr>
                <w:rFonts w:hint="eastAsia" w:ascii="仿宋" w:hAnsi="仿宋" w:eastAsia="仿宋" w:cs="仿宋"/>
                <w:color w:val="auto"/>
                <w:sz w:val="21"/>
                <w:szCs w:val="21"/>
              </w:rPr>
            </w:pPr>
          </w:p>
        </w:tc>
      </w:tr>
      <w:tr w14:paraId="4A7F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restart"/>
            <w:noWrap w:val="0"/>
            <w:vAlign w:val="center"/>
          </w:tcPr>
          <w:p w14:paraId="0F5DCC92">
            <w:pPr>
              <w:jc w:val="center"/>
              <w:rPr>
                <w:rFonts w:hint="eastAsia" w:ascii="仿宋" w:hAnsi="仿宋" w:eastAsia="仿宋" w:cs="仿宋"/>
                <w:color w:val="auto"/>
                <w:sz w:val="21"/>
                <w:szCs w:val="21"/>
              </w:rPr>
            </w:pPr>
            <w:r>
              <w:rPr>
                <w:rFonts w:hint="eastAsia" w:ascii="仿宋" w:hAnsi="仿宋" w:eastAsia="仿宋" w:cs="仿宋"/>
                <w:color w:val="auto"/>
                <w:sz w:val="21"/>
                <w:szCs w:val="21"/>
              </w:rPr>
              <w:t>111</w:t>
            </w:r>
          </w:p>
        </w:tc>
        <w:tc>
          <w:tcPr>
            <w:tcW w:w="750" w:type="dxa"/>
            <w:vMerge w:val="restart"/>
            <w:noWrap w:val="0"/>
            <w:vAlign w:val="center"/>
          </w:tcPr>
          <w:p w14:paraId="282D7C66">
            <w:pPr>
              <w:jc w:val="center"/>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1230" w:type="dxa"/>
            <w:vMerge w:val="restart"/>
            <w:noWrap w:val="0"/>
            <w:vAlign w:val="center"/>
          </w:tcPr>
          <w:p w14:paraId="70C884C3">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咸宁市</w:t>
            </w:r>
          </w:p>
        </w:tc>
        <w:tc>
          <w:tcPr>
            <w:tcW w:w="1980" w:type="dxa"/>
            <w:gridSpan w:val="2"/>
            <w:vMerge w:val="restart"/>
            <w:noWrap w:val="0"/>
            <w:vAlign w:val="center"/>
          </w:tcPr>
          <w:p w14:paraId="172A80CC">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咸宁市长江潘家湾水源地</w:t>
            </w:r>
          </w:p>
        </w:tc>
        <w:tc>
          <w:tcPr>
            <w:tcW w:w="803" w:type="dxa"/>
            <w:vMerge w:val="restart"/>
            <w:noWrap w:val="0"/>
            <w:vAlign w:val="center"/>
          </w:tcPr>
          <w:p w14:paraId="46824F0E">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长江</w:t>
            </w:r>
          </w:p>
        </w:tc>
        <w:tc>
          <w:tcPr>
            <w:tcW w:w="1125" w:type="dxa"/>
            <w:noWrap w:val="0"/>
            <w:vAlign w:val="center"/>
          </w:tcPr>
          <w:p w14:paraId="182FD05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一级</w:t>
            </w:r>
          </w:p>
        </w:tc>
        <w:tc>
          <w:tcPr>
            <w:tcW w:w="3750" w:type="dxa"/>
            <w:noWrap w:val="0"/>
            <w:vAlign w:val="center"/>
          </w:tcPr>
          <w:p w14:paraId="61F3096F">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长度：取水口上游1000米至下游100米；</w:t>
            </w:r>
          </w:p>
          <w:p w14:paraId="1293B4E8">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宽度：长江中泓线至右岸的水域。</w:t>
            </w:r>
          </w:p>
        </w:tc>
        <w:tc>
          <w:tcPr>
            <w:tcW w:w="3525" w:type="dxa"/>
            <w:noWrap w:val="0"/>
            <w:vAlign w:val="center"/>
          </w:tcPr>
          <w:p w14:paraId="4F5EC0DD">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长度：一级保护区水域河长；</w:t>
            </w:r>
          </w:p>
          <w:p w14:paraId="1D7E0CAA">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宽度：右岸至四邑公堤内陆域。</w:t>
            </w:r>
          </w:p>
        </w:tc>
        <w:tc>
          <w:tcPr>
            <w:tcW w:w="877" w:type="dxa"/>
            <w:vMerge w:val="restart"/>
            <w:noWrap w:val="0"/>
            <w:vAlign w:val="top"/>
          </w:tcPr>
          <w:p w14:paraId="02A6C022">
            <w:pPr>
              <w:rPr>
                <w:rFonts w:hint="eastAsia" w:ascii="仿宋" w:hAnsi="仿宋" w:eastAsia="仿宋" w:cs="仿宋"/>
                <w:color w:val="auto"/>
                <w:sz w:val="21"/>
                <w:szCs w:val="21"/>
              </w:rPr>
            </w:pPr>
          </w:p>
        </w:tc>
      </w:tr>
      <w:tr w14:paraId="7E10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3B0B5967">
            <w:pPr>
              <w:jc w:val="center"/>
              <w:rPr>
                <w:rFonts w:hint="eastAsia" w:ascii="仿宋" w:hAnsi="仿宋" w:eastAsia="仿宋" w:cs="仿宋"/>
                <w:color w:val="auto"/>
                <w:sz w:val="21"/>
                <w:szCs w:val="21"/>
              </w:rPr>
            </w:pPr>
          </w:p>
        </w:tc>
        <w:tc>
          <w:tcPr>
            <w:tcW w:w="750" w:type="dxa"/>
            <w:vMerge w:val="continue"/>
            <w:noWrap w:val="0"/>
            <w:vAlign w:val="center"/>
          </w:tcPr>
          <w:p w14:paraId="07AE08E4">
            <w:pPr>
              <w:jc w:val="center"/>
              <w:rPr>
                <w:rFonts w:hint="eastAsia" w:ascii="仿宋" w:hAnsi="仿宋" w:eastAsia="仿宋" w:cs="仿宋"/>
                <w:color w:val="auto"/>
                <w:sz w:val="21"/>
                <w:szCs w:val="21"/>
              </w:rPr>
            </w:pPr>
          </w:p>
        </w:tc>
        <w:tc>
          <w:tcPr>
            <w:tcW w:w="1230" w:type="dxa"/>
            <w:vMerge w:val="continue"/>
            <w:noWrap w:val="0"/>
            <w:vAlign w:val="center"/>
          </w:tcPr>
          <w:p w14:paraId="1A300AF6">
            <w:pPr>
              <w:jc w:val="center"/>
              <w:rPr>
                <w:rFonts w:hint="eastAsia" w:ascii="仿宋" w:hAnsi="仿宋" w:eastAsia="仿宋" w:cs="仿宋"/>
                <w:color w:val="auto"/>
                <w:sz w:val="21"/>
                <w:szCs w:val="21"/>
              </w:rPr>
            </w:pPr>
          </w:p>
        </w:tc>
        <w:tc>
          <w:tcPr>
            <w:tcW w:w="1980" w:type="dxa"/>
            <w:gridSpan w:val="2"/>
            <w:vMerge w:val="continue"/>
            <w:noWrap w:val="0"/>
            <w:vAlign w:val="center"/>
          </w:tcPr>
          <w:p w14:paraId="0CFCB36F">
            <w:pPr>
              <w:jc w:val="center"/>
              <w:rPr>
                <w:rFonts w:hint="eastAsia" w:ascii="仿宋" w:hAnsi="仿宋" w:eastAsia="仿宋" w:cs="仿宋"/>
                <w:color w:val="auto"/>
                <w:sz w:val="21"/>
                <w:szCs w:val="21"/>
              </w:rPr>
            </w:pPr>
          </w:p>
        </w:tc>
        <w:tc>
          <w:tcPr>
            <w:tcW w:w="803" w:type="dxa"/>
            <w:vMerge w:val="continue"/>
            <w:noWrap w:val="0"/>
            <w:vAlign w:val="center"/>
          </w:tcPr>
          <w:p w14:paraId="0ABCB3DC">
            <w:pPr>
              <w:jc w:val="center"/>
              <w:rPr>
                <w:rFonts w:hint="eastAsia" w:ascii="仿宋" w:hAnsi="仿宋" w:eastAsia="仿宋" w:cs="仿宋"/>
                <w:color w:val="auto"/>
                <w:sz w:val="21"/>
                <w:szCs w:val="21"/>
              </w:rPr>
            </w:pPr>
          </w:p>
        </w:tc>
        <w:tc>
          <w:tcPr>
            <w:tcW w:w="1125" w:type="dxa"/>
            <w:noWrap w:val="0"/>
            <w:vAlign w:val="center"/>
          </w:tcPr>
          <w:p w14:paraId="07178A3A">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二级</w:t>
            </w:r>
          </w:p>
        </w:tc>
        <w:tc>
          <w:tcPr>
            <w:tcW w:w="3750" w:type="dxa"/>
            <w:noWrap w:val="0"/>
            <w:vAlign w:val="center"/>
          </w:tcPr>
          <w:p w14:paraId="45D0AD57">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长度：一级保护区的上游边界向上延伸2000米（包括汇入支流），下游边界向下延伸200米；</w:t>
            </w:r>
          </w:p>
          <w:p w14:paraId="2453646E">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宽度：长江中泓线至右岸的水域。</w:t>
            </w:r>
          </w:p>
        </w:tc>
        <w:tc>
          <w:tcPr>
            <w:tcW w:w="3525" w:type="dxa"/>
            <w:noWrap w:val="0"/>
            <w:vAlign w:val="center"/>
          </w:tcPr>
          <w:p w14:paraId="72365659">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长度：二级保护区水域河长；</w:t>
            </w:r>
          </w:p>
          <w:p w14:paraId="7C38EE1E">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宽度：右岸防洪堤以内陆域。</w:t>
            </w:r>
          </w:p>
        </w:tc>
        <w:tc>
          <w:tcPr>
            <w:tcW w:w="877" w:type="dxa"/>
            <w:vMerge w:val="continue"/>
            <w:noWrap w:val="0"/>
            <w:vAlign w:val="top"/>
          </w:tcPr>
          <w:p w14:paraId="7A4B095E">
            <w:pPr>
              <w:rPr>
                <w:rFonts w:hint="eastAsia" w:ascii="仿宋" w:hAnsi="仿宋" w:eastAsia="仿宋" w:cs="仿宋"/>
                <w:color w:val="auto"/>
                <w:sz w:val="21"/>
                <w:szCs w:val="21"/>
              </w:rPr>
            </w:pPr>
          </w:p>
        </w:tc>
      </w:tr>
      <w:tr w14:paraId="20BF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restart"/>
            <w:noWrap w:val="0"/>
            <w:vAlign w:val="center"/>
          </w:tcPr>
          <w:p w14:paraId="7576E617">
            <w:pPr>
              <w:jc w:val="center"/>
              <w:rPr>
                <w:rFonts w:hint="eastAsia" w:ascii="仿宋" w:hAnsi="仿宋" w:eastAsia="仿宋" w:cs="仿宋"/>
                <w:color w:val="auto"/>
                <w:sz w:val="21"/>
                <w:szCs w:val="21"/>
              </w:rPr>
            </w:pPr>
            <w:r>
              <w:rPr>
                <w:rFonts w:hint="eastAsia" w:ascii="仿宋" w:hAnsi="仿宋" w:eastAsia="仿宋" w:cs="仿宋"/>
                <w:color w:val="auto"/>
                <w:sz w:val="21"/>
                <w:szCs w:val="21"/>
              </w:rPr>
              <w:t>112</w:t>
            </w:r>
          </w:p>
        </w:tc>
        <w:tc>
          <w:tcPr>
            <w:tcW w:w="750" w:type="dxa"/>
            <w:vMerge w:val="restart"/>
            <w:noWrap w:val="0"/>
            <w:vAlign w:val="center"/>
          </w:tcPr>
          <w:p w14:paraId="5159EF4F">
            <w:pPr>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1230" w:type="dxa"/>
            <w:vMerge w:val="restart"/>
            <w:noWrap w:val="0"/>
            <w:vAlign w:val="center"/>
          </w:tcPr>
          <w:p w14:paraId="22DA01C0">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咸宁市</w:t>
            </w:r>
          </w:p>
        </w:tc>
        <w:tc>
          <w:tcPr>
            <w:tcW w:w="1980" w:type="dxa"/>
            <w:gridSpan w:val="2"/>
            <w:vMerge w:val="restart"/>
            <w:noWrap w:val="0"/>
            <w:vAlign w:val="center"/>
          </w:tcPr>
          <w:p w14:paraId="401BB3FF">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咸宁市淦河一号桥水源地</w:t>
            </w:r>
          </w:p>
        </w:tc>
        <w:tc>
          <w:tcPr>
            <w:tcW w:w="803" w:type="dxa"/>
            <w:vMerge w:val="restart"/>
            <w:noWrap w:val="0"/>
            <w:vAlign w:val="center"/>
          </w:tcPr>
          <w:p w14:paraId="64F3930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淦河</w:t>
            </w:r>
          </w:p>
        </w:tc>
        <w:tc>
          <w:tcPr>
            <w:tcW w:w="1125" w:type="dxa"/>
            <w:noWrap w:val="0"/>
            <w:vAlign w:val="center"/>
          </w:tcPr>
          <w:p w14:paraId="136A3C90">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一级</w:t>
            </w:r>
          </w:p>
        </w:tc>
        <w:tc>
          <w:tcPr>
            <w:tcW w:w="3750" w:type="dxa"/>
            <w:noWrap w:val="0"/>
            <w:vAlign w:val="center"/>
          </w:tcPr>
          <w:p w14:paraId="37DAAA88">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长度：取水口上游1000米至下游100米；</w:t>
            </w:r>
          </w:p>
          <w:p w14:paraId="674ABB77">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宽度：整个河道宽。</w:t>
            </w:r>
          </w:p>
        </w:tc>
        <w:tc>
          <w:tcPr>
            <w:tcW w:w="3525" w:type="dxa"/>
            <w:noWrap w:val="0"/>
            <w:vAlign w:val="center"/>
          </w:tcPr>
          <w:p w14:paraId="584F2458">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长度：一级保护区水域河长；</w:t>
            </w:r>
          </w:p>
          <w:p w14:paraId="6CAC893E">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宽度：河岸两边纵深50米相应长度。</w:t>
            </w:r>
          </w:p>
        </w:tc>
        <w:tc>
          <w:tcPr>
            <w:tcW w:w="877" w:type="dxa"/>
            <w:vMerge w:val="restart"/>
            <w:noWrap w:val="0"/>
            <w:vAlign w:val="top"/>
          </w:tcPr>
          <w:p w14:paraId="57B9E652">
            <w:pPr>
              <w:rPr>
                <w:rFonts w:hint="eastAsia" w:ascii="仿宋" w:hAnsi="仿宋" w:eastAsia="仿宋" w:cs="仿宋"/>
                <w:color w:val="auto"/>
                <w:sz w:val="21"/>
                <w:szCs w:val="21"/>
              </w:rPr>
            </w:pPr>
            <w:r>
              <w:rPr>
                <w:rFonts w:hint="eastAsia" w:ascii="仿宋" w:hAnsi="仿宋" w:eastAsia="仿宋" w:cs="仿宋"/>
                <w:color w:val="auto"/>
                <w:sz w:val="21"/>
                <w:szCs w:val="21"/>
              </w:rPr>
              <w:t>备用水源地</w:t>
            </w:r>
          </w:p>
        </w:tc>
      </w:tr>
      <w:tr w14:paraId="5633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5ABA41BC">
            <w:pPr>
              <w:jc w:val="center"/>
              <w:rPr>
                <w:rFonts w:hint="eastAsia" w:ascii="仿宋" w:hAnsi="仿宋" w:eastAsia="仿宋" w:cs="仿宋"/>
                <w:color w:val="auto"/>
                <w:sz w:val="21"/>
                <w:szCs w:val="21"/>
              </w:rPr>
            </w:pPr>
          </w:p>
        </w:tc>
        <w:tc>
          <w:tcPr>
            <w:tcW w:w="750" w:type="dxa"/>
            <w:vMerge w:val="continue"/>
            <w:noWrap w:val="0"/>
            <w:vAlign w:val="center"/>
          </w:tcPr>
          <w:p w14:paraId="684CFD46">
            <w:pPr>
              <w:jc w:val="center"/>
              <w:rPr>
                <w:rFonts w:hint="eastAsia" w:ascii="仿宋" w:hAnsi="仿宋" w:eastAsia="仿宋" w:cs="仿宋"/>
                <w:color w:val="auto"/>
                <w:sz w:val="21"/>
                <w:szCs w:val="21"/>
              </w:rPr>
            </w:pPr>
          </w:p>
        </w:tc>
        <w:tc>
          <w:tcPr>
            <w:tcW w:w="1230" w:type="dxa"/>
            <w:vMerge w:val="continue"/>
            <w:noWrap w:val="0"/>
            <w:vAlign w:val="center"/>
          </w:tcPr>
          <w:p w14:paraId="6833FC8D">
            <w:pPr>
              <w:jc w:val="center"/>
              <w:rPr>
                <w:rFonts w:hint="eastAsia" w:ascii="仿宋" w:hAnsi="仿宋" w:eastAsia="仿宋" w:cs="仿宋"/>
                <w:color w:val="auto"/>
                <w:sz w:val="21"/>
                <w:szCs w:val="21"/>
              </w:rPr>
            </w:pPr>
          </w:p>
        </w:tc>
        <w:tc>
          <w:tcPr>
            <w:tcW w:w="1980" w:type="dxa"/>
            <w:gridSpan w:val="2"/>
            <w:vMerge w:val="continue"/>
            <w:noWrap w:val="0"/>
            <w:vAlign w:val="center"/>
          </w:tcPr>
          <w:p w14:paraId="45A4889F">
            <w:pPr>
              <w:jc w:val="center"/>
              <w:rPr>
                <w:rFonts w:hint="eastAsia" w:ascii="仿宋" w:hAnsi="仿宋" w:eastAsia="仿宋" w:cs="仿宋"/>
                <w:color w:val="auto"/>
                <w:sz w:val="21"/>
                <w:szCs w:val="21"/>
              </w:rPr>
            </w:pPr>
          </w:p>
        </w:tc>
        <w:tc>
          <w:tcPr>
            <w:tcW w:w="803" w:type="dxa"/>
            <w:vMerge w:val="continue"/>
            <w:noWrap w:val="0"/>
            <w:vAlign w:val="center"/>
          </w:tcPr>
          <w:p w14:paraId="5DA99022">
            <w:pPr>
              <w:jc w:val="center"/>
              <w:rPr>
                <w:rFonts w:hint="eastAsia" w:ascii="仿宋" w:hAnsi="仿宋" w:eastAsia="仿宋" w:cs="仿宋"/>
                <w:color w:val="auto"/>
                <w:sz w:val="21"/>
                <w:szCs w:val="21"/>
              </w:rPr>
            </w:pPr>
          </w:p>
        </w:tc>
        <w:tc>
          <w:tcPr>
            <w:tcW w:w="1125" w:type="dxa"/>
            <w:noWrap w:val="0"/>
            <w:vAlign w:val="center"/>
          </w:tcPr>
          <w:p w14:paraId="45B9CF1D">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二级</w:t>
            </w:r>
          </w:p>
        </w:tc>
        <w:tc>
          <w:tcPr>
            <w:tcW w:w="3750" w:type="dxa"/>
            <w:noWrap w:val="0"/>
            <w:vAlign w:val="center"/>
          </w:tcPr>
          <w:p w14:paraId="7ECFBB0D">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长度：一级保护区的上游边界向上延伸至马桥电站水坝，下游边界向下延伸至橡皮坝；</w:t>
            </w:r>
          </w:p>
          <w:p w14:paraId="3EA8C7B7">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宽度：整个河道宽。</w:t>
            </w:r>
          </w:p>
        </w:tc>
        <w:tc>
          <w:tcPr>
            <w:tcW w:w="3525" w:type="dxa"/>
            <w:noWrap w:val="0"/>
            <w:vAlign w:val="center"/>
          </w:tcPr>
          <w:p w14:paraId="6B2E6BB9">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长度：二级保护区水域河长；</w:t>
            </w:r>
          </w:p>
          <w:p w14:paraId="4857D1B5">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宽度：河岸两边纵深50米相应长度。</w:t>
            </w:r>
          </w:p>
        </w:tc>
        <w:tc>
          <w:tcPr>
            <w:tcW w:w="877" w:type="dxa"/>
            <w:vMerge w:val="continue"/>
            <w:noWrap w:val="0"/>
            <w:vAlign w:val="top"/>
          </w:tcPr>
          <w:p w14:paraId="43D02440">
            <w:pPr>
              <w:rPr>
                <w:rFonts w:hint="eastAsia" w:ascii="仿宋" w:hAnsi="仿宋" w:eastAsia="仿宋" w:cs="仿宋"/>
                <w:color w:val="auto"/>
                <w:sz w:val="21"/>
                <w:szCs w:val="21"/>
              </w:rPr>
            </w:pPr>
          </w:p>
        </w:tc>
      </w:tr>
      <w:tr w14:paraId="5BD3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restart"/>
            <w:noWrap w:val="0"/>
            <w:vAlign w:val="center"/>
          </w:tcPr>
          <w:p w14:paraId="1C839C7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113</w:t>
            </w:r>
          </w:p>
        </w:tc>
        <w:tc>
          <w:tcPr>
            <w:tcW w:w="750" w:type="dxa"/>
            <w:vMerge w:val="restart"/>
            <w:noWrap w:val="0"/>
            <w:vAlign w:val="center"/>
          </w:tcPr>
          <w:p w14:paraId="733C78AE">
            <w:pPr>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1230" w:type="dxa"/>
            <w:vMerge w:val="restart"/>
            <w:noWrap w:val="0"/>
            <w:vAlign w:val="center"/>
          </w:tcPr>
          <w:p w14:paraId="3D3F4578">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咸宁市</w:t>
            </w:r>
          </w:p>
        </w:tc>
        <w:tc>
          <w:tcPr>
            <w:tcW w:w="1003" w:type="dxa"/>
            <w:vMerge w:val="restart"/>
            <w:noWrap w:val="0"/>
            <w:vAlign w:val="center"/>
          </w:tcPr>
          <w:p w14:paraId="6ECDE2BF">
            <w:pPr>
              <w:jc w:val="center"/>
              <w:rPr>
                <w:rFonts w:hint="eastAsia" w:ascii="仿宋" w:hAnsi="仿宋" w:eastAsia="仿宋" w:cs="仿宋"/>
                <w:color w:val="auto"/>
                <w:sz w:val="21"/>
                <w:szCs w:val="21"/>
              </w:rPr>
            </w:pPr>
            <w:r>
              <w:rPr>
                <w:rFonts w:hint="eastAsia" w:ascii="仿宋" w:hAnsi="仿宋" w:eastAsia="仿宋" w:cs="仿宋"/>
                <w:color w:val="auto"/>
                <w:sz w:val="21"/>
                <w:szCs w:val="21"/>
              </w:rPr>
              <w:t>赤壁市</w:t>
            </w:r>
          </w:p>
        </w:tc>
        <w:tc>
          <w:tcPr>
            <w:tcW w:w="977" w:type="dxa"/>
            <w:vMerge w:val="restart"/>
            <w:noWrap w:val="0"/>
            <w:vAlign w:val="center"/>
          </w:tcPr>
          <w:p w14:paraId="2096C882">
            <w:pPr>
              <w:jc w:val="center"/>
              <w:rPr>
                <w:rFonts w:hint="eastAsia" w:ascii="仿宋" w:hAnsi="仿宋" w:eastAsia="仿宋" w:cs="仿宋"/>
                <w:color w:val="auto"/>
                <w:sz w:val="21"/>
                <w:szCs w:val="21"/>
              </w:rPr>
            </w:pPr>
            <w:r>
              <w:rPr>
                <w:rFonts w:hint="eastAsia" w:ascii="仿宋" w:hAnsi="仿宋" w:eastAsia="仿宋" w:cs="仿宋"/>
                <w:color w:val="auto"/>
                <w:sz w:val="21"/>
                <w:szCs w:val="21"/>
              </w:rPr>
              <w:t>赤壁市陆水水库</w:t>
            </w:r>
          </w:p>
        </w:tc>
        <w:tc>
          <w:tcPr>
            <w:tcW w:w="803" w:type="dxa"/>
            <w:vMerge w:val="restart"/>
            <w:noWrap w:val="0"/>
            <w:vAlign w:val="center"/>
          </w:tcPr>
          <w:p w14:paraId="36202B4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陆水水库</w:t>
            </w:r>
          </w:p>
        </w:tc>
        <w:tc>
          <w:tcPr>
            <w:tcW w:w="1125" w:type="dxa"/>
            <w:noWrap w:val="0"/>
            <w:vAlign w:val="center"/>
          </w:tcPr>
          <w:p w14:paraId="25E4812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一级</w:t>
            </w:r>
          </w:p>
        </w:tc>
        <w:tc>
          <w:tcPr>
            <w:tcW w:w="3750" w:type="dxa"/>
            <w:noWrap w:val="0"/>
            <w:vAlign w:val="center"/>
          </w:tcPr>
          <w:p w14:paraId="565FC100">
            <w:pPr>
              <w:jc w:val="both"/>
              <w:rPr>
                <w:rFonts w:hint="eastAsia" w:ascii="仿宋" w:hAnsi="仿宋" w:eastAsia="仿宋" w:cs="仿宋"/>
                <w:color w:val="auto"/>
                <w:sz w:val="21"/>
                <w:szCs w:val="21"/>
              </w:rPr>
            </w:pPr>
            <w:r>
              <w:rPr>
                <w:rFonts w:hint="eastAsia" w:ascii="仿宋" w:hAnsi="仿宋" w:eastAsia="仿宋" w:cs="仿宋"/>
                <w:color w:val="auto"/>
                <w:sz w:val="21"/>
                <w:szCs w:val="21"/>
              </w:rPr>
              <w:t>一、二水厂取水口和三水厂取水口半径500米范围内的水域</w:t>
            </w:r>
          </w:p>
        </w:tc>
        <w:tc>
          <w:tcPr>
            <w:tcW w:w="3525" w:type="dxa"/>
            <w:noWrap w:val="0"/>
            <w:vAlign w:val="center"/>
          </w:tcPr>
          <w:p w14:paraId="7B0D6707">
            <w:pPr>
              <w:jc w:val="both"/>
              <w:rPr>
                <w:rFonts w:hint="eastAsia" w:ascii="仿宋" w:hAnsi="仿宋" w:eastAsia="仿宋" w:cs="仿宋"/>
                <w:color w:val="auto"/>
                <w:sz w:val="21"/>
                <w:szCs w:val="21"/>
              </w:rPr>
            </w:pPr>
            <w:r>
              <w:rPr>
                <w:rFonts w:hint="eastAsia" w:ascii="仿宋" w:hAnsi="仿宋" w:eastAsia="仿宋" w:cs="仿宋"/>
                <w:color w:val="auto"/>
                <w:sz w:val="21"/>
                <w:szCs w:val="21"/>
              </w:rPr>
              <w:t>取水口侧正常水位线以上陆域半径200米范围的区域</w:t>
            </w:r>
          </w:p>
        </w:tc>
        <w:tc>
          <w:tcPr>
            <w:tcW w:w="877" w:type="dxa"/>
            <w:vMerge w:val="restart"/>
            <w:noWrap w:val="0"/>
            <w:vAlign w:val="top"/>
          </w:tcPr>
          <w:p w14:paraId="211CCE4C">
            <w:pPr>
              <w:rPr>
                <w:rFonts w:hint="eastAsia" w:ascii="仿宋" w:hAnsi="仿宋" w:eastAsia="仿宋" w:cs="仿宋"/>
                <w:color w:val="auto"/>
                <w:sz w:val="21"/>
                <w:szCs w:val="21"/>
              </w:rPr>
            </w:pPr>
            <w:r>
              <w:rPr>
                <w:rFonts w:hint="eastAsia" w:ascii="仿宋" w:hAnsi="仿宋" w:eastAsia="仿宋" w:cs="仿宋"/>
                <w:color w:val="auto"/>
                <w:sz w:val="21"/>
                <w:szCs w:val="21"/>
              </w:rPr>
              <w:t>含三个取水口</w:t>
            </w:r>
          </w:p>
        </w:tc>
      </w:tr>
      <w:tr w14:paraId="1C1A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4C733F79">
            <w:pPr>
              <w:jc w:val="center"/>
              <w:rPr>
                <w:rFonts w:hint="eastAsia" w:ascii="仿宋" w:hAnsi="仿宋" w:eastAsia="仿宋" w:cs="仿宋"/>
                <w:color w:val="auto"/>
                <w:sz w:val="21"/>
                <w:szCs w:val="21"/>
              </w:rPr>
            </w:pPr>
          </w:p>
        </w:tc>
        <w:tc>
          <w:tcPr>
            <w:tcW w:w="750" w:type="dxa"/>
            <w:vMerge w:val="continue"/>
            <w:noWrap w:val="0"/>
            <w:vAlign w:val="center"/>
          </w:tcPr>
          <w:p w14:paraId="720AF3A3">
            <w:pPr>
              <w:jc w:val="center"/>
              <w:rPr>
                <w:rFonts w:hint="eastAsia" w:ascii="仿宋" w:hAnsi="仿宋" w:eastAsia="仿宋" w:cs="仿宋"/>
                <w:color w:val="auto"/>
                <w:sz w:val="21"/>
                <w:szCs w:val="21"/>
              </w:rPr>
            </w:pPr>
          </w:p>
        </w:tc>
        <w:tc>
          <w:tcPr>
            <w:tcW w:w="1230" w:type="dxa"/>
            <w:vMerge w:val="continue"/>
            <w:noWrap w:val="0"/>
            <w:vAlign w:val="center"/>
          </w:tcPr>
          <w:p w14:paraId="38541ED8">
            <w:pPr>
              <w:jc w:val="center"/>
              <w:rPr>
                <w:rFonts w:hint="eastAsia" w:ascii="仿宋" w:hAnsi="仿宋" w:eastAsia="仿宋" w:cs="仿宋"/>
                <w:color w:val="auto"/>
                <w:sz w:val="21"/>
                <w:szCs w:val="21"/>
              </w:rPr>
            </w:pPr>
          </w:p>
        </w:tc>
        <w:tc>
          <w:tcPr>
            <w:tcW w:w="1003" w:type="dxa"/>
            <w:vMerge w:val="continue"/>
            <w:noWrap w:val="0"/>
            <w:vAlign w:val="center"/>
          </w:tcPr>
          <w:p w14:paraId="4EFA9CF2">
            <w:pPr>
              <w:jc w:val="center"/>
              <w:rPr>
                <w:rFonts w:hint="eastAsia" w:ascii="仿宋" w:hAnsi="仿宋" w:eastAsia="仿宋" w:cs="仿宋"/>
                <w:color w:val="auto"/>
                <w:sz w:val="21"/>
                <w:szCs w:val="21"/>
              </w:rPr>
            </w:pPr>
          </w:p>
        </w:tc>
        <w:tc>
          <w:tcPr>
            <w:tcW w:w="977" w:type="dxa"/>
            <w:vMerge w:val="continue"/>
            <w:noWrap w:val="0"/>
            <w:vAlign w:val="center"/>
          </w:tcPr>
          <w:p w14:paraId="720BA56D">
            <w:pPr>
              <w:jc w:val="center"/>
              <w:rPr>
                <w:rFonts w:hint="eastAsia" w:ascii="仿宋" w:hAnsi="仿宋" w:eastAsia="仿宋" w:cs="仿宋"/>
                <w:color w:val="auto"/>
                <w:sz w:val="21"/>
                <w:szCs w:val="21"/>
              </w:rPr>
            </w:pPr>
          </w:p>
        </w:tc>
        <w:tc>
          <w:tcPr>
            <w:tcW w:w="803" w:type="dxa"/>
            <w:vMerge w:val="continue"/>
            <w:noWrap w:val="0"/>
            <w:vAlign w:val="center"/>
          </w:tcPr>
          <w:p w14:paraId="69C046C1">
            <w:pPr>
              <w:jc w:val="center"/>
              <w:rPr>
                <w:rFonts w:hint="eastAsia" w:ascii="仿宋" w:hAnsi="仿宋" w:eastAsia="仿宋" w:cs="仿宋"/>
                <w:color w:val="auto"/>
                <w:sz w:val="21"/>
                <w:szCs w:val="21"/>
              </w:rPr>
            </w:pPr>
          </w:p>
        </w:tc>
        <w:tc>
          <w:tcPr>
            <w:tcW w:w="1125" w:type="dxa"/>
            <w:noWrap w:val="0"/>
            <w:vAlign w:val="center"/>
          </w:tcPr>
          <w:p w14:paraId="2C28D147">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二级</w:t>
            </w:r>
          </w:p>
        </w:tc>
        <w:tc>
          <w:tcPr>
            <w:tcW w:w="3750" w:type="dxa"/>
            <w:noWrap w:val="0"/>
            <w:vAlign w:val="center"/>
          </w:tcPr>
          <w:p w14:paraId="6054BA74">
            <w:pPr>
              <w:jc w:val="both"/>
              <w:rPr>
                <w:rFonts w:hint="eastAsia" w:ascii="仿宋" w:hAnsi="仿宋" w:eastAsia="仿宋" w:cs="仿宋"/>
                <w:color w:val="auto"/>
                <w:sz w:val="21"/>
                <w:szCs w:val="21"/>
              </w:rPr>
            </w:pPr>
            <w:r>
              <w:rPr>
                <w:rFonts w:hint="eastAsia" w:ascii="仿宋" w:hAnsi="仿宋" w:eastAsia="仿宋" w:cs="仿宋"/>
                <w:color w:val="auto"/>
                <w:sz w:val="21"/>
                <w:szCs w:val="21"/>
              </w:rPr>
              <w:t>一级保护区外径向距离2000米范围内的区域</w:t>
            </w:r>
          </w:p>
        </w:tc>
        <w:tc>
          <w:tcPr>
            <w:tcW w:w="3525" w:type="dxa"/>
            <w:noWrap w:val="0"/>
            <w:vAlign w:val="center"/>
          </w:tcPr>
          <w:p w14:paraId="7561D70D">
            <w:pPr>
              <w:jc w:val="both"/>
              <w:rPr>
                <w:rFonts w:hint="eastAsia" w:ascii="仿宋" w:hAnsi="仿宋" w:eastAsia="仿宋" w:cs="仿宋"/>
                <w:color w:val="auto"/>
                <w:sz w:val="21"/>
                <w:szCs w:val="21"/>
              </w:rPr>
            </w:pPr>
            <w:r>
              <w:rPr>
                <w:rFonts w:hint="eastAsia" w:ascii="仿宋" w:hAnsi="仿宋" w:eastAsia="仿宋" w:cs="仿宋"/>
                <w:color w:val="auto"/>
                <w:sz w:val="21"/>
                <w:szCs w:val="21"/>
              </w:rPr>
              <w:t>一级保护区外距离3000米的区域，其陆域边界不超过流域分水岭范围</w:t>
            </w:r>
          </w:p>
        </w:tc>
        <w:tc>
          <w:tcPr>
            <w:tcW w:w="877" w:type="dxa"/>
            <w:vMerge w:val="continue"/>
            <w:noWrap w:val="0"/>
            <w:vAlign w:val="top"/>
          </w:tcPr>
          <w:p w14:paraId="282A21A0">
            <w:pPr>
              <w:rPr>
                <w:rFonts w:hint="eastAsia" w:ascii="仿宋" w:hAnsi="仿宋" w:eastAsia="仿宋" w:cs="仿宋"/>
                <w:color w:val="auto"/>
                <w:sz w:val="21"/>
                <w:szCs w:val="21"/>
              </w:rPr>
            </w:pPr>
          </w:p>
        </w:tc>
      </w:tr>
      <w:tr w14:paraId="67CF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3E354CD9">
            <w:pPr>
              <w:jc w:val="center"/>
              <w:rPr>
                <w:rFonts w:hint="eastAsia" w:ascii="仿宋" w:hAnsi="仿宋" w:eastAsia="仿宋" w:cs="仿宋"/>
                <w:color w:val="auto"/>
                <w:sz w:val="21"/>
                <w:szCs w:val="21"/>
              </w:rPr>
            </w:pPr>
          </w:p>
        </w:tc>
        <w:tc>
          <w:tcPr>
            <w:tcW w:w="750" w:type="dxa"/>
            <w:vMerge w:val="continue"/>
            <w:noWrap w:val="0"/>
            <w:vAlign w:val="center"/>
          </w:tcPr>
          <w:p w14:paraId="6CCB37DA">
            <w:pPr>
              <w:jc w:val="center"/>
              <w:rPr>
                <w:rFonts w:hint="eastAsia" w:ascii="仿宋" w:hAnsi="仿宋" w:eastAsia="仿宋" w:cs="仿宋"/>
                <w:color w:val="auto"/>
                <w:sz w:val="21"/>
                <w:szCs w:val="21"/>
              </w:rPr>
            </w:pPr>
          </w:p>
        </w:tc>
        <w:tc>
          <w:tcPr>
            <w:tcW w:w="1230" w:type="dxa"/>
            <w:vMerge w:val="continue"/>
            <w:noWrap w:val="0"/>
            <w:vAlign w:val="center"/>
          </w:tcPr>
          <w:p w14:paraId="3723D45A">
            <w:pPr>
              <w:jc w:val="center"/>
              <w:rPr>
                <w:rFonts w:hint="eastAsia" w:ascii="仿宋" w:hAnsi="仿宋" w:eastAsia="仿宋" w:cs="仿宋"/>
                <w:color w:val="auto"/>
                <w:sz w:val="21"/>
                <w:szCs w:val="21"/>
              </w:rPr>
            </w:pPr>
          </w:p>
        </w:tc>
        <w:tc>
          <w:tcPr>
            <w:tcW w:w="1003" w:type="dxa"/>
            <w:vMerge w:val="continue"/>
            <w:noWrap w:val="0"/>
            <w:vAlign w:val="center"/>
          </w:tcPr>
          <w:p w14:paraId="4A6D9F2F">
            <w:pPr>
              <w:jc w:val="center"/>
              <w:rPr>
                <w:rFonts w:hint="eastAsia" w:ascii="仿宋" w:hAnsi="仿宋" w:eastAsia="仿宋" w:cs="仿宋"/>
                <w:color w:val="auto"/>
                <w:sz w:val="21"/>
                <w:szCs w:val="21"/>
              </w:rPr>
            </w:pPr>
          </w:p>
        </w:tc>
        <w:tc>
          <w:tcPr>
            <w:tcW w:w="977" w:type="dxa"/>
            <w:vMerge w:val="continue"/>
            <w:noWrap w:val="0"/>
            <w:vAlign w:val="center"/>
          </w:tcPr>
          <w:p w14:paraId="09BAD7AE">
            <w:pPr>
              <w:jc w:val="center"/>
              <w:rPr>
                <w:rFonts w:hint="eastAsia" w:ascii="仿宋" w:hAnsi="仿宋" w:eastAsia="仿宋" w:cs="仿宋"/>
                <w:color w:val="auto"/>
                <w:sz w:val="21"/>
                <w:szCs w:val="21"/>
              </w:rPr>
            </w:pPr>
          </w:p>
        </w:tc>
        <w:tc>
          <w:tcPr>
            <w:tcW w:w="803" w:type="dxa"/>
            <w:vMerge w:val="continue"/>
            <w:noWrap w:val="0"/>
            <w:vAlign w:val="center"/>
          </w:tcPr>
          <w:p w14:paraId="254999C2">
            <w:pPr>
              <w:jc w:val="center"/>
              <w:rPr>
                <w:rFonts w:hint="eastAsia" w:ascii="仿宋" w:hAnsi="仿宋" w:eastAsia="仿宋" w:cs="仿宋"/>
                <w:color w:val="auto"/>
                <w:sz w:val="21"/>
                <w:szCs w:val="21"/>
              </w:rPr>
            </w:pPr>
          </w:p>
        </w:tc>
        <w:tc>
          <w:tcPr>
            <w:tcW w:w="1125" w:type="dxa"/>
            <w:noWrap w:val="0"/>
            <w:vAlign w:val="center"/>
          </w:tcPr>
          <w:p w14:paraId="3B4BE347">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准保护区</w:t>
            </w:r>
          </w:p>
        </w:tc>
        <w:tc>
          <w:tcPr>
            <w:tcW w:w="3750" w:type="dxa"/>
            <w:noWrap w:val="0"/>
            <w:vAlign w:val="center"/>
          </w:tcPr>
          <w:p w14:paraId="0DA911E4">
            <w:pPr>
              <w:jc w:val="both"/>
              <w:rPr>
                <w:rFonts w:hint="eastAsia" w:ascii="仿宋" w:hAnsi="仿宋" w:eastAsia="仿宋" w:cs="仿宋"/>
                <w:color w:val="auto"/>
                <w:sz w:val="21"/>
                <w:szCs w:val="21"/>
              </w:rPr>
            </w:pPr>
            <w:r>
              <w:rPr>
                <w:rFonts w:hint="eastAsia" w:ascii="仿宋" w:hAnsi="仿宋" w:eastAsia="仿宋" w:cs="仿宋"/>
                <w:color w:val="auto"/>
                <w:sz w:val="21"/>
                <w:szCs w:val="21"/>
              </w:rPr>
              <w:t>二级保护区水域上溯至芳世湾断面</w:t>
            </w:r>
          </w:p>
        </w:tc>
        <w:tc>
          <w:tcPr>
            <w:tcW w:w="3525" w:type="dxa"/>
            <w:noWrap w:val="0"/>
            <w:vAlign w:val="center"/>
          </w:tcPr>
          <w:p w14:paraId="5525F0C9">
            <w:pPr>
              <w:jc w:val="both"/>
              <w:rPr>
                <w:rFonts w:hint="eastAsia" w:ascii="仿宋" w:hAnsi="仿宋" w:eastAsia="仿宋" w:cs="仿宋"/>
                <w:color w:val="auto"/>
                <w:sz w:val="21"/>
                <w:szCs w:val="21"/>
              </w:rPr>
            </w:pPr>
            <w:r>
              <w:rPr>
                <w:rFonts w:hint="eastAsia" w:ascii="仿宋" w:hAnsi="仿宋" w:eastAsia="仿宋" w:cs="仿宋"/>
                <w:color w:val="auto"/>
                <w:sz w:val="21"/>
                <w:szCs w:val="21"/>
              </w:rPr>
              <w:t>水库上游汇水区域（一、二级保护区陆域除外）</w:t>
            </w:r>
          </w:p>
        </w:tc>
        <w:tc>
          <w:tcPr>
            <w:tcW w:w="877" w:type="dxa"/>
            <w:vMerge w:val="continue"/>
            <w:noWrap w:val="0"/>
            <w:vAlign w:val="top"/>
          </w:tcPr>
          <w:p w14:paraId="4A31AB72">
            <w:pPr>
              <w:rPr>
                <w:rFonts w:hint="eastAsia" w:ascii="仿宋" w:hAnsi="仿宋" w:eastAsia="仿宋" w:cs="仿宋"/>
                <w:color w:val="auto"/>
                <w:sz w:val="21"/>
                <w:szCs w:val="21"/>
              </w:rPr>
            </w:pPr>
          </w:p>
        </w:tc>
      </w:tr>
      <w:tr w14:paraId="3224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restart"/>
            <w:noWrap w:val="0"/>
            <w:vAlign w:val="center"/>
          </w:tcPr>
          <w:p w14:paraId="77F940ED">
            <w:pPr>
              <w:jc w:val="center"/>
              <w:rPr>
                <w:rFonts w:hint="eastAsia" w:ascii="仿宋" w:hAnsi="仿宋" w:eastAsia="仿宋" w:cs="仿宋"/>
                <w:color w:val="auto"/>
                <w:sz w:val="21"/>
                <w:szCs w:val="21"/>
              </w:rPr>
            </w:pPr>
            <w:r>
              <w:rPr>
                <w:rFonts w:hint="eastAsia" w:ascii="仿宋" w:hAnsi="仿宋" w:eastAsia="仿宋" w:cs="仿宋"/>
                <w:color w:val="auto"/>
                <w:sz w:val="21"/>
                <w:szCs w:val="21"/>
              </w:rPr>
              <w:t>114</w:t>
            </w:r>
          </w:p>
        </w:tc>
        <w:tc>
          <w:tcPr>
            <w:tcW w:w="750" w:type="dxa"/>
            <w:vMerge w:val="restart"/>
            <w:noWrap w:val="0"/>
            <w:vAlign w:val="center"/>
          </w:tcPr>
          <w:p w14:paraId="21E9EC29">
            <w:pPr>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1230" w:type="dxa"/>
            <w:vMerge w:val="restart"/>
            <w:noWrap w:val="0"/>
            <w:vAlign w:val="center"/>
          </w:tcPr>
          <w:p w14:paraId="660DAA65">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咸宁市</w:t>
            </w:r>
          </w:p>
        </w:tc>
        <w:tc>
          <w:tcPr>
            <w:tcW w:w="1003" w:type="dxa"/>
            <w:vMerge w:val="restart"/>
            <w:noWrap w:val="0"/>
            <w:vAlign w:val="center"/>
          </w:tcPr>
          <w:p w14:paraId="2A47949E">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嘉鱼县</w:t>
            </w:r>
          </w:p>
        </w:tc>
        <w:tc>
          <w:tcPr>
            <w:tcW w:w="977" w:type="dxa"/>
            <w:vMerge w:val="restart"/>
            <w:noWrap w:val="0"/>
            <w:vAlign w:val="center"/>
          </w:tcPr>
          <w:p w14:paraId="63C8AB26">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嘉鱼县石矶头水源地</w:t>
            </w:r>
          </w:p>
        </w:tc>
        <w:tc>
          <w:tcPr>
            <w:tcW w:w="803" w:type="dxa"/>
            <w:vMerge w:val="restart"/>
            <w:noWrap w:val="0"/>
            <w:vAlign w:val="center"/>
          </w:tcPr>
          <w:p w14:paraId="06168E8E">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长江</w:t>
            </w:r>
          </w:p>
        </w:tc>
        <w:tc>
          <w:tcPr>
            <w:tcW w:w="1125" w:type="dxa"/>
            <w:noWrap w:val="0"/>
            <w:vAlign w:val="center"/>
          </w:tcPr>
          <w:p w14:paraId="32661E7B">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一级</w:t>
            </w:r>
          </w:p>
        </w:tc>
        <w:tc>
          <w:tcPr>
            <w:tcW w:w="3750" w:type="dxa"/>
            <w:noWrap w:val="0"/>
            <w:vAlign w:val="center"/>
          </w:tcPr>
          <w:p w14:paraId="53EC9021">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长度：取水口上游1000米至下游100米；</w:t>
            </w:r>
          </w:p>
          <w:p w14:paraId="29CBC08E">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宽度：长江中泓线至右岸的水域。</w:t>
            </w:r>
          </w:p>
        </w:tc>
        <w:tc>
          <w:tcPr>
            <w:tcW w:w="3525" w:type="dxa"/>
            <w:noWrap w:val="0"/>
            <w:vAlign w:val="center"/>
          </w:tcPr>
          <w:p w14:paraId="5EABA8B1">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长度：一级保护区水域河长；</w:t>
            </w:r>
          </w:p>
          <w:p w14:paraId="1F766421">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宽度：右岸防洪堤以内陆域。</w:t>
            </w:r>
          </w:p>
        </w:tc>
        <w:tc>
          <w:tcPr>
            <w:tcW w:w="877" w:type="dxa"/>
            <w:vMerge w:val="restart"/>
            <w:noWrap w:val="0"/>
            <w:vAlign w:val="top"/>
          </w:tcPr>
          <w:p w14:paraId="2EA8BF33">
            <w:pPr>
              <w:rPr>
                <w:rFonts w:hint="eastAsia" w:ascii="仿宋" w:hAnsi="仿宋" w:eastAsia="仿宋" w:cs="仿宋"/>
                <w:color w:val="auto"/>
                <w:sz w:val="21"/>
                <w:szCs w:val="21"/>
              </w:rPr>
            </w:pPr>
          </w:p>
        </w:tc>
      </w:tr>
      <w:tr w14:paraId="1C0B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53A163E3">
            <w:pPr>
              <w:jc w:val="center"/>
              <w:rPr>
                <w:rFonts w:hint="eastAsia" w:ascii="仿宋" w:hAnsi="仿宋" w:eastAsia="仿宋" w:cs="仿宋"/>
                <w:color w:val="auto"/>
                <w:sz w:val="21"/>
                <w:szCs w:val="21"/>
              </w:rPr>
            </w:pPr>
          </w:p>
        </w:tc>
        <w:tc>
          <w:tcPr>
            <w:tcW w:w="750" w:type="dxa"/>
            <w:vMerge w:val="continue"/>
            <w:noWrap w:val="0"/>
            <w:vAlign w:val="center"/>
          </w:tcPr>
          <w:p w14:paraId="622919E7">
            <w:pPr>
              <w:jc w:val="center"/>
              <w:rPr>
                <w:rFonts w:hint="eastAsia" w:ascii="仿宋" w:hAnsi="仿宋" w:eastAsia="仿宋" w:cs="仿宋"/>
                <w:color w:val="auto"/>
                <w:sz w:val="21"/>
                <w:szCs w:val="21"/>
              </w:rPr>
            </w:pPr>
          </w:p>
        </w:tc>
        <w:tc>
          <w:tcPr>
            <w:tcW w:w="1230" w:type="dxa"/>
            <w:vMerge w:val="continue"/>
            <w:noWrap w:val="0"/>
            <w:vAlign w:val="center"/>
          </w:tcPr>
          <w:p w14:paraId="453EB098">
            <w:pPr>
              <w:jc w:val="center"/>
              <w:rPr>
                <w:rFonts w:hint="eastAsia" w:ascii="仿宋" w:hAnsi="仿宋" w:eastAsia="仿宋" w:cs="仿宋"/>
                <w:color w:val="auto"/>
                <w:sz w:val="21"/>
                <w:szCs w:val="21"/>
              </w:rPr>
            </w:pPr>
          </w:p>
        </w:tc>
        <w:tc>
          <w:tcPr>
            <w:tcW w:w="1003" w:type="dxa"/>
            <w:vMerge w:val="continue"/>
            <w:noWrap w:val="0"/>
            <w:vAlign w:val="center"/>
          </w:tcPr>
          <w:p w14:paraId="743D3034">
            <w:pPr>
              <w:jc w:val="center"/>
              <w:rPr>
                <w:rFonts w:hint="eastAsia" w:ascii="仿宋" w:hAnsi="仿宋" w:eastAsia="仿宋" w:cs="仿宋"/>
                <w:color w:val="auto"/>
                <w:sz w:val="21"/>
                <w:szCs w:val="21"/>
              </w:rPr>
            </w:pPr>
          </w:p>
        </w:tc>
        <w:tc>
          <w:tcPr>
            <w:tcW w:w="977" w:type="dxa"/>
            <w:vMerge w:val="continue"/>
            <w:noWrap w:val="0"/>
            <w:vAlign w:val="center"/>
          </w:tcPr>
          <w:p w14:paraId="1414F681">
            <w:pPr>
              <w:jc w:val="center"/>
              <w:rPr>
                <w:rFonts w:hint="eastAsia" w:ascii="仿宋" w:hAnsi="仿宋" w:eastAsia="仿宋" w:cs="仿宋"/>
                <w:color w:val="auto"/>
                <w:sz w:val="21"/>
                <w:szCs w:val="21"/>
              </w:rPr>
            </w:pPr>
          </w:p>
        </w:tc>
        <w:tc>
          <w:tcPr>
            <w:tcW w:w="803" w:type="dxa"/>
            <w:vMerge w:val="continue"/>
            <w:noWrap w:val="0"/>
            <w:vAlign w:val="center"/>
          </w:tcPr>
          <w:p w14:paraId="1AE5A833">
            <w:pPr>
              <w:jc w:val="center"/>
              <w:rPr>
                <w:rFonts w:hint="eastAsia" w:ascii="仿宋" w:hAnsi="仿宋" w:eastAsia="仿宋" w:cs="仿宋"/>
                <w:color w:val="auto"/>
                <w:sz w:val="21"/>
                <w:szCs w:val="21"/>
              </w:rPr>
            </w:pPr>
          </w:p>
        </w:tc>
        <w:tc>
          <w:tcPr>
            <w:tcW w:w="1125" w:type="dxa"/>
            <w:noWrap w:val="0"/>
            <w:vAlign w:val="center"/>
          </w:tcPr>
          <w:p w14:paraId="003ED658">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二级</w:t>
            </w:r>
          </w:p>
        </w:tc>
        <w:tc>
          <w:tcPr>
            <w:tcW w:w="3750" w:type="dxa"/>
            <w:noWrap w:val="0"/>
            <w:vAlign w:val="center"/>
          </w:tcPr>
          <w:p w14:paraId="425BD050">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长度：从一级保护区的上游边界向上延伸2000米，下游边界向下延伸200米；</w:t>
            </w:r>
          </w:p>
          <w:p w14:paraId="58785F90">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宽度：长江中泓线至右岸的水域。</w:t>
            </w:r>
          </w:p>
        </w:tc>
        <w:tc>
          <w:tcPr>
            <w:tcW w:w="3525" w:type="dxa"/>
            <w:noWrap w:val="0"/>
            <w:vAlign w:val="center"/>
          </w:tcPr>
          <w:p w14:paraId="70D49C18">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长度：二级保护区水域河长；</w:t>
            </w:r>
          </w:p>
          <w:p w14:paraId="02481D50">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宽度：右岸防洪堤以内陆域。</w:t>
            </w:r>
          </w:p>
        </w:tc>
        <w:tc>
          <w:tcPr>
            <w:tcW w:w="877" w:type="dxa"/>
            <w:vMerge w:val="continue"/>
            <w:noWrap w:val="0"/>
            <w:vAlign w:val="top"/>
          </w:tcPr>
          <w:p w14:paraId="3A856DA7">
            <w:pPr>
              <w:rPr>
                <w:rFonts w:hint="eastAsia" w:ascii="仿宋" w:hAnsi="仿宋" w:eastAsia="仿宋" w:cs="仿宋"/>
                <w:color w:val="auto"/>
                <w:sz w:val="21"/>
                <w:szCs w:val="21"/>
              </w:rPr>
            </w:pPr>
          </w:p>
        </w:tc>
      </w:tr>
      <w:tr w14:paraId="68CC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restart"/>
            <w:noWrap w:val="0"/>
            <w:vAlign w:val="center"/>
          </w:tcPr>
          <w:p w14:paraId="05124340">
            <w:pPr>
              <w:jc w:val="center"/>
              <w:rPr>
                <w:rFonts w:hint="eastAsia" w:ascii="仿宋" w:hAnsi="仿宋" w:eastAsia="仿宋" w:cs="仿宋"/>
                <w:color w:val="auto"/>
                <w:sz w:val="21"/>
                <w:szCs w:val="21"/>
              </w:rPr>
            </w:pPr>
            <w:r>
              <w:rPr>
                <w:rFonts w:hint="eastAsia" w:ascii="仿宋" w:hAnsi="仿宋" w:eastAsia="仿宋" w:cs="仿宋"/>
                <w:color w:val="auto"/>
                <w:sz w:val="21"/>
                <w:szCs w:val="21"/>
              </w:rPr>
              <w:t>115</w:t>
            </w:r>
          </w:p>
        </w:tc>
        <w:tc>
          <w:tcPr>
            <w:tcW w:w="750" w:type="dxa"/>
            <w:vMerge w:val="restart"/>
            <w:noWrap w:val="0"/>
            <w:vAlign w:val="center"/>
          </w:tcPr>
          <w:p w14:paraId="6DB7A1F0">
            <w:pPr>
              <w:jc w:val="center"/>
              <w:rPr>
                <w:rFonts w:hint="eastAsia" w:ascii="仿宋" w:hAnsi="仿宋" w:eastAsia="仿宋" w:cs="仿宋"/>
                <w:color w:val="auto"/>
                <w:sz w:val="21"/>
                <w:szCs w:val="21"/>
              </w:rPr>
            </w:pPr>
            <w:r>
              <w:rPr>
                <w:rFonts w:hint="eastAsia" w:ascii="仿宋" w:hAnsi="仿宋" w:eastAsia="仿宋" w:cs="仿宋"/>
                <w:color w:val="auto"/>
                <w:sz w:val="21"/>
                <w:szCs w:val="21"/>
              </w:rPr>
              <w:t>5</w:t>
            </w:r>
          </w:p>
        </w:tc>
        <w:tc>
          <w:tcPr>
            <w:tcW w:w="1230" w:type="dxa"/>
            <w:vMerge w:val="restart"/>
            <w:noWrap w:val="0"/>
            <w:vAlign w:val="center"/>
          </w:tcPr>
          <w:p w14:paraId="236D2304">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咸宁市</w:t>
            </w:r>
          </w:p>
        </w:tc>
        <w:tc>
          <w:tcPr>
            <w:tcW w:w="1003" w:type="dxa"/>
            <w:vMerge w:val="restart"/>
            <w:noWrap w:val="0"/>
            <w:vAlign w:val="center"/>
          </w:tcPr>
          <w:p w14:paraId="58DF5F2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通城县</w:t>
            </w:r>
          </w:p>
        </w:tc>
        <w:tc>
          <w:tcPr>
            <w:tcW w:w="977" w:type="dxa"/>
            <w:vMerge w:val="restart"/>
            <w:noWrap w:val="0"/>
            <w:vAlign w:val="center"/>
          </w:tcPr>
          <w:p w14:paraId="58CE46E7">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通城县神龙坪水库</w:t>
            </w:r>
          </w:p>
        </w:tc>
        <w:tc>
          <w:tcPr>
            <w:tcW w:w="803" w:type="dxa"/>
            <w:vMerge w:val="restart"/>
            <w:noWrap w:val="0"/>
            <w:vAlign w:val="center"/>
          </w:tcPr>
          <w:p w14:paraId="7E6D6DB9">
            <w:pPr>
              <w:jc w:val="center"/>
              <w:rPr>
                <w:rFonts w:hint="eastAsia" w:ascii="仿宋" w:hAnsi="仿宋" w:eastAsia="仿宋" w:cs="仿宋"/>
                <w:color w:val="auto"/>
                <w:sz w:val="21"/>
                <w:szCs w:val="21"/>
              </w:rPr>
            </w:pPr>
            <w:r>
              <w:rPr>
                <w:rFonts w:hint="eastAsia" w:ascii="仿宋" w:hAnsi="仿宋" w:eastAsia="仿宋" w:cs="仿宋"/>
                <w:color w:val="auto"/>
                <w:sz w:val="21"/>
                <w:szCs w:val="21"/>
              </w:rPr>
              <w:t>神龙坪水库</w:t>
            </w:r>
          </w:p>
        </w:tc>
        <w:tc>
          <w:tcPr>
            <w:tcW w:w="1125" w:type="dxa"/>
            <w:noWrap w:val="0"/>
            <w:vAlign w:val="center"/>
          </w:tcPr>
          <w:p w14:paraId="26982E2C">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一级</w:t>
            </w:r>
          </w:p>
        </w:tc>
        <w:tc>
          <w:tcPr>
            <w:tcW w:w="3750" w:type="dxa"/>
            <w:noWrap w:val="0"/>
            <w:vAlign w:val="center"/>
          </w:tcPr>
          <w:p w14:paraId="7C6E4B89">
            <w:pPr>
              <w:jc w:val="both"/>
              <w:rPr>
                <w:rFonts w:hint="eastAsia" w:ascii="仿宋" w:hAnsi="仿宋" w:eastAsia="仿宋" w:cs="仿宋"/>
                <w:color w:val="auto"/>
                <w:sz w:val="21"/>
                <w:szCs w:val="21"/>
              </w:rPr>
            </w:pPr>
            <w:r>
              <w:rPr>
                <w:rFonts w:hint="eastAsia" w:ascii="仿宋" w:hAnsi="仿宋" w:eastAsia="仿宋" w:cs="仿宋"/>
                <w:color w:val="auto"/>
                <w:sz w:val="21"/>
                <w:szCs w:val="21"/>
              </w:rPr>
              <w:t>正常水位线以下的全部水域范围</w:t>
            </w:r>
          </w:p>
        </w:tc>
        <w:tc>
          <w:tcPr>
            <w:tcW w:w="3525" w:type="dxa"/>
            <w:noWrap w:val="0"/>
            <w:vAlign w:val="center"/>
          </w:tcPr>
          <w:p w14:paraId="4E8A0500">
            <w:pPr>
              <w:jc w:val="both"/>
              <w:rPr>
                <w:rFonts w:hint="eastAsia" w:ascii="仿宋" w:hAnsi="仿宋" w:eastAsia="仿宋" w:cs="仿宋"/>
                <w:color w:val="auto"/>
                <w:sz w:val="21"/>
                <w:szCs w:val="21"/>
              </w:rPr>
            </w:pPr>
            <w:r>
              <w:rPr>
                <w:rFonts w:hint="eastAsia" w:ascii="仿宋" w:hAnsi="仿宋" w:eastAsia="仿宋" w:cs="仿宋"/>
                <w:color w:val="auto"/>
                <w:sz w:val="21"/>
                <w:szCs w:val="21"/>
              </w:rPr>
              <w:t>取水口侧正常水位线以上200米的区域</w:t>
            </w:r>
          </w:p>
        </w:tc>
        <w:tc>
          <w:tcPr>
            <w:tcW w:w="877" w:type="dxa"/>
            <w:vMerge w:val="restart"/>
            <w:noWrap w:val="0"/>
            <w:vAlign w:val="top"/>
          </w:tcPr>
          <w:p w14:paraId="15EA7076">
            <w:pPr>
              <w:rPr>
                <w:rFonts w:hint="eastAsia" w:ascii="仿宋" w:hAnsi="仿宋" w:eastAsia="仿宋" w:cs="仿宋"/>
                <w:color w:val="auto"/>
                <w:sz w:val="21"/>
                <w:szCs w:val="21"/>
              </w:rPr>
            </w:pPr>
          </w:p>
        </w:tc>
      </w:tr>
      <w:tr w14:paraId="4330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50703FE3">
            <w:pPr>
              <w:jc w:val="center"/>
              <w:rPr>
                <w:rFonts w:hint="eastAsia" w:ascii="仿宋" w:hAnsi="仿宋" w:eastAsia="仿宋" w:cs="仿宋"/>
                <w:color w:val="auto"/>
                <w:sz w:val="21"/>
                <w:szCs w:val="21"/>
              </w:rPr>
            </w:pPr>
          </w:p>
        </w:tc>
        <w:tc>
          <w:tcPr>
            <w:tcW w:w="750" w:type="dxa"/>
            <w:vMerge w:val="continue"/>
            <w:noWrap w:val="0"/>
            <w:vAlign w:val="center"/>
          </w:tcPr>
          <w:p w14:paraId="667D926B">
            <w:pPr>
              <w:jc w:val="center"/>
              <w:rPr>
                <w:rFonts w:hint="eastAsia" w:ascii="仿宋" w:hAnsi="仿宋" w:eastAsia="仿宋" w:cs="仿宋"/>
                <w:color w:val="auto"/>
                <w:sz w:val="21"/>
                <w:szCs w:val="21"/>
              </w:rPr>
            </w:pPr>
          </w:p>
        </w:tc>
        <w:tc>
          <w:tcPr>
            <w:tcW w:w="1230" w:type="dxa"/>
            <w:vMerge w:val="continue"/>
            <w:noWrap w:val="0"/>
            <w:vAlign w:val="center"/>
          </w:tcPr>
          <w:p w14:paraId="2A35960E">
            <w:pPr>
              <w:jc w:val="center"/>
              <w:rPr>
                <w:rFonts w:hint="eastAsia" w:ascii="仿宋" w:hAnsi="仿宋" w:eastAsia="仿宋" w:cs="仿宋"/>
                <w:color w:val="auto"/>
                <w:sz w:val="21"/>
                <w:szCs w:val="21"/>
              </w:rPr>
            </w:pPr>
          </w:p>
        </w:tc>
        <w:tc>
          <w:tcPr>
            <w:tcW w:w="1003" w:type="dxa"/>
            <w:vMerge w:val="continue"/>
            <w:noWrap w:val="0"/>
            <w:vAlign w:val="center"/>
          </w:tcPr>
          <w:p w14:paraId="2157C777">
            <w:pPr>
              <w:jc w:val="center"/>
              <w:rPr>
                <w:rFonts w:hint="eastAsia" w:ascii="仿宋" w:hAnsi="仿宋" w:eastAsia="仿宋" w:cs="仿宋"/>
                <w:color w:val="auto"/>
                <w:sz w:val="21"/>
                <w:szCs w:val="21"/>
              </w:rPr>
            </w:pPr>
          </w:p>
        </w:tc>
        <w:tc>
          <w:tcPr>
            <w:tcW w:w="977" w:type="dxa"/>
            <w:vMerge w:val="continue"/>
            <w:noWrap w:val="0"/>
            <w:vAlign w:val="center"/>
          </w:tcPr>
          <w:p w14:paraId="246D6188">
            <w:pPr>
              <w:jc w:val="center"/>
              <w:rPr>
                <w:rFonts w:hint="eastAsia" w:ascii="仿宋" w:hAnsi="仿宋" w:eastAsia="仿宋" w:cs="仿宋"/>
                <w:color w:val="auto"/>
                <w:sz w:val="21"/>
                <w:szCs w:val="21"/>
              </w:rPr>
            </w:pPr>
          </w:p>
        </w:tc>
        <w:tc>
          <w:tcPr>
            <w:tcW w:w="803" w:type="dxa"/>
            <w:vMerge w:val="continue"/>
            <w:noWrap w:val="0"/>
            <w:vAlign w:val="center"/>
          </w:tcPr>
          <w:p w14:paraId="2F783DD5">
            <w:pPr>
              <w:jc w:val="center"/>
              <w:rPr>
                <w:rFonts w:hint="eastAsia" w:ascii="仿宋" w:hAnsi="仿宋" w:eastAsia="仿宋" w:cs="仿宋"/>
                <w:color w:val="auto"/>
                <w:sz w:val="21"/>
                <w:szCs w:val="21"/>
              </w:rPr>
            </w:pPr>
          </w:p>
        </w:tc>
        <w:tc>
          <w:tcPr>
            <w:tcW w:w="1125" w:type="dxa"/>
            <w:noWrap w:val="0"/>
            <w:vAlign w:val="center"/>
          </w:tcPr>
          <w:p w14:paraId="141C6EB5">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二级</w:t>
            </w:r>
          </w:p>
        </w:tc>
        <w:tc>
          <w:tcPr>
            <w:tcW w:w="3750" w:type="dxa"/>
            <w:noWrap w:val="0"/>
            <w:vAlign w:val="center"/>
          </w:tcPr>
          <w:p w14:paraId="763BDABD">
            <w:pPr>
              <w:jc w:val="both"/>
              <w:rPr>
                <w:rFonts w:hint="eastAsia" w:ascii="仿宋" w:hAnsi="仿宋" w:eastAsia="仿宋" w:cs="仿宋"/>
                <w:color w:val="auto"/>
                <w:sz w:val="21"/>
                <w:szCs w:val="21"/>
              </w:rPr>
            </w:pPr>
            <w:r>
              <w:rPr>
                <w:rFonts w:hint="eastAsia" w:ascii="仿宋" w:hAnsi="仿宋" w:eastAsia="仿宋" w:cs="仿宋"/>
                <w:color w:val="auto"/>
                <w:sz w:val="21"/>
                <w:szCs w:val="21"/>
              </w:rPr>
              <w:t>一级保护区外上游流域</w:t>
            </w:r>
          </w:p>
        </w:tc>
        <w:tc>
          <w:tcPr>
            <w:tcW w:w="3525" w:type="dxa"/>
            <w:noWrap w:val="0"/>
            <w:vAlign w:val="center"/>
          </w:tcPr>
          <w:p w14:paraId="38CFF8AF">
            <w:pPr>
              <w:jc w:val="both"/>
              <w:rPr>
                <w:rFonts w:hint="eastAsia" w:ascii="仿宋" w:hAnsi="仿宋" w:eastAsia="仿宋" w:cs="仿宋"/>
                <w:color w:val="auto"/>
                <w:sz w:val="21"/>
                <w:szCs w:val="21"/>
              </w:rPr>
            </w:pPr>
            <w:r>
              <w:rPr>
                <w:rFonts w:hint="eastAsia" w:ascii="仿宋" w:hAnsi="仿宋" w:eastAsia="仿宋" w:cs="仿宋"/>
                <w:color w:val="auto"/>
                <w:sz w:val="21"/>
                <w:szCs w:val="21"/>
              </w:rPr>
              <w:t>二级水域保护区两侧山脊线以内的陆域</w:t>
            </w:r>
          </w:p>
        </w:tc>
        <w:tc>
          <w:tcPr>
            <w:tcW w:w="877" w:type="dxa"/>
            <w:vMerge w:val="continue"/>
            <w:noWrap w:val="0"/>
            <w:vAlign w:val="top"/>
          </w:tcPr>
          <w:p w14:paraId="1C2BF8FE">
            <w:pPr>
              <w:rPr>
                <w:rFonts w:hint="eastAsia" w:ascii="仿宋" w:hAnsi="仿宋" w:eastAsia="仿宋" w:cs="仿宋"/>
                <w:color w:val="auto"/>
                <w:sz w:val="21"/>
                <w:szCs w:val="21"/>
              </w:rPr>
            </w:pPr>
          </w:p>
        </w:tc>
      </w:tr>
      <w:tr w14:paraId="3B81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restart"/>
            <w:noWrap w:val="0"/>
            <w:vAlign w:val="center"/>
          </w:tcPr>
          <w:p w14:paraId="52764BF3">
            <w:pPr>
              <w:jc w:val="center"/>
              <w:rPr>
                <w:rFonts w:hint="eastAsia" w:ascii="仿宋" w:hAnsi="仿宋" w:eastAsia="仿宋" w:cs="仿宋"/>
                <w:color w:val="auto"/>
                <w:sz w:val="21"/>
                <w:szCs w:val="21"/>
              </w:rPr>
            </w:pPr>
            <w:r>
              <w:rPr>
                <w:rFonts w:hint="eastAsia" w:ascii="仿宋" w:hAnsi="仿宋" w:eastAsia="仿宋" w:cs="仿宋"/>
                <w:color w:val="auto"/>
                <w:sz w:val="21"/>
                <w:szCs w:val="21"/>
              </w:rPr>
              <w:t>116</w:t>
            </w:r>
          </w:p>
        </w:tc>
        <w:tc>
          <w:tcPr>
            <w:tcW w:w="750" w:type="dxa"/>
            <w:vMerge w:val="restart"/>
            <w:noWrap w:val="0"/>
            <w:vAlign w:val="center"/>
          </w:tcPr>
          <w:p w14:paraId="3E2EC04B">
            <w:pPr>
              <w:jc w:val="center"/>
              <w:rPr>
                <w:rFonts w:hint="eastAsia" w:ascii="仿宋" w:hAnsi="仿宋" w:eastAsia="仿宋" w:cs="仿宋"/>
                <w:color w:val="auto"/>
                <w:sz w:val="21"/>
                <w:szCs w:val="21"/>
              </w:rPr>
            </w:pPr>
            <w:r>
              <w:rPr>
                <w:rFonts w:hint="eastAsia" w:ascii="仿宋" w:hAnsi="仿宋" w:eastAsia="仿宋" w:cs="仿宋"/>
                <w:color w:val="auto"/>
                <w:sz w:val="21"/>
                <w:szCs w:val="21"/>
              </w:rPr>
              <w:t>6</w:t>
            </w:r>
          </w:p>
        </w:tc>
        <w:tc>
          <w:tcPr>
            <w:tcW w:w="1230" w:type="dxa"/>
            <w:vMerge w:val="restart"/>
            <w:noWrap w:val="0"/>
            <w:vAlign w:val="center"/>
          </w:tcPr>
          <w:p w14:paraId="44F005A0">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咸宁市</w:t>
            </w:r>
          </w:p>
        </w:tc>
        <w:tc>
          <w:tcPr>
            <w:tcW w:w="1003" w:type="dxa"/>
            <w:vMerge w:val="restart"/>
            <w:noWrap w:val="0"/>
            <w:vAlign w:val="center"/>
          </w:tcPr>
          <w:p w14:paraId="715E2A85">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崇阳县</w:t>
            </w:r>
          </w:p>
        </w:tc>
        <w:tc>
          <w:tcPr>
            <w:tcW w:w="977" w:type="dxa"/>
            <w:vMerge w:val="restart"/>
            <w:noWrap w:val="0"/>
            <w:vAlign w:val="center"/>
          </w:tcPr>
          <w:p w14:paraId="43C3B55D">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崇阳县青山水库</w:t>
            </w:r>
          </w:p>
        </w:tc>
        <w:tc>
          <w:tcPr>
            <w:tcW w:w="803" w:type="dxa"/>
            <w:vMerge w:val="restart"/>
            <w:noWrap w:val="0"/>
            <w:vAlign w:val="center"/>
          </w:tcPr>
          <w:p w14:paraId="311DCDBA">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青山水库</w:t>
            </w:r>
          </w:p>
        </w:tc>
        <w:tc>
          <w:tcPr>
            <w:tcW w:w="1125" w:type="dxa"/>
            <w:noWrap w:val="0"/>
            <w:vAlign w:val="center"/>
          </w:tcPr>
          <w:p w14:paraId="1136704D">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一级</w:t>
            </w:r>
          </w:p>
        </w:tc>
        <w:tc>
          <w:tcPr>
            <w:tcW w:w="3750" w:type="dxa"/>
            <w:noWrap w:val="0"/>
            <w:vAlign w:val="center"/>
          </w:tcPr>
          <w:p w14:paraId="35B1CD82">
            <w:pPr>
              <w:jc w:val="both"/>
              <w:rPr>
                <w:rFonts w:hint="eastAsia" w:ascii="仿宋" w:hAnsi="仿宋" w:eastAsia="仿宋" w:cs="仿宋"/>
                <w:color w:val="auto"/>
                <w:sz w:val="21"/>
                <w:szCs w:val="21"/>
              </w:rPr>
            </w:pPr>
            <w:r>
              <w:rPr>
                <w:rFonts w:hint="eastAsia" w:ascii="仿宋" w:hAnsi="仿宋" w:eastAsia="仿宋" w:cs="仿宋"/>
                <w:color w:val="auto"/>
                <w:sz w:val="21"/>
                <w:szCs w:val="21"/>
              </w:rPr>
              <w:t>取水口半径500米范围内的水域</w:t>
            </w:r>
          </w:p>
        </w:tc>
        <w:tc>
          <w:tcPr>
            <w:tcW w:w="3525" w:type="dxa"/>
            <w:noWrap w:val="0"/>
            <w:vAlign w:val="center"/>
          </w:tcPr>
          <w:p w14:paraId="594953B8">
            <w:pPr>
              <w:jc w:val="both"/>
              <w:rPr>
                <w:rFonts w:hint="eastAsia" w:ascii="仿宋" w:hAnsi="仿宋" w:eastAsia="仿宋" w:cs="仿宋"/>
                <w:color w:val="auto"/>
                <w:sz w:val="21"/>
                <w:szCs w:val="21"/>
              </w:rPr>
            </w:pPr>
            <w:r>
              <w:rPr>
                <w:rFonts w:hint="eastAsia" w:ascii="仿宋" w:hAnsi="仿宋" w:eastAsia="仿宋" w:cs="仿宋"/>
                <w:color w:val="auto"/>
                <w:sz w:val="21"/>
                <w:szCs w:val="21"/>
              </w:rPr>
              <w:t>取水口侧正常水位线以上陆域半径200米范围的区域</w:t>
            </w:r>
          </w:p>
        </w:tc>
        <w:tc>
          <w:tcPr>
            <w:tcW w:w="877" w:type="dxa"/>
            <w:vMerge w:val="restart"/>
            <w:noWrap w:val="0"/>
            <w:vAlign w:val="top"/>
          </w:tcPr>
          <w:p w14:paraId="61B0558B">
            <w:pPr>
              <w:rPr>
                <w:rFonts w:hint="eastAsia" w:ascii="仿宋" w:hAnsi="仿宋" w:eastAsia="仿宋" w:cs="仿宋"/>
                <w:color w:val="auto"/>
                <w:sz w:val="21"/>
                <w:szCs w:val="21"/>
              </w:rPr>
            </w:pPr>
          </w:p>
        </w:tc>
      </w:tr>
      <w:tr w14:paraId="3FBC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56AA037E">
            <w:pPr>
              <w:jc w:val="center"/>
              <w:rPr>
                <w:rFonts w:hint="eastAsia" w:ascii="仿宋" w:hAnsi="仿宋" w:eastAsia="仿宋" w:cs="仿宋"/>
                <w:color w:val="auto"/>
                <w:sz w:val="21"/>
                <w:szCs w:val="21"/>
              </w:rPr>
            </w:pPr>
          </w:p>
        </w:tc>
        <w:tc>
          <w:tcPr>
            <w:tcW w:w="750" w:type="dxa"/>
            <w:vMerge w:val="continue"/>
            <w:noWrap w:val="0"/>
            <w:vAlign w:val="center"/>
          </w:tcPr>
          <w:p w14:paraId="4012A67B">
            <w:pPr>
              <w:jc w:val="center"/>
              <w:rPr>
                <w:rFonts w:hint="eastAsia" w:ascii="仿宋" w:hAnsi="仿宋" w:eastAsia="仿宋" w:cs="仿宋"/>
                <w:color w:val="auto"/>
                <w:sz w:val="21"/>
                <w:szCs w:val="21"/>
              </w:rPr>
            </w:pPr>
          </w:p>
        </w:tc>
        <w:tc>
          <w:tcPr>
            <w:tcW w:w="1230" w:type="dxa"/>
            <w:vMerge w:val="continue"/>
            <w:noWrap w:val="0"/>
            <w:vAlign w:val="center"/>
          </w:tcPr>
          <w:p w14:paraId="0538D60B">
            <w:pPr>
              <w:jc w:val="center"/>
              <w:rPr>
                <w:rFonts w:hint="eastAsia" w:ascii="仿宋" w:hAnsi="仿宋" w:eastAsia="仿宋" w:cs="仿宋"/>
                <w:color w:val="auto"/>
                <w:sz w:val="21"/>
                <w:szCs w:val="21"/>
              </w:rPr>
            </w:pPr>
          </w:p>
        </w:tc>
        <w:tc>
          <w:tcPr>
            <w:tcW w:w="1003" w:type="dxa"/>
            <w:vMerge w:val="continue"/>
            <w:noWrap w:val="0"/>
            <w:vAlign w:val="center"/>
          </w:tcPr>
          <w:p w14:paraId="121F9002">
            <w:pPr>
              <w:jc w:val="center"/>
              <w:rPr>
                <w:rFonts w:hint="eastAsia" w:ascii="仿宋" w:hAnsi="仿宋" w:eastAsia="仿宋" w:cs="仿宋"/>
                <w:color w:val="auto"/>
                <w:sz w:val="21"/>
                <w:szCs w:val="21"/>
              </w:rPr>
            </w:pPr>
          </w:p>
        </w:tc>
        <w:tc>
          <w:tcPr>
            <w:tcW w:w="977" w:type="dxa"/>
            <w:vMerge w:val="continue"/>
            <w:noWrap w:val="0"/>
            <w:vAlign w:val="center"/>
          </w:tcPr>
          <w:p w14:paraId="6E21960E">
            <w:pPr>
              <w:jc w:val="center"/>
              <w:rPr>
                <w:rFonts w:hint="eastAsia" w:ascii="仿宋" w:hAnsi="仿宋" w:eastAsia="仿宋" w:cs="仿宋"/>
                <w:color w:val="auto"/>
                <w:sz w:val="21"/>
                <w:szCs w:val="21"/>
              </w:rPr>
            </w:pPr>
          </w:p>
        </w:tc>
        <w:tc>
          <w:tcPr>
            <w:tcW w:w="803" w:type="dxa"/>
            <w:vMerge w:val="continue"/>
            <w:noWrap w:val="0"/>
            <w:vAlign w:val="center"/>
          </w:tcPr>
          <w:p w14:paraId="17E49B57">
            <w:pPr>
              <w:jc w:val="center"/>
              <w:rPr>
                <w:rFonts w:hint="eastAsia" w:ascii="仿宋" w:hAnsi="仿宋" w:eastAsia="仿宋" w:cs="仿宋"/>
                <w:color w:val="auto"/>
                <w:sz w:val="21"/>
                <w:szCs w:val="21"/>
              </w:rPr>
            </w:pPr>
          </w:p>
        </w:tc>
        <w:tc>
          <w:tcPr>
            <w:tcW w:w="1125" w:type="dxa"/>
            <w:noWrap w:val="0"/>
            <w:vAlign w:val="center"/>
          </w:tcPr>
          <w:p w14:paraId="2BAAFD32">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二级</w:t>
            </w:r>
          </w:p>
        </w:tc>
        <w:tc>
          <w:tcPr>
            <w:tcW w:w="3750" w:type="dxa"/>
            <w:noWrap w:val="0"/>
            <w:vAlign w:val="center"/>
          </w:tcPr>
          <w:p w14:paraId="228A2675">
            <w:pPr>
              <w:jc w:val="both"/>
              <w:rPr>
                <w:rFonts w:hint="eastAsia" w:ascii="仿宋" w:hAnsi="仿宋" w:eastAsia="仿宋" w:cs="仿宋"/>
                <w:color w:val="auto"/>
                <w:sz w:val="21"/>
                <w:szCs w:val="21"/>
              </w:rPr>
            </w:pPr>
            <w:r>
              <w:rPr>
                <w:rFonts w:hint="eastAsia" w:ascii="仿宋" w:hAnsi="仿宋" w:eastAsia="仿宋" w:cs="仿宋"/>
                <w:color w:val="auto"/>
                <w:sz w:val="21"/>
                <w:szCs w:val="21"/>
              </w:rPr>
              <w:t>一级保护区外径向距离2000米范围内的水域</w:t>
            </w:r>
          </w:p>
        </w:tc>
        <w:tc>
          <w:tcPr>
            <w:tcW w:w="3525" w:type="dxa"/>
            <w:noWrap w:val="0"/>
            <w:vAlign w:val="center"/>
          </w:tcPr>
          <w:p w14:paraId="5C81627D">
            <w:pPr>
              <w:jc w:val="both"/>
              <w:rPr>
                <w:rFonts w:hint="eastAsia" w:ascii="仿宋" w:hAnsi="仿宋" w:eastAsia="仿宋" w:cs="仿宋"/>
                <w:color w:val="auto"/>
                <w:sz w:val="21"/>
                <w:szCs w:val="21"/>
              </w:rPr>
            </w:pPr>
            <w:r>
              <w:rPr>
                <w:rFonts w:hint="eastAsia" w:ascii="仿宋" w:hAnsi="仿宋" w:eastAsia="仿宋" w:cs="仿宋"/>
                <w:color w:val="auto"/>
                <w:sz w:val="21"/>
                <w:szCs w:val="21"/>
              </w:rPr>
              <w:t>一级保护区外距离3000米的区域，其陆域边界不超过流域分水岭范围</w:t>
            </w:r>
          </w:p>
        </w:tc>
        <w:tc>
          <w:tcPr>
            <w:tcW w:w="877" w:type="dxa"/>
            <w:vMerge w:val="continue"/>
            <w:noWrap w:val="0"/>
            <w:vAlign w:val="top"/>
          </w:tcPr>
          <w:p w14:paraId="2418F632">
            <w:pPr>
              <w:rPr>
                <w:rFonts w:hint="eastAsia" w:ascii="仿宋" w:hAnsi="仿宋" w:eastAsia="仿宋" w:cs="仿宋"/>
                <w:color w:val="auto"/>
                <w:sz w:val="21"/>
                <w:szCs w:val="21"/>
              </w:rPr>
            </w:pPr>
          </w:p>
        </w:tc>
      </w:tr>
      <w:tr w14:paraId="07CC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77C171E8">
            <w:pPr>
              <w:jc w:val="center"/>
              <w:rPr>
                <w:rFonts w:hint="eastAsia" w:ascii="仿宋" w:hAnsi="仿宋" w:eastAsia="仿宋" w:cs="仿宋"/>
                <w:color w:val="auto"/>
                <w:sz w:val="21"/>
                <w:szCs w:val="21"/>
              </w:rPr>
            </w:pPr>
          </w:p>
        </w:tc>
        <w:tc>
          <w:tcPr>
            <w:tcW w:w="750" w:type="dxa"/>
            <w:vMerge w:val="continue"/>
            <w:noWrap w:val="0"/>
            <w:vAlign w:val="center"/>
          </w:tcPr>
          <w:p w14:paraId="5AAC9759">
            <w:pPr>
              <w:jc w:val="center"/>
              <w:rPr>
                <w:rFonts w:hint="eastAsia" w:ascii="仿宋" w:hAnsi="仿宋" w:eastAsia="仿宋" w:cs="仿宋"/>
                <w:color w:val="auto"/>
                <w:sz w:val="21"/>
                <w:szCs w:val="21"/>
              </w:rPr>
            </w:pPr>
          </w:p>
        </w:tc>
        <w:tc>
          <w:tcPr>
            <w:tcW w:w="1230" w:type="dxa"/>
            <w:vMerge w:val="continue"/>
            <w:noWrap w:val="0"/>
            <w:vAlign w:val="center"/>
          </w:tcPr>
          <w:p w14:paraId="391213A8">
            <w:pPr>
              <w:jc w:val="center"/>
              <w:rPr>
                <w:rFonts w:hint="eastAsia" w:ascii="仿宋" w:hAnsi="仿宋" w:eastAsia="仿宋" w:cs="仿宋"/>
                <w:color w:val="auto"/>
                <w:sz w:val="21"/>
                <w:szCs w:val="21"/>
              </w:rPr>
            </w:pPr>
          </w:p>
        </w:tc>
        <w:tc>
          <w:tcPr>
            <w:tcW w:w="1003" w:type="dxa"/>
            <w:vMerge w:val="continue"/>
            <w:noWrap w:val="0"/>
            <w:vAlign w:val="center"/>
          </w:tcPr>
          <w:p w14:paraId="546DF8A8">
            <w:pPr>
              <w:jc w:val="center"/>
              <w:rPr>
                <w:rFonts w:hint="eastAsia" w:ascii="仿宋" w:hAnsi="仿宋" w:eastAsia="仿宋" w:cs="仿宋"/>
                <w:color w:val="auto"/>
                <w:sz w:val="21"/>
                <w:szCs w:val="21"/>
              </w:rPr>
            </w:pPr>
          </w:p>
        </w:tc>
        <w:tc>
          <w:tcPr>
            <w:tcW w:w="977" w:type="dxa"/>
            <w:vMerge w:val="continue"/>
            <w:noWrap w:val="0"/>
            <w:vAlign w:val="center"/>
          </w:tcPr>
          <w:p w14:paraId="21A284F4">
            <w:pPr>
              <w:jc w:val="center"/>
              <w:rPr>
                <w:rFonts w:hint="eastAsia" w:ascii="仿宋" w:hAnsi="仿宋" w:eastAsia="仿宋" w:cs="仿宋"/>
                <w:color w:val="auto"/>
                <w:sz w:val="21"/>
                <w:szCs w:val="21"/>
              </w:rPr>
            </w:pPr>
          </w:p>
        </w:tc>
        <w:tc>
          <w:tcPr>
            <w:tcW w:w="803" w:type="dxa"/>
            <w:vMerge w:val="continue"/>
            <w:noWrap w:val="0"/>
            <w:vAlign w:val="center"/>
          </w:tcPr>
          <w:p w14:paraId="5A582812">
            <w:pPr>
              <w:jc w:val="center"/>
              <w:rPr>
                <w:rFonts w:hint="eastAsia" w:ascii="仿宋" w:hAnsi="仿宋" w:eastAsia="仿宋" w:cs="仿宋"/>
                <w:color w:val="auto"/>
                <w:sz w:val="21"/>
                <w:szCs w:val="21"/>
              </w:rPr>
            </w:pPr>
          </w:p>
        </w:tc>
        <w:tc>
          <w:tcPr>
            <w:tcW w:w="1125" w:type="dxa"/>
            <w:noWrap w:val="0"/>
            <w:vAlign w:val="center"/>
          </w:tcPr>
          <w:p w14:paraId="5F27E94B">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准保护区</w:t>
            </w:r>
          </w:p>
        </w:tc>
        <w:tc>
          <w:tcPr>
            <w:tcW w:w="3750" w:type="dxa"/>
            <w:noWrap w:val="0"/>
            <w:vAlign w:val="center"/>
          </w:tcPr>
          <w:p w14:paraId="7EFEADED">
            <w:pPr>
              <w:jc w:val="both"/>
              <w:rPr>
                <w:rFonts w:hint="eastAsia" w:ascii="仿宋" w:hAnsi="仿宋" w:eastAsia="仿宋" w:cs="仿宋"/>
                <w:color w:val="auto"/>
                <w:sz w:val="21"/>
                <w:szCs w:val="21"/>
              </w:rPr>
            </w:pPr>
            <w:r>
              <w:rPr>
                <w:rFonts w:hint="eastAsia" w:ascii="仿宋" w:hAnsi="仿宋" w:eastAsia="仿宋" w:cs="仿宋"/>
                <w:color w:val="auto"/>
                <w:sz w:val="21"/>
                <w:szCs w:val="21"/>
              </w:rPr>
              <w:t>二级保护区外径向距离2000米范围内的水域</w:t>
            </w:r>
          </w:p>
        </w:tc>
        <w:tc>
          <w:tcPr>
            <w:tcW w:w="3525" w:type="dxa"/>
            <w:noWrap w:val="0"/>
            <w:vAlign w:val="center"/>
          </w:tcPr>
          <w:p w14:paraId="5E9F8555">
            <w:pPr>
              <w:jc w:val="both"/>
              <w:rPr>
                <w:rFonts w:hint="eastAsia" w:ascii="仿宋" w:hAnsi="仿宋" w:eastAsia="仿宋" w:cs="仿宋"/>
                <w:color w:val="auto"/>
                <w:sz w:val="21"/>
                <w:szCs w:val="21"/>
              </w:rPr>
            </w:pPr>
            <w:r>
              <w:rPr>
                <w:rFonts w:hint="eastAsia" w:ascii="仿宋" w:hAnsi="仿宋" w:eastAsia="仿宋" w:cs="仿宋"/>
                <w:color w:val="auto"/>
                <w:sz w:val="21"/>
                <w:szCs w:val="21"/>
              </w:rPr>
              <w:t>二级保护区外距离3000米的区域，其陆域边界不超过流域分水岭范围</w:t>
            </w:r>
          </w:p>
        </w:tc>
        <w:tc>
          <w:tcPr>
            <w:tcW w:w="877" w:type="dxa"/>
            <w:vMerge w:val="continue"/>
            <w:noWrap w:val="0"/>
            <w:vAlign w:val="top"/>
          </w:tcPr>
          <w:p w14:paraId="5BD01BCE">
            <w:pPr>
              <w:rPr>
                <w:rFonts w:hint="eastAsia" w:ascii="仿宋" w:hAnsi="仿宋" w:eastAsia="仿宋" w:cs="仿宋"/>
                <w:color w:val="auto"/>
                <w:sz w:val="21"/>
                <w:szCs w:val="21"/>
              </w:rPr>
            </w:pPr>
          </w:p>
        </w:tc>
      </w:tr>
      <w:tr w14:paraId="6EAF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restart"/>
            <w:noWrap w:val="0"/>
            <w:vAlign w:val="center"/>
          </w:tcPr>
          <w:p w14:paraId="24954700">
            <w:pPr>
              <w:jc w:val="center"/>
              <w:rPr>
                <w:rFonts w:hint="eastAsia" w:ascii="仿宋" w:hAnsi="仿宋" w:eastAsia="仿宋" w:cs="仿宋"/>
                <w:color w:val="auto"/>
                <w:sz w:val="21"/>
                <w:szCs w:val="21"/>
              </w:rPr>
            </w:pPr>
            <w:r>
              <w:rPr>
                <w:rFonts w:hint="eastAsia" w:ascii="仿宋" w:hAnsi="仿宋" w:eastAsia="仿宋" w:cs="仿宋"/>
                <w:color w:val="auto"/>
                <w:sz w:val="21"/>
                <w:szCs w:val="21"/>
              </w:rPr>
              <w:t>117</w:t>
            </w:r>
          </w:p>
        </w:tc>
        <w:tc>
          <w:tcPr>
            <w:tcW w:w="750" w:type="dxa"/>
            <w:vMerge w:val="restart"/>
            <w:noWrap w:val="0"/>
            <w:vAlign w:val="center"/>
          </w:tcPr>
          <w:p w14:paraId="77D30A7F">
            <w:pPr>
              <w:jc w:val="center"/>
              <w:rPr>
                <w:rFonts w:hint="eastAsia" w:ascii="仿宋" w:hAnsi="仿宋" w:eastAsia="仿宋" w:cs="仿宋"/>
                <w:color w:val="auto"/>
                <w:sz w:val="21"/>
                <w:szCs w:val="21"/>
              </w:rPr>
            </w:pPr>
            <w:r>
              <w:rPr>
                <w:rFonts w:hint="eastAsia" w:ascii="仿宋" w:hAnsi="仿宋" w:eastAsia="仿宋" w:cs="仿宋"/>
                <w:color w:val="auto"/>
                <w:sz w:val="21"/>
                <w:szCs w:val="21"/>
              </w:rPr>
              <w:t>7</w:t>
            </w:r>
          </w:p>
        </w:tc>
        <w:tc>
          <w:tcPr>
            <w:tcW w:w="1230" w:type="dxa"/>
            <w:vMerge w:val="restart"/>
            <w:noWrap w:val="0"/>
            <w:vAlign w:val="center"/>
          </w:tcPr>
          <w:p w14:paraId="1E7C01C8">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咸宁市</w:t>
            </w:r>
          </w:p>
        </w:tc>
        <w:tc>
          <w:tcPr>
            <w:tcW w:w="1003" w:type="dxa"/>
            <w:vMerge w:val="restart"/>
            <w:noWrap w:val="0"/>
            <w:vAlign w:val="center"/>
          </w:tcPr>
          <w:p w14:paraId="21E15C24">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崇阳县</w:t>
            </w:r>
          </w:p>
        </w:tc>
        <w:tc>
          <w:tcPr>
            <w:tcW w:w="977" w:type="dxa"/>
            <w:vMerge w:val="restart"/>
            <w:noWrap w:val="0"/>
            <w:vAlign w:val="center"/>
          </w:tcPr>
          <w:p w14:paraId="1384129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陆水河崇阳白泉段水源地</w:t>
            </w:r>
          </w:p>
        </w:tc>
        <w:tc>
          <w:tcPr>
            <w:tcW w:w="803" w:type="dxa"/>
            <w:vMerge w:val="restart"/>
            <w:noWrap w:val="0"/>
            <w:vAlign w:val="center"/>
          </w:tcPr>
          <w:p w14:paraId="73F35AD8">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陆水</w:t>
            </w:r>
          </w:p>
        </w:tc>
        <w:tc>
          <w:tcPr>
            <w:tcW w:w="1125" w:type="dxa"/>
            <w:noWrap w:val="0"/>
            <w:vAlign w:val="center"/>
          </w:tcPr>
          <w:p w14:paraId="7B14530F">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一级</w:t>
            </w:r>
          </w:p>
        </w:tc>
        <w:tc>
          <w:tcPr>
            <w:tcW w:w="3750" w:type="dxa"/>
            <w:noWrap w:val="0"/>
            <w:vAlign w:val="center"/>
          </w:tcPr>
          <w:p w14:paraId="0CFF1CC2">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长度：取水口上游1000米至下游100米；</w:t>
            </w:r>
          </w:p>
          <w:p w14:paraId="5880EA64">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宽度：整个河道宽。</w:t>
            </w:r>
          </w:p>
        </w:tc>
        <w:tc>
          <w:tcPr>
            <w:tcW w:w="3525" w:type="dxa"/>
            <w:noWrap w:val="0"/>
            <w:vAlign w:val="center"/>
          </w:tcPr>
          <w:p w14:paraId="5A73E90F">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长度：一级保护区水域河长；</w:t>
            </w:r>
          </w:p>
          <w:p w14:paraId="0F3AC8E0">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宽度：河岸两边纵深50米。</w:t>
            </w:r>
          </w:p>
        </w:tc>
        <w:tc>
          <w:tcPr>
            <w:tcW w:w="877" w:type="dxa"/>
            <w:vMerge w:val="restart"/>
            <w:noWrap w:val="0"/>
            <w:vAlign w:val="top"/>
          </w:tcPr>
          <w:p w14:paraId="680DF4B2">
            <w:pPr>
              <w:rPr>
                <w:rFonts w:hint="eastAsia" w:ascii="仿宋" w:hAnsi="仿宋" w:eastAsia="仿宋" w:cs="仿宋"/>
                <w:color w:val="auto"/>
                <w:sz w:val="21"/>
                <w:szCs w:val="21"/>
              </w:rPr>
            </w:pPr>
            <w:r>
              <w:rPr>
                <w:rFonts w:hint="eastAsia" w:ascii="仿宋" w:hAnsi="仿宋" w:eastAsia="仿宋" w:cs="仿宋"/>
                <w:color w:val="auto"/>
                <w:sz w:val="21"/>
                <w:szCs w:val="21"/>
              </w:rPr>
              <w:t>备用水源地</w:t>
            </w:r>
          </w:p>
        </w:tc>
      </w:tr>
      <w:tr w14:paraId="1323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219E6CFA">
            <w:pPr>
              <w:jc w:val="center"/>
              <w:rPr>
                <w:rFonts w:hint="eastAsia" w:ascii="仿宋" w:hAnsi="仿宋" w:eastAsia="仿宋" w:cs="仿宋"/>
                <w:color w:val="auto"/>
                <w:sz w:val="21"/>
                <w:szCs w:val="21"/>
              </w:rPr>
            </w:pPr>
          </w:p>
        </w:tc>
        <w:tc>
          <w:tcPr>
            <w:tcW w:w="750" w:type="dxa"/>
            <w:vMerge w:val="continue"/>
            <w:noWrap w:val="0"/>
            <w:vAlign w:val="center"/>
          </w:tcPr>
          <w:p w14:paraId="1C0FE624">
            <w:pPr>
              <w:jc w:val="center"/>
              <w:rPr>
                <w:rFonts w:hint="eastAsia" w:ascii="仿宋" w:hAnsi="仿宋" w:eastAsia="仿宋" w:cs="仿宋"/>
                <w:color w:val="auto"/>
                <w:sz w:val="21"/>
                <w:szCs w:val="21"/>
              </w:rPr>
            </w:pPr>
          </w:p>
        </w:tc>
        <w:tc>
          <w:tcPr>
            <w:tcW w:w="1230" w:type="dxa"/>
            <w:vMerge w:val="continue"/>
            <w:noWrap w:val="0"/>
            <w:vAlign w:val="center"/>
          </w:tcPr>
          <w:p w14:paraId="7BAEC7DA">
            <w:pPr>
              <w:jc w:val="center"/>
              <w:rPr>
                <w:rFonts w:hint="eastAsia" w:ascii="仿宋" w:hAnsi="仿宋" w:eastAsia="仿宋" w:cs="仿宋"/>
                <w:color w:val="auto"/>
                <w:sz w:val="21"/>
                <w:szCs w:val="21"/>
              </w:rPr>
            </w:pPr>
          </w:p>
        </w:tc>
        <w:tc>
          <w:tcPr>
            <w:tcW w:w="1003" w:type="dxa"/>
            <w:vMerge w:val="continue"/>
            <w:noWrap w:val="0"/>
            <w:vAlign w:val="center"/>
          </w:tcPr>
          <w:p w14:paraId="360A4B22">
            <w:pPr>
              <w:jc w:val="center"/>
              <w:rPr>
                <w:rFonts w:hint="eastAsia" w:ascii="仿宋" w:hAnsi="仿宋" w:eastAsia="仿宋" w:cs="仿宋"/>
                <w:color w:val="auto"/>
                <w:sz w:val="21"/>
                <w:szCs w:val="21"/>
              </w:rPr>
            </w:pPr>
          </w:p>
        </w:tc>
        <w:tc>
          <w:tcPr>
            <w:tcW w:w="977" w:type="dxa"/>
            <w:vMerge w:val="continue"/>
            <w:noWrap w:val="0"/>
            <w:vAlign w:val="center"/>
          </w:tcPr>
          <w:p w14:paraId="1E735FDA">
            <w:pPr>
              <w:jc w:val="center"/>
              <w:rPr>
                <w:rFonts w:hint="eastAsia" w:ascii="仿宋" w:hAnsi="仿宋" w:eastAsia="仿宋" w:cs="仿宋"/>
                <w:color w:val="auto"/>
                <w:sz w:val="21"/>
                <w:szCs w:val="21"/>
              </w:rPr>
            </w:pPr>
          </w:p>
        </w:tc>
        <w:tc>
          <w:tcPr>
            <w:tcW w:w="803" w:type="dxa"/>
            <w:vMerge w:val="continue"/>
            <w:noWrap w:val="0"/>
            <w:vAlign w:val="center"/>
          </w:tcPr>
          <w:p w14:paraId="57EFE78E">
            <w:pPr>
              <w:jc w:val="center"/>
              <w:rPr>
                <w:rFonts w:hint="eastAsia" w:ascii="仿宋" w:hAnsi="仿宋" w:eastAsia="仿宋" w:cs="仿宋"/>
                <w:color w:val="auto"/>
                <w:sz w:val="21"/>
                <w:szCs w:val="21"/>
              </w:rPr>
            </w:pPr>
          </w:p>
        </w:tc>
        <w:tc>
          <w:tcPr>
            <w:tcW w:w="1125" w:type="dxa"/>
            <w:noWrap w:val="0"/>
            <w:vAlign w:val="center"/>
          </w:tcPr>
          <w:p w14:paraId="18035BE3">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二级</w:t>
            </w:r>
          </w:p>
        </w:tc>
        <w:tc>
          <w:tcPr>
            <w:tcW w:w="3750" w:type="dxa"/>
            <w:noWrap w:val="0"/>
            <w:vAlign w:val="center"/>
          </w:tcPr>
          <w:p w14:paraId="52AFFADD">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长度：从一级保护区上游边界向上延伸2000米，下游边界向下延伸200米；</w:t>
            </w:r>
          </w:p>
          <w:p w14:paraId="62E886E7">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宽度：整个河道宽。</w:t>
            </w:r>
          </w:p>
        </w:tc>
        <w:tc>
          <w:tcPr>
            <w:tcW w:w="3525" w:type="dxa"/>
            <w:noWrap w:val="0"/>
            <w:vAlign w:val="center"/>
          </w:tcPr>
          <w:p w14:paraId="1B5791C7">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长度：二级保护区水域河长；</w:t>
            </w:r>
          </w:p>
          <w:p w14:paraId="353D5153">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宽度：河岸两边纵深50米。</w:t>
            </w:r>
          </w:p>
        </w:tc>
        <w:tc>
          <w:tcPr>
            <w:tcW w:w="877" w:type="dxa"/>
            <w:vMerge w:val="continue"/>
            <w:noWrap w:val="0"/>
            <w:vAlign w:val="top"/>
          </w:tcPr>
          <w:p w14:paraId="0B72DCEE">
            <w:pPr>
              <w:rPr>
                <w:rFonts w:hint="eastAsia" w:ascii="仿宋" w:hAnsi="仿宋" w:eastAsia="仿宋" w:cs="仿宋"/>
                <w:color w:val="auto"/>
                <w:sz w:val="21"/>
                <w:szCs w:val="21"/>
              </w:rPr>
            </w:pPr>
          </w:p>
        </w:tc>
      </w:tr>
      <w:tr w14:paraId="709A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restart"/>
            <w:noWrap w:val="0"/>
            <w:vAlign w:val="center"/>
          </w:tcPr>
          <w:p w14:paraId="4B6F0276">
            <w:pPr>
              <w:jc w:val="center"/>
              <w:rPr>
                <w:rFonts w:hint="eastAsia" w:ascii="仿宋" w:hAnsi="仿宋" w:eastAsia="仿宋" w:cs="仿宋"/>
                <w:color w:val="auto"/>
                <w:sz w:val="21"/>
                <w:szCs w:val="21"/>
              </w:rPr>
            </w:pPr>
            <w:r>
              <w:rPr>
                <w:rFonts w:hint="eastAsia" w:ascii="仿宋" w:hAnsi="仿宋" w:eastAsia="仿宋" w:cs="仿宋"/>
                <w:color w:val="auto"/>
                <w:sz w:val="21"/>
                <w:szCs w:val="21"/>
              </w:rPr>
              <w:t>118</w:t>
            </w:r>
          </w:p>
        </w:tc>
        <w:tc>
          <w:tcPr>
            <w:tcW w:w="750" w:type="dxa"/>
            <w:vMerge w:val="restart"/>
            <w:noWrap w:val="0"/>
            <w:vAlign w:val="center"/>
          </w:tcPr>
          <w:p w14:paraId="3FBE1FD9">
            <w:pPr>
              <w:jc w:val="center"/>
              <w:rPr>
                <w:rFonts w:hint="eastAsia" w:ascii="仿宋" w:hAnsi="仿宋" w:eastAsia="仿宋" w:cs="仿宋"/>
                <w:color w:val="auto"/>
                <w:sz w:val="21"/>
                <w:szCs w:val="21"/>
              </w:rPr>
            </w:pPr>
            <w:r>
              <w:rPr>
                <w:rFonts w:hint="eastAsia" w:ascii="仿宋" w:hAnsi="仿宋" w:eastAsia="仿宋" w:cs="仿宋"/>
                <w:color w:val="auto"/>
                <w:sz w:val="21"/>
                <w:szCs w:val="21"/>
              </w:rPr>
              <w:t>8</w:t>
            </w:r>
          </w:p>
        </w:tc>
        <w:tc>
          <w:tcPr>
            <w:tcW w:w="1230" w:type="dxa"/>
            <w:vMerge w:val="restart"/>
            <w:noWrap w:val="0"/>
            <w:vAlign w:val="center"/>
          </w:tcPr>
          <w:p w14:paraId="2EA66C02">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咸宁市</w:t>
            </w:r>
          </w:p>
        </w:tc>
        <w:tc>
          <w:tcPr>
            <w:tcW w:w="1003" w:type="dxa"/>
            <w:vMerge w:val="restart"/>
            <w:noWrap w:val="0"/>
            <w:vAlign w:val="center"/>
          </w:tcPr>
          <w:p w14:paraId="6E9EAB79">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通山县</w:t>
            </w:r>
          </w:p>
        </w:tc>
        <w:tc>
          <w:tcPr>
            <w:tcW w:w="977" w:type="dxa"/>
            <w:vMerge w:val="restart"/>
            <w:noWrap w:val="0"/>
            <w:vAlign w:val="center"/>
          </w:tcPr>
          <w:p w14:paraId="57622655">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通山县凤凰山水厂水源地</w:t>
            </w:r>
          </w:p>
        </w:tc>
        <w:tc>
          <w:tcPr>
            <w:tcW w:w="803" w:type="dxa"/>
            <w:vMerge w:val="restart"/>
            <w:noWrap w:val="0"/>
            <w:vAlign w:val="center"/>
          </w:tcPr>
          <w:p w14:paraId="18C40670">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富水</w:t>
            </w:r>
          </w:p>
        </w:tc>
        <w:tc>
          <w:tcPr>
            <w:tcW w:w="1125" w:type="dxa"/>
            <w:noWrap w:val="0"/>
            <w:vAlign w:val="center"/>
          </w:tcPr>
          <w:p w14:paraId="26493C3A">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一级</w:t>
            </w:r>
          </w:p>
        </w:tc>
        <w:tc>
          <w:tcPr>
            <w:tcW w:w="3750" w:type="dxa"/>
            <w:noWrap w:val="0"/>
            <w:vAlign w:val="center"/>
          </w:tcPr>
          <w:p w14:paraId="5DC4279E">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长度：取水口上游1000米至下游100米；</w:t>
            </w:r>
          </w:p>
          <w:p w14:paraId="517A3BEE">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宽度：整个河道宽。</w:t>
            </w:r>
          </w:p>
        </w:tc>
        <w:tc>
          <w:tcPr>
            <w:tcW w:w="3525" w:type="dxa"/>
            <w:noWrap w:val="0"/>
            <w:vAlign w:val="center"/>
          </w:tcPr>
          <w:p w14:paraId="3EFAD846">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长度：一级保护区水域河长；</w:t>
            </w:r>
          </w:p>
          <w:p w14:paraId="386CED28">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宽度：陆域沿岸纵深50米范围。</w:t>
            </w:r>
          </w:p>
        </w:tc>
        <w:tc>
          <w:tcPr>
            <w:tcW w:w="877" w:type="dxa"/>
            <w:vMerge w:val="restart"/>
            <w:noWrap w:val="0"/>
            <w:vAlign w:val="top"/>
          </w:tcPr>
          <w:p w14:paraId="3BCA1638">
            <w:pPr>
              <w:rPr>
                <w:rFonts w:hint="eastAsia" w:ascii="仿宋" w:hAnsi="仿宋" w:eastAsia="仿宋" w:cs="仿宋"/>
                <w:color w:val="auto"/>
                <w:sz w:val="21"/>
                <w:szCs w:val="21"/>
              </w:rPr>
            </w:pPr>
          </w:p>
        </w:tc>
      </w:tr>
      <w:tr w14:paraId="7A98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1E7F32FF">
            <w:pPr>
              <w:jc w:val="center"/>
              <w:rPr>
                <w:rFonts w:hint="eastAsia" w:ascii="仿宋" w:hAnsi="仿宋" w:eastAsia="仿宋" w:cs="仿宋"/>
                <w:color w:val="auto"/>
                <w:sz w:val="21"/>
                <w:szCs w:val="21"/>
              </w:rPr>
            </w:pPr>
          </w:p>
        </w:tc>
        <w:tc>
          <w:tcPr>
            <w:tcW w:w="750" w:type="dxa"/>
            <w:vMerge w:val="continue"/>
            <w:noWrap w:val="0"/>
            <w:vAlign w:val="center"/>
          </w:tcPr>
          <w:p w14:paraId="0B1068DD">
            <w:pPr>
              <w:jc w:val="center"/>
              <w:rPr>
                <w:rFonts w:hint="eastAsia" w:ascii="仿宋" w:hAnsi="仿宋" w:eastAsia="仿宋" w:cs="仿宋"/>
                <w:color w:val="auto"/>
                <w:sz w:val="21"/>
                <w:szCs w:val="21"/>
              </w:rPr>
            </w:pPr>
          </w:p>
        </w:tc>
        <w:tc>
          <w:tcPr>
            <w:tcW w:w="1230" w:type="dxa"/>
            <w:vMerge w:val="continue"/>
            <w:noWrap w:val="0"/>
            <w:vAlign w:val="center"/>
          </w:tcPr>
          <w:p w14:paraId="19697989">
            <w:pPr>
              <w:jc w:val="center"/>
              <w:rPr>
                <w:rFonts w:hint="eastAsia" w:ascii="仿宋" w:hAnsi="仿宋" w:eastAsia="仿宋" w:cs="仿宋"/>
                <w:color w:val="auto"/>
                <w:sz w:val="21"/>
                <w:szCs w:val="21"/>
              </w:rPr>
            </w:pPr>
          </w:p>
        </w:tc>
        <w:tc>
          <w:tcPr>
            <w:tcW w:w="1003" w:type="dxa"/>
            <w:vMerge w:val="continue"/>
            <w:noWrap w:val="0"/>
            <w:vAlign w:val="center"/>
          </w:tcPr>
          <w:p w14:paraId="3D2E24E3">
            <w:pPr>
              <w:jc w:val="center"/>
              <w:rPr>
                <w:rFonts w:hint="eastAsia" w:ascii="仿宋" w:hAnsi="仿宋" w:eastAsia="仿宋" w:cs="仿宋"/>
                <w:color w:val="auto"/>
                <w:sz w:val="21"/>
                <w:szCs w:val="21"/>
              </w:rPr>
            </w:pPr>
          </w:p>
        </w:tc>
        <w:tc>
          <w:tcPr>
            <w:tcW w:w="977" w:type="dxa"/>
            <w:vMerge w:val="continue"/>
            <w:noWrap w:val="0"/>
            <w:vAlign w:val="center"/>
          </w:tcPr>
          <w:p w14:paraId="5D665FB9">
            <w:pPr>
              <w:jc w:val="center"/>
              <w:rPr>
                <w:rFonts w:hint="eastAsia" w:ascii="仿宋" w:hAnsi="仿宋" w:eastAsia="仿宋" w:cs="仿宋"/>
                <w:color w:val="auto"/>
                <w:sz w:val="21"/>
                <w:szCs w:val="21"/>
              </w:rPr>
            </w:pPr>
          </w:p>
        </w:tc>
        <w:tc>
          <w:tcPr>
            <w:tcW w:w="803" w:type="dxa"/>
            <w:vMerge w:val="continue"/>
            <w:noWrap w:val="0"/>
            <w:vAlign w:val="center"/>
          </w:tcPr>
          <w:p w14:paraId="1D0C3C63">
            <w:pPr>
              <w:jc w:val="center"/>
              <w:rPr>
                <w:rFonts w:hint="eastAsia" w:ascii="仿宋" w:hAnsi="仿宋" w:eastAsia="仿宋" w:cs="仿宋"/>
                <w:color w:val="auto"/>
                <w:sz w:val="21"/>
                <w:szCs w:val="21"/>
              </w:rPr>
            </w:pPr>
          </w:p>
        </w:tc>
        <w:tc>
          <w:tcPr>
            <w:tcW w:w="1125" w:type="dxa"/>
            <w:noWrap w:val="0"/>
            <w:vAlign w:val="center"/>
          </w:tcPr>
          <w:p w14:paraId="29E0BFAB">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二级</w:t>
            </w:r>
          </w:p>
        </w:tc>
        <w:tc>
          <w:tcPr>
            <w:tcW w:w="3750" w:type="dxa"/>
            <w:noWrap w:val="0"/>
            <w:vAlign w:val="center"/>
          </w:tcPr>
          <w:p w14:paraId="48F2A847">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长度：从一级保护区上游边界向上延伸2000米（包括汇入支流），下游边界向下延伸200米；</w:t>
            </w:r>
          </w:p>
          <w:p w14:paraId="2CA17414">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宽度：整个河道宽。</w:t>
            </w:r>
          </w:p>
        </w:tc>
        <w:tc>
          <w:tcPr>
            <w:tcW w:w="3525" w:type="dxa"/>
            <w:noWrap w:val="0"/>
            <w:vAlign w:val="center"/>
          </w:tcPr>
          <w:p w14:paraId="2B886AF2">
            <w:pPr>
              <w:jc w:val="both"/>
              <w:rPr>
                <w:rFonts w:hint="eastAsia" w:ascii="仿宋" w:hAnsi="仿宋" w:eastAsia="仿宋" w:cs="仿宋"/>
                <w:color w:val="auto"/>
                <w:sz w:val="21"/>
                <w:szCs w:val="21"/>
              </w:rPr>
            </w:pPr>
            <w:r>
              <w:rPr>
                <w:rFonts w:hint="eastAsia" w:ascii="仿宋" w:hAnsi="仿宋" w:eastAsia="仿宋" w:cs="仿宋"/>
                <w:color w:val="auto"/>
                <w:sz w:val="21"/>
                <w:szCs w:val="21"/>
              </w:rPr>
              <w:t>长度：二级保护区水域河长；</w:t>
            </w:r>
          </w:p>
          <w:p w14:paraId="6DA70C7F">
            <w:pPr>
              <w:jc w:val="both"/>
              <w:rPr>
                <w:rFonts w:hint="eastAsia" w:ascii="仿宋" w:hAnsi="仿宋" w:eastAsia="仿宋" w:cs="仿宋"/>
                <w:color w:val="auto"/>
                <w:sz w:val="21"/>
                <w:szCs w:val="21"/>
              </w:rPr>
            </w:pPr>
            <w:r>
              <w:rPr>
                <w:rFonts w:hint="eastAsia" w:ascii="仿宋" w:hAnsi="仿宋" w:eastAsia="仿宋" w:cs="仿宋"/>
                <w:color w:val="auto"/>
                <w:sz w:val="21"/>
                <w:szCs w:val="21"/>
              </w:rPr>
              <w:t>宽度：二级保护区沿岸纵深范围50米。</w:t>
            </w:r>
          </w:p>
        </w:tc>
        <w:tc>
          <w:tcPr>
            <w:tcW w:w="877" w:type="dxa"/>
            <w:vMerge w:val="continue"/>
            <w:noWrap w:val="0"/>
            <w:vAlign w:val="top"/>
          </w:tcPr>
          <w:p w14:paraId="0D454CDB">
            <w:pPr>
              <w:rPr>
                <w:rFonts w:hint="eastAsia" w:ascii="仿宋" w:hAnsi="仿宋" w:eastAsia="仿宋" w:cs="仿宋"/>
                <w:color w:val="auto"/>
                <w:sz w:val="21"/>
                <w:szCs w:val="21"/>
              </w:rPr>
            </w:pPr>
          </w:p>
        </w:tc>
      </w:tr>
      <w:tr w14:paraId="5412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restart"/>
            <w:noWrap w:val="0"/>
            <w:vAlign w:val="center"/>
          </w:tcPr>
          <w:p w14:paraId="28AD0C8B">
            <w:pPr>
              <w:jc w:val="center"/>
              <w:rPr>
                <w:rFonts w:hint="eastAsia" w:ascii="仿宋" w:hAnsi="仿宋" w:eastAsia="仿宋" w:cs="仿宋"/>
                <w:color w:val="auto"/>
                <w:sz w:val="21"/>
                <w:szCs w:val="21"/>
              </w:rPr>
            </w:pPr>
            <w:r>
              <w:rPr>
                <w:rFonts w:hint="eastAsia" w:ascii="仿宋" w:hAnsi="仿宋" w:eastAsia="仿宋" w:cs="仿宋"/>
                <w:color w:val="auto"/>
                <w:sz w:val="21"/>
                <w:szCs w:val="21"/>
              </w:rPr>
              <w:t>119</w:t>
            </w:r>
          </w:p>
        </w:tc>
        <w:tc>
          <w:tcPr>
            <w:tcW w:w="750" w:type="dxa"/>
            <w:vMerge w:val="restart"/>
            <w:noWrap w:val="0"/>
            <w:vAlign w:val="center"/>
          </w:tcPr>
          <w:p w14:paraId="17C5D59E">
            <w:pPr>
              <w:jc w:val="center"/>
              <w:rPr>
                <w:rFonts w:hint="eastAsia" w:ascii="仿宋" w:hAnsi="仿宋" w:eastAsia="仿宋" w:cs="仿宋"/>
                <w:color w:val="auto"/>
                <w:sz w:val="21"/>
                <w:szCs w:val="21"/>
              </w:rPr>
            </w:pPr>
            <w:r>
              <w:rPr>
                <w:rFonts w:hint="eastAsia" w:ascii="仿宋" w:hAnsi="仿宋" w:eastAsia="仿宋" w:cs="仿宋"/>
                <w:color w:val="auto"/>
                <w:sz w:val="21"/>
                <w:szCs w:val="21"/>
              </w:rPr>
              <w:t>9</w:t>
            </w:r>
          </w:p>
        </w:tc>
        <w:tc>
          <w:tcPr>
            <w:tcW w:w="1230" w:type="dxa"/>
            <w:vMerge w:val="restart"/>
            <w:noWrap w:val="0"/>
            <w:vAlign w:val="center"/>
          </w:tcPr>
          <w:p w14:paraId="6C55FF75">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咸宁市</w:t>
            </w:r>
          </w:p>
        </w:tc>
        <w:tc>
          <w:tcPr>
            <w:tcW w:w="1003" w:type="dxa"/>
            <w:vMerge w:val="restart"/>
            <w:noWrap w:val="0"/>
            <w:vAlign w:val="center"/>
          </w:tcPr>
          <w:p w14:paraId="387E7BF3">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通山县</w:t>
            </w:r>
          </w:p>
        </w:tc>
        <w:tc>
          <w:tcPr>
            <w:tcW w:w="977" w:type="dxa"/>
            <w:vMerge w:val="restart"/>
            <w:noWrap w:val="0"/>
            <w:vAlign w:val="center"/>
          </w:tcPr>
          <w:p w14:paraId="605EDFF9">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通山县四斗朱水库</w:t>
            </w:r>
          </w:p>
        </w:tc>
        <w:tc>
          <w:tcPr>
            <w:tcW w:w="803" w:type="dxa"/>
            <w:vMerge w:val="restart"/>
            <w:noWrap w:val="0"/>
            <w:vAlign w:val="center"/>
          </w:tcPr>
          <w:p w14:paraId="4036EE52">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四斗朱水库</w:t>
            </w:r>
          </w:p>
        </w:tc>
        <w:tc>
          <w:tcPr>
            <w:tcW w:w="1125" w:type="dxa"/>
            <w:noWrap w:val="0"/>
            <w:vAlign w:val="center"/>
          </w:tcPr>
          <w:p w14:paraId="3EDBA714">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一级</w:t>
            </w:r>
          </w:p>
        </w:tc>
        <w:tc>
          <w:tcPr>
            <w:tcW w:w="3750" w:type="dxa"/>
            <w:noWrap w:val="0"/>
            <w:vAlign w:val="center"/>
          </w:tcPr>
          <w:p w14:paraId="3CED274B">
            <w:pPr>
              <w:jc w:val="both"/>
              <w:rPr>
                <w:rFonts w:hint="eastAsia" w:ascii="仿宋" w:hAnsi="仿宋" w:eastAsia="仿宋" w:cs="仿宋"/>
                <w:color w:val="auto"/>
                <w:sz w:val="21"/>
                <w:szCs w:val="21"/>
              </w:rPr>
            </w:pPr>
            <w:r>
              <w:rPr>
                <w:rFonts w:hint="eastAsia" w:ascii="仿宋" w:hAnsi="仿宋" w:eastAsia="仿宋" w:cs="仿宋"/>
                <w:color w:val="auto"/>
                <w:sz w:val="21"/>
                <w:szCs w:val="21"/>
              </w:rPr>
              <w:t>正常水位线以下全部水域面积</w:t>
            </w:r>
          </w:p>
        </w:tc>
        <w:tc>
          <w:tcPr>
            <w:tcW w:w="3525" w:type="dxa"/>
            <w:noWrap w:val="0"/>
            <w:vAlign w:val="center"/>
          </w:tcPr>
          <w:p w14:paraId="401FC7F6">
            <w:pPr>
              <w:jc w:val="both"/>
              <w:rPr>
                <w:rFonts w:hint="eastAsia" w:ascii="仿宋" w:hAnsi="仿宋" w:eastAsia="仿宋" w:cs="仿宋"/>
                <w:color w:val="auto"/>
                <w:sz w:val="21"/>
                <w:szCs w:val="21"/>
              </w:rPr>
            </w:pPr>
            <w:r>
              <w:rPr>
                <w:rFonts w:hint="eastAsia" w:ascii="仿宋" w:hAnsi="仿宋" w:eastAsia="仿宋" w:cs="仿宋"/>
                <w:color w:val="auto"/>
                <w:sz w:val="21"/>
                <w:szCs w:val="21"/>
              </w:rPr>
              <w:t>取水口侧正常水位线以上200米范围内区域</w:t>
            </w:r>
          </w:p>
        </w:tc>
        <w:tc>
          <w:tcPr>
            <w:tcW w:w="877" w:type="dxa"/>
            <w:vMerge w:val="restart"/>
            <w:noWrap w:val="0"/>
            <w:vAlign w:val="top"/>
          </w:tcPr>
          <w:p w14:paraId="58F9B03B">
            <w:pPr>
              <w:rPr>
                <w:rFonts w:hint="eastAsia" w:ascii="仿宋" w:hAnsi="仿宋" w:eastAsia="仿宋" w:cs="仿宋"/>
                <w:color w:val="auto"/>
                <w:sz w:val="21"/>
                <w:szCs w:val="21"/>
              </w:rPr>
            </w:pPr>
          </w:p>
        </w:tc>
      </w:tr>
      <w:tr w14:paraId="7AF6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vMerge w:val="continue"/>
            <w:noWrap w:val="0"/>
            <w:vAlign w:val="center"/>
          </w:tcPr>
          <w:p w14:paraId="02A56DA0">
            <w:pPr>
              <w:jc w:val="center"/>
              <w:rPr>
                <w:rFonts w:hint="eastAsia" w:ascii="仿宋" w:hAnsi="仿宋" w:eastAsia="仿宋" w:cs="仿宋"/>
                <w:color w:val="auto"/>
                <w:sz w:val="21"/>
                <w:szCs w:val="21"/>
              </w:rPr>
            </w:pPr>
          </w:p>
        </w:tc>
        <w:tc>
          <w:tcPr>
            <w:tcW w:w="750" w:type="dxa"/>
            <w:vMerge w:val="continue"/>
            <w:noWrap w:val="0"/>
            <w:vAlign w:val="center"/>
          </w:tcPr>
          <w:p w14:paraId="36B8F322">
            <w:pPr>
              <w:jc w:val="center"/>
              <w:rPr>
                <w:rFonts w:hint="eastAsia" w:ascii="仿宋" w:hAnsi="仿宋" w:eastAsia="仿宋" w:cs="仿宋"/>
                <w:color w:val="auto"/>
                <w:sz w:val="21"/>
                <w:szCs w:val="21"/>
              </w:rPr>
            </w:pPr>
          </w:p>
        </w:tc>
        <w:tc>
          <w:tcPr>
            <w:tcW w:w="1230" w:type="dxa"/>
            <w:vMerge w:val="continue"/>
            <w:noWrap w:val="0"/>
            <w:vAlign w:val="center"/>
          </w:tcPr>
          <w:p w14:paraId="1D86A2E3">
            <w:pPr>
              <w:jc w:val="center"/>
              <w:rPr>
                <w:rFonts w:hint="eastAsia" w:ascii="仿宋" w:hAnsi="仿宋" w:eastAsia="仿宋" w:cs="仿宋"/>
                <w:color w:val="auto"/>
                <w:sz w:val="21"/>
                <w:szCs w:val="21"/>
              </w:rPr>
            </w:pPr>
          </w:p>
        </w:tc>
        <w:tc>
          <w:tcPr>
            <w:tcW w:w="1003" w:type="dxa"/>
            <w:vMerge w:val="continue"/>
            <w:noWrap w:val="0"/>
            <w:vAlign w:val="center"/>
          </w:tcPr>
          <w:p w14:paraId="752652CD">
            <w:pPr>
              <w:jc w:val="center"/>
              <w:rPr>
                <w:rFonts w:hint="eastAsia" w:ascii="仿宋" w:hAnsi="仿宋" w:eastAsia="仿宋" w:cs="仿宋"/>
                <w:color w:val="auto"/>
                <w:sz w:val="21"/>
                <w:szCs w:val="21"/>
              </w:rPr>
            </w:pPr>
          </w:p>
        </w:tc>
        <w:tc>
          <w:tcPr>
            <w:tcW w:w="977" w:type="dxa"/>
            <w:vMerge w:val="continue"/>
            <w:noWrap w:val="0"/>
            <w:vAlign w:val="center"/>
          </w:tcPr>
          <w:p w14:paraId="7EA74E72">
            <w:pPr>
              <w:jc w:val="center"/>
              <w:rPr>
                <w:rFonts w:hint="eastAsia" w:ascii="仿宋" w:hAnsi="仿宋" w:eastAsia="仿宋" w:cs="仿宋"/>
                <w:color w:val="auto"/>
                <w:sz w:val="21"/>
                <w:szCs w:val="21"/>
              </w:rPr>
            </w:pPr>
          </w:p>
        </w:tc>
        <w:tc>
          <w:tcPr>
            <w:tcW w:w="803" w:type="dxa"/>
            <w:vMerge w:val="continue"/>
            <w:noWrap w:val="0"/>
            <w:vAlign w:val="center"/>
          </w:tcPr>
          <w:p w14:paraId="686680F6">
            <w:pPr>
              <w:jc w:val="center"/>
              <w:rPr>
                <w:rFonts w:hint="eastAsia" w:ascii="仿宋" w:hAnsi="仿宋" w:eastAsia="仿宋" w:cs="仿宋"/>
                <w:color w:val="auto"/>
                <w:sz w:val="21"/>
                <w:szCs w:val="21"/>
              </w:rPr>
            </w:pPr>
          </w:p>
        </w:tc>
        <w:tc>
          <w:tcPr>
            <w:tcW w:w="1125" w:type="dxa"/>
            <w:noWrap w:val="0"/>
            <w:vAlign w:val="center"/>
          </w:tcPr>
          <w:p w14:paraId="2DCBAD85">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二级</w:t>
            </w:r>
          </w:p>
        </w:tc>
        <w:tc>
          <w:tcPr>
            <w:tcW w:w="3750" w:type="dxa"/>
            <w:noWrap w:val="0"/>
            <w:vAlign w:val="center"/>
          </w:tcPr>
          <w:p w14:paraId="38243268">
            <w:pPr>
              <w:jc w:val="both"/>
              <w:rPr>
                <w:rFonts w:hint="eastAsia" w:ascii="仿宋" w:hAnsi="仿宋" w:eastAsia="仿宋" w:cs="仿宋"/>
                <w:color w:val="auto"/>
                <w:sz w:val="21"/>
                <w:szCs w:val="21"/>
              </w:rPr>
            </w:pPr>
            <w:r>
              <w:rPr>
                <w:rFonts w:hint="eastAsia" w:ascii="仿宋" w:hAnsi="仿宋" w:eastAsia="仿宋" w:cs="仿宋"/>
                <w:color w:val="auto"/>
                <w:sz w:val="21"/>
                <w:szCs w:val="21"/>
              </w:rPr>
              <w:t>一级保护区边界外上游全部水域</w:t>
            </w:r>
          </w:p>
        </w:tc>
        <w:tc>
          <w:tcPr>
            <w:tcW w:w="3525" w:type="dxa"/>
            <w:noWrap w:val="0"/>
            <w:vAlign w:val="center"/>
          </w:tcPr>
          <w:p w14:paraId="280CD865">
            <w:pPr>
              <w:jc w:val="both"/>
              <w:rPr>
                <w:rFonts w:hint="eastAsia" w:ascii="仿宋" w:hAnsi="仿宋" w:eastAsia="仿宋" w:cs="仿宋"/>
                <w:color w:val="auto"/>
                <w:sz w:val="21"/>
                <w:szCs w:val="21"/>
              </w:rPr>
            </w:pPr>
            <w:r>
              <w:rPr>
                <w:rFonts w:hint="eastAsia" w:ascii="仿宋" w:hAnsi="仿宋" w:eastAsia="仿宋" w:cs="仿宋"/>
                <w:color w:val="auto"/>
                <w:sz w:val="21"/>
                <w:szCs w:val="21"/>
              </w:rPr>
              <w:t>一级保护区外上游整个流域</w:t>
            </w:r>
          </w:p>
        </w:tc>
        <w:tc>
          <w:tcPr>
            <w:tcW w:w="877" w:type="dxa"/>
            <w:vMerge w:val="continue"/>
            <w:noWrap w:val="0"/>
            <w:vAlign w:val="top"/>
          </w:tcPr>
          <w:p w14:paraId="473BD1A1">
            <w:pPr>
              <w:rPr>
                <w:rFonts w:hint="eastAsia" w:ascii="仿宋" w:hAnsi="仿宋" w:eastAsia="仿宋" w:cs="仿宋"/>
                <w:color w:val="auto"/>
                <w:sz w:val="21"/>
                <w:szCs w:val="21"/>
              </w:rPr>
            </w:pPr>
          </w:p>
        </w:tc>
      </w:tr>
    </w:tbl>
    <w:p w14:paraId="5ED89CD6">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sectPr>
          <w:pgSz w:w="16838" w:h="11906" w:orient="landscape"/>
          <w:pgMar w:top="1440" w:right="1800" w:bottom="1440" w:left="1800" w:header="1134"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2262080">
      <w:pPr>
        <w:pStyle w:val="27"/>
        <w:bidi w:val="0"/>
        <w:ind w:left="0" w:leftChars="0" w:firstLine="0" w:firstLineChars="0"/>
        <w:jc w:val="left"/>
        <w:rPr>
          <w:rFonts w:hint="eastAsia" w:ascii="黑体" w:hAnsi="黑体" w:eastAsia="黑体" w:cs="黑体"/>
          <w:b w:val="0"/>
          <w:bCs w:val="0"/>
          <w:color w:val="auto"/>
          <w:sz w:val="32"/>
          <w:szCs w:val="32"/>
          <w:lang w:val="en-US" w:eastAsia="zh-CN" w:bidi="ar-SA"/>
        </w:rPr>
      </w:pPr>
      <w:r>
        <w:rPr>
          <w:rFonts w:hint="eastAsia" w:ascii="黑体" w:hAnsi="黑体" w:eastAsia="黑体" w:cs="黑体"/>
          <w:b w:val="0"/>
          <w:bCs w:val="0"/>
          <w:color w:val="auto"/>
          <w:sz w:val="32"/>
          <w:szCs w:val="32"/>
          <w:lang w:val="en-US" w:eastAsia="zh-CN" w:bidi="ar-SA"/>
        </w:rPr>
        <w:t>附件17</w:t>
      </w:r>
    </w:p>
    <w:p w14:paraId="6D8BDE4B">
      <w:pPr>
        <w:pStyle w:val="27"/>
        <w:bidi w:val="0"/>
        <w:ind w:left="0" w:leftChars="0" w:firstLine="0" w:firstLineChars="0"/>
        <w:jc w:val="center"/>
        <w:rPr>
          <w:rFonts w:hint="default"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 xml:space="preserve">  </w:t>
      </w:r>
      <w:r>
        <w:rPr>
          <w:rFonts w:hint="default" w:ascii="仿宋_GB2312" w:hAnsi="仿宋_GB2312" w:eastAsia="仿宋_GB2312" w:cs="仿宋_GB2312"/>
          <w:b/>
          <w:bCs/>
          <w:color w:val="auto"/>
          <w:sz w:val="32"/>
          <w:szCs w:val="32"/>
          <w:lang w:val="en-US" w:eastAsia="zh-CN" w:bidi="ar-SA"/>
        </w:rPr>
        <w:t>省环保厅关于咸宁市撤销赤壁市供水总公司三水厂饮用水水源</w:t>
      </w:r>
    </w:p>
    <w:p w14:paraId="2EAF7798">
      <w:pPr>
        <w:pStyle w:val="27"/>
        <w:bidi w:val="0"/>
        <w:ind w:left="0" w:leftChars="0" w:firstLine="0" w:firstLineChars="0"/>
        <w:jc w:val="center"/>
        <w:rPr>
          <w:rFonts w:hint="default" w:ascii="Times New Roman" w:hAnsi="Times New Roman" w:eastAsia="宋体" w:cs="Times New Roman"/>
          <w:b/>
          <w:bCs/>
          <w:color w:val="auto"/>
          <w:kern w:val="21"/>
          <w:sz w:val="24"/>
          <w:szCs w:val="24"/>
          <w:lang w:val="en-US" w:eastAsia="zh-CN" w:bidi="ar-SA"/>
        </w:rPr>
      </w:pPr>
      <w:r>
        <w:rPr>
          <w:rFonts w:hint="default" w:ascii="仿宋_GB2312" w:hAnsi="仿宋_GB2312" w:eastAsia="仿宋_GB2312" w:cs="仿宋_GB2312"/>
          <w:b/>
          <w:bCs/>
          <w:color w:val="auto"/>
          <w:sz w:val="32"/>
          <w:szCs w:val="32"/>
          <w:lang w:val="en-US" w:eastAsia="zh-CN" w:bidi="ar-SA"/>
        </w:rPr>
        <w:t>保护区有关意见的函</w:t>
      </w:r>
    </w:p>
    <w:p w14:paraId="45C714B0">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sectPr>
          <w:pgSz w:w="11906" w:h="16838"/>
          <w:pgMar w:top="720" w:right="720" w:bottom="720" w:left="720" w:header="1134"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5661660" cy="7978140"/>
            <wp:effectExtent l="0" t="0" r="15240" b="3810"/>
            <wp:docPr id="11" name="图片 11" descr="三水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三水厂1"/>
                    <pic:cNvPicPr>
                      <a:picLocks noChangeAspect="1"/>
                    </pic:cNvPicPr>
                  </pic:nvPicPr>
                  <pic:blipFill>
                    <a:blip r:embed="rId20"/>
                    <a:stretch>
                      <a:fillRect/>
                    </a:stretch>
                  </pic:blipFill>
                  <pic:spPr>
                    <a:xfrm>
                      <a:off x="0" y="0"/>
                      <a:ext cx="5661660" cy="7978140"/>
                    </a:xfrm>
                    <a:prstGeom prst="rect">
                      <a:avLst/>
                    </a:prstGeom>
                  </pic:spPr>
                </pic:pic>
              </a:graphicData>
            </a:graphic>
          </wp:inline>
        </w:drawing>
      </w: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6439535" cy="8707120"/>
            <wp:effectExtent l="0" t="0" r="18415" b="17780"/>
            <wp:docPr id="12" name="图片 12" descr="三水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三水厂2"/>
                    <pic:cNvPicPr>
                      <a:picLocks noChangeAspect="1"/>
                    </pic:cNvPicPr>
                  </pic:nvPicPr>
                  <pic:blipFill>
                    <a:blip r:embed="rId21"/>
                    <a:stretch>
                      <a:fillRect/>
                    </a:stretch>
                  </pic:blipFill>
                  <pic:spPr>
                    <a:xfrm>
                      <a:off x="0" y="0"/>
                      <a:ext cx="6439535" cy="8707120"/>
                    </a:xfrm>
                    <a:prstGeom prst="rect">
                      <a:avLst/>
                    </a:prstGeom>
                  </pic:spPr>
                </pic:pic>
              </a:graphicData>
            </a:graphic>
          </wp:inline>
        </w:drawing>
      </w:r>
    </w:p>
    <w:p w14:paraId="3FB96415">
      <w:pPr>
        <w:pStyle w:val="27"/>
        <w:bidi w:val="0"/>
        <w:ind w:left="0" w:leftChars="0" w:firstLine="0" w:firstLineChars="0"/>
        <w:jc w:val="left"/>
        <w:rPr>
          <w:rFonts w:hint="eastAsia" w:ascii="黑体" w:hAnsi="黑体" w:eastAsia="黑体" w:cs="黑体"/>
          <w:b w:val="0"/>
          <w:bCs w:val="0"/>
          <w:color w:val="auto"/>
          <w:sz w:val="32"/>
          <w:szCs w:val="32"/>
          <w:lang w:val="en-US" w:eastAsia="zh-CN" w:bidi="ar-SA"/>
        </w:rPr>
      </w:pPr>
      <w:r>
        <w:rPr>
          <w:rFonts w:hint="eastAsia" w:ascii="黑体" w:hAnsi="黑体" w:eastAsia="黑体" w:cs="黑体"/>
          <w:b w:val="0"/>
          <w:bCs w:val="0"/>
          <w:color w:val="auto"/>
          <w:sz w:val="32"/>
          <w:szCs w:val="32"/>
          <w:lang w:val="en-US" w:eastAsia="zh-CN" w:bidi="ar-SA"/>
        </w:rPr>
        <w:t xml:space="preserve">附件18 </w:t>
      </w:r>
    </w:p>
    <w:p w14:paraId="2A518E00">
      <w:pPr>
        <w:pStyle w:val="27"/>
        <w:bidi w:val="0"/>
        <w:ind w:left="0" w:leftChars="0" w:firstLine="0" w:firstLineChars="0"/>
        <w:jc w:val="center"/>
        <w:rPr>
          <w:rFonts w:hint="default"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 xml:space="preserve"> </w:t>
      </w:r>
      <w:r>
        <w:rPr>
          <w:rFonts w:hint="default" w:ascii="仿宋_GB2312" w:hAnsi="仿宋_GB2312" w:eastAsia="仿宋_GB2312" w:cs="仿宋_GB2312"/>
          <w:b/>
          <w:bCs/>
          <w:color w:val="auto"/>
          <w:sz w:val="32"/>
          <w:szCs w:val="32"/>
          <w:lang w:val="en-US" w:eastAsia="zh-CN" w:bidi="ar-SA"/>
        </w:rPr>
        <w:t>赤壁市人民政府关于《赤壁市陆水水库饮用水源地环境保护规划》的批复</w:t>
      </w:r>
    </w:p>
    <w:p w14:paraId="6C6EC717">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sectPr>
          <w:pgSz w:w="11906" w:h="16838"/>
          <w:pgMar w:top="720" w:right="720" w:bottom="720" w:left="720" w:header="1134"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5611495" cy="8008620"/>
            <wp:effectExtent l="0" t="0" r="8255" b="11430"/>
            <wp:docPr id="14" name="图片 14" descr="饮用水源规划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饮用水源规划批复1"/>
                    <pic:cNvPicPr>
                      <a:picLocks noChangeAspect="1"/>
                    </pic:cNvPicPr>
                  </pic:nvPicPr>
                  <pic:blipFill>
                    <a:blip r:embed="rId22"/>
                    <a:stretch>
                      <a:fillRect/>
                    </a:stretch>
                  </pic:blipFill>
                  <pic:spPr>
                    <a:xfrm>
                      <a:off x="0" y="0"/>
                      <a:ext cx="5611495" cy="8008620"/>
                    </a:xfrm>
                    <a:prstGeom prst="rect">
                      <a:avLst/>
                    </a:prstGeom>
                  </pic:spPr>
                </pic:pic>
              </a:graphicData>
            </a:graphic>
          </wp:inline>
        </w:drawing>
      </w: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6058535" cy="8982710"/>
            <wp:effectExtent l="0" t="0" r="18415" b="8890"/>
            <wp:docPr id="15" name="图片 15" descr="饮用水源规划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饮用水源规划批复2"/>
                    <pic:cNvPicPr>
                      <a:picLocks noChangeAspect="1"/>
                    </pic:cNvPicPr>
                  </pic:nvPicPr>
                  <pic:blipFill>
                    <a:blip r:embed="rId23"/>
                    <a:stretch>
                      <a:fillRect/>
                    </a:stretch>
                  </pic:blipFill>
                  <pic:spPr>
                    <a:xfrm>
                      <a:off x="0" y="0"/>
                      <a:ext cx="6058535" cy="8982710"/>
                    </a:xfrm>
                    <a:prstGeom prst="rect">
                      <a:avLst/>
                    </a:prstGeom>
                  </pic:spPr>
                </pic:pic>
              </a:graphicData>
            </a:graphic>
          </wp:inline>
        </w:drawing>
      </w:r>
    </w:p>
    <w:p w14:paraId="2D96F758">
      <w:pPr>
        <w:pStyle w:val="27"/>
        <w:bidi w:val="0"/>
        <w:ind w:left="0" w:leftChars="0" w:firstLine="0" w:firstLineChars="0"/>
        <w:jc w:val="both"/>
        <w:rPr>
          <w:rFonts w:hint="eastAsia" w:ascii="黑体" w:hAnsi="黑体" w:eastAsia="黑体" w:cs="黑体"/>
          <w:b w:val="0"/>
          <w:bCs w:val="0"/>
          <w:color w:val="auto"/>
          <w:sz w:val="32"/>
          <w:szCs w:val="32"/>
          <w:lang w:val="en-US" w:eastAsia="zh-CN" w:bidi="ar-SA"/>
        </w:rPr>
      </w:pPr>
      <w:r>
        <w:rPr>
          <w:rFonts w:hint="eastAsia" w:ascii="黑体" w:hAnsi="黑体" w:eastAsia="黑体" w:cs="黑体"/>
          <w:b w:val="0"/>
          <w:bCs w:val="0"/>
          <w:color w:val="auto"/>
          <w:sz w:val="32"/>
          <w:szCs w:val="32"/>
          <w:lang w:val="en-US" w:eastAsia="zh-CN" w:bidi="ar-SA"/>
        </w:rPr>
        <w:t xml:space="preserve">附件19 </w:t>
      </w:r>
    </w:p>
    <w:p w14:paraId="6ABD48F9">
      <w:pPr>
        <w:pStyle w:val="27"/>
        <w:bidi w:val="0"/>
        <w:ind w:left="0" w:leftChars="0" w:firstLine="0" w:firstLineChars="0"/>
        <w:jc w:val="center"/>
        <w:rPr>
          <w:rFonts w:hint="default"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 xml:space="preserve"> </w:t>
      </w:r>
      <w:r>
        <w:rPr>
          <w:rFonts w:hint="default" w:ascii="仿宋_GB2312" w:hAnsi="仿宋_GB2312" w:eastAsia="仿宋_GB2312" w:cs="仿宋_GB2312"/>
          <w:b/>
          <w:bCs/>
          <w:color w:val="auto"/>
          <w:sz w:val="32"/>
          <w:szCs w:val="32"/>
          <w:lang w:val="en-US" w:eastAsia="zh-CN" w:bidi="ar-SA"/>
        </w:rPr>
        <w:t>饮用水源地应急预案（征求意见稿）意见反馈（各部门）</w:t>
      </w:r>
    </w:p>
    <w:p w14:paraId="690F2636">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5551170" cy="7852410"/>
            <wp:effectExtent l="0" t="0" r="11430" b="15240"/>
            <wp:docPr id="1" name="图片 1" descr="财政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财政局"/>
                    <pic:cNvPicPr>
                      <a:picLocks noChangeAspect="1"/>
                    </pic:cNvPicPr>
                  </pic:nvPicPr>
                  <pic:blipFill>
                    <a:blip r:embed="rId24"/>
                    <a:stretch>
                      <a:fillRect/>
                    </a:stretch>
                  </pic:blipFill>
                  <pic:spPr>
                    <a:xfrm>
                      <a:off x="0" y="0"/>
                      <a:ext cx="5551170" cy="7852410"/>
                    </a:xfrm>
                    <a:prstGeom prst="rect">
                      <a:avLst/>
                    </a:prstGeom>
                  </pic:spPr>
                </pic:pic>
              </a:graphicData>
            </a:graphic>
          </wp:inline>
        </w:drawing>
      </w: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6031865" cy="8530590"/>
            <wp:effectExtent l="0" t="0" r="6985" b="3810"/>
            <wp:docPr id="10" name="图片 10" descr="页面提取自－市委宣传部 《赤壁市集中式地表水饮用水水源地突发环境事件应急预案》（征求意见稿）意见反馈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页面提取自－市委宣传部 《赤壁市集中式地表水饮用水水源地突发环境事件应急预案》（征求意见稿）意见反馈函"/>
                    <pic:cNvPicPr>
                      <a:picLocks noChangeAspect="1"/>
                    </pic:cNvPicPr>
                  </pic:nvPicPr>
                  <pic:blipFill>
                    <a:blip r:embed="rId25"/>
                    <a:stretch>
                      <a:fillRect/>
                    </a:stretch>
                  </pic:blipFill>
                  <pic:spPr>
                    <a:xfrm>
                      <a:off x="0" y="0"/>
                      <a:ext cx="6031865" cy="8530590"/>
                    </a:xfrm>
                    <a:prstGeom prst="rect">
                      <a:avLst/>
                    </a:prstGeom>
                  </pic:spPr>
                </pic:pic>
              </a:graphicData>
            </a:graphic>
          </wp:inline>
        </w:drawing>
      </w: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5942330" cy="8403590"/>
            <wp:effectExtent l="0" t="0" r="1270" b="16510"/>
            <wp:docPr id="16" name="图片 16" descr="市委宣传部 《赤壁市集中式地表水饮用水水源地突发环境事件应急预案》（征求意见稿）意见反馈函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市委宣传部 《赤壁市集中式地表水饮用水水源地突发环境事件应急预案》（征求意见稿）意见反馈函_页面_2"/>
                    <pic:cNvPicPr>
                      <a:picLocks noChangeAspect="1"/>
                    </pic:cNvPicPr>
                  </pic:nvPicPr>
                  <pic:blipFill>
                    <a:blip r:embed="rId26"/>
                    <a:stretch>
                      <a:fillRect/>
                    </a:stretch>
                  </pic:blipFill>
                  <pic:spPr>
                    <a:xfrm>
                      <a:off x="0" y="0"/>
                      <a:ext cx="5942330" cy="8403590"/>
                    </a:xfrm>
                    <a:prstGeom prst="rect">
                      <a:avLst/>
                    </a:prstGeom>
                  </pic:spPr>
                </pic:pic>
              </a:graphicData>
            </a:graphic>
          </wp:inline>
        </w:drawing>
      </w: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6122035" cy="8420100"/>
            <wp:effectExtent l="0" t="0" r="12065" b="0"/>
            <wp:docPr id="17" name="图片 17" descr="赤壁市民政局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赤壁市民政局 001"/>
                    <pic:cNvPicPr>
                      <a:picLocks noChangeAspect="1"/>
                    </pic:cNvPicPr>
                  </pic:nvPicPr>
                  <pic:blipFill>
                    <a:blip r:embed="rId27"/>
                    <a:stretch>
                      <a:fillRect/>
                    </a:stretch>
                  </pic:blipFill>
                  <pic:spPr>
                    <a:xfrm>
                      <a:off x="0" y="0"/>
                      <a:ext cx="6122035" cy="8420100"/>
                    </a:xfrm>
                    <a:prstGeom prst="rect">
                      <a:avLst/>
                    </a:prstGeom>
                  </pic:spPr>
                </pic:pic>
              </a:graphicData>
            </a:graphic>
          </wp:inline>
        </w:drawing>
      </w: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6210935" cy="8784590"/>
            <wp:effectExtent l="0" t="0" r="18415" b="16510"/>
            <wp:docPr id="18" name="图片 18" descr="公安局MX-2338NC_20210630_10230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公安局MX-2338NC_20210630_102304_001"/>
                    <pic:cNvPicPr>
                      <a:picLocks noChangeAspect="1"/>
                    </pic:cNvPicPr>
                  </pic:nvPicPr>
                  <pic:blipFill>
                    <a:blip r:embed="rId28"/>
                    <a:stretch>
                      <a:fillRect/>
                    </a:stretch>
                  </pic:blipFill>
                  <pic:spPr>
                    <a:xfrm>
                      <a:off x="0" y="0"/>
                      <a:ext cx="6210935" cy="8784590"/>
                    </a:xfrm>
                    <a:prstGeom prst="rect">
                      <a:avLst/>
                    </a:prstGeom>
                  </pic:spPr>
                </pic:pic>
              </a:graphicData>
            </a:graphic>
          </wp:inline>
        </w:drawing>
      </w: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6123940" cy="8432800"/>
            <wp:effectExtent l="0" t="0" r="10160" b="6350"/>
            <wp:docPr id="19" name="图片 19" descr="纪委4911b87864c84dc1adc941949502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纪委4911b87864c84dc1adc941949502eee"/>
                    <pic:cNvPicPr>
                      <a:picLocks noChangeAspect="1"/>
                    </pic:cNvPicPr>
                  </pic:nvPicPr>
                  <pic:blipFill>
                    <a:blip r:embed="rId29"/>
                    <a:stretch>
                      <a:fillRect/>
                    </a:stretch>
                  </pic:blipFill>
                  <pic:spPr>
                    <a:xfrm>
                      <a:off x="0" y="0"/>
                      <a:ext cx="6123940" cy="8432800"/>
                    </a:xfrm>
                    <a:prstGeom prst="rect">
                      <a:avLst/>
                    </a:prstGeom>
                  </pic:spPr>
                </pic:pic>
              </a:graphicData>
            </a:graphic>
          </wp:inline>
        </w:drawing>
      </w: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6252210" cy="8609965"/>
            <wp:effectExtent l="0" t="0" r="15240" b="635"/>
            <wp:docPr id="20" name="图片 20" descr="蒲圻办事处bc867688efa92f4100f352b69a32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蒲圻办事处bc867688efa92f4100f352b69a32d6c"/>
                    <pic:cNvPicPr>
                      <a:picLocks noChangeAspect="1"/>
                    </pic:cNvPicPr>
                  </pic:nvPicPr>
                  <pic:blipFill>
                    <a:blip r:embed="rId30"/>
                    <a:stretch>
                      <a:fillRect/>
                    </a:stretch>
                  </pic:blipFill>
                  <pic:spPr>
                    <a:xfrm>
                      <a:off x="0" y="0"/>
                      <a:ext cx="6252210" cy="8609965"/>
                    </a:xfrm>
                    <a:prstGeom prst="rect">
                      <a:avLst/>
                    </a:prstGeom>
                  </pic:spPr>
                </pic:pic>
              </a:graphicData>
            </a:graphic>
          </wp:inline>
        </w:drawing>
      </w:r>
      <w:r>
        <w:rPr>
          <w:rFonts w:hint="default" w:ascii="Times New Roman" w:hAnsi="Times New Roman" w:eastAsia="宋体" w:cs="Times New Roman"/>
          <w:b/>
          <w:bCs/>
          <w:color w:val="auto"/>
          <w:kern w:val="21"/>
          <w:sz w:val="24"/>
          <w:szCs w:val="24"/>
          <w:lang w:val="en-US" w:eastAsia="zh-CN" w:bidi="ar-SA"/>
        </w:rPr>
        <w:drawing>
          <wp:inline distT="0" distB="0" distL="114300" distR="114300">
            <wp:extent cx="6090920" cy="8378190"/>
            <wp:effectExtent l="0" t="0" r="5080" b="3810"/>
            <wp:docPr id="21" name="图片 21" descr="气象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气象台"/>
                    <pic:cNvPicPr>
                      <a:picLocks noChangeAspect="1"/>
                    </pic:cNvPicPr>
                  </pic:nvPicPr>
                  <pic:blipFill>
                    <a:blip r:embed="rId31"/>
                    <a:stretch>
                      <a:fillRect/>
                    </a:stretch>
                  </pic:blipFill>
                  <pic:spPr>
                    <a:xfrm>
                      <a:off x="0" y="0"/>
                      <a:ext cx="6090920" cy="8378190"/>
                    </a:xfrm>
                    <a:prstGeom prst="rect">
                      <a:avLst/>
                    </a:prstGeom>
                  </pic:spPr>
                </pic:pic>
              </a:graphicData>
            </a:graphic>
          </wp:inline>
        </w:drawing>
      </w:r>
    </w:p>
    <w:p w14:paraId="606DA391">
      <w:pPr>
        <w:pStyle w:val="27"/>
        <w:bidi w:val="0"/>
        <w:ind w:left="0" w:leftChars="0" w:right="0" w:rightChars="0" w:firstLine="0" w:firstLineChars="0"/>
        <w:jc w:val="left"/>
        <w:rPr>
          <w:rFonts w:hint="eastAsia" w:ascii="仿宋_GB2312" w:hAnsi="仿宋_GB2312" w:eastAsia="仿宋_GB2312" w:cs="仿宋_GB2312"/>
          <w:b w:val="0"/>
          <w:bCs w:val="0"/>
          <w:color w:val="auto"/>
          <w:kern w:val="21"/>
          <w:sz w:val="32"/>
          <w:szCs w:val="32"/>
          <w:lang w:val="en-US" w:eastAsia="zh-CN" w:bidi="ar-SA"/>
        </w:rPr>
      </w:pPr>
      <w:r>
        <w:rPr>
          <w:rFonts w:hint="eastAsia" w:ascii="仿宋_GB2312" w:hAnsi="仿宋_GB2312" w:eastAsia="仿宋_GB2312" w:cs="仿宋_GB2312"/>
          <w:b w:val="0"/>
          <w:bCs w:val="0"/>
          <w:color w:val="auto"/>
          <w:kern w:val="21"/>
          <w:sz w:val="32"/>
          <w:szCs w:val="32"/>
          <w:lang w:val="en-US" w:eastAsia="zh-CN" w:bidi="ar-SA"/>
        </w:rPr>
        <w:t>（此页无正文）</w:t>
      </w:r>
    </w:p>
    <w:p w14:paraId="0BED5E7F">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7D15AECD">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1A41BC8F">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09C0FC19">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75CD8B12">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530BD153">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2C13E693">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20111F0F">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4C587AF3">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26A2C7FF">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47F44E45">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1D75CD2C">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2EBBBB59">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4C66FA26">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5BF1F11A">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2083C875">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0526F94F">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077EA61C">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174C3B55">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1EEBF74D">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0C9FBC7B">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176A4506">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0AAC030B">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714525B4">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68E5C178">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3F7FCFAC">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7ED408A4">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59A0C75C">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1DA59970">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436C57CF">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626BD81B">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598CC4BC">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077402AC">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68EBC1FC">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2658211C">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050CA7C8">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53A46EF9">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0E72313F">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53EFD5BB">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7C82AD55">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7B23ECE3">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196D93E1">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76B1A5A3">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608001B6">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2CC6D21B">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1B49BEE1">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5108FC62">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6C35CD0C">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4DE22D3C">
      <w:pPr>
        <w:pStyle w:val="27"/>
        <w:bidi w:val="0"/>
        <w:ind w:left="0" w:leftChars="0" w:right="0" w:rightChars="0" w:firstLine="0" w:firstLineChars="0"/>
        <w:jc w:val="center"/>
        <w:rPr>
          <w:rFonts w:hint="default" w:ascii="Times New Roman" w:hAnsi="Times New Roman" w:eastAsia="宋体" w:cs="Times New Roman"/>
          <w:b/>
          <w:bCs/>
          <w:color w:val="auto"/>
          <w:kern w:val="21"/>
          <w:sz w:val="24"/>
          <w:szCs w:val="24"/>
          <w:lang w:val="en-US" w:eastAsia="zh-CN" w:bidi="ar-SA"/>
        </w:rPr>
      </w:pPr>
    </w:p>
    <w:p w14:paraId="53817E54">
      <w:pPr>
        <w:spacing w:line="560" w:lineRule="exact"/>
        <w:rPr>
          <w:rFonts w:hint="eastAsia" w:ascii="仿宋_GB2312" w:hAnsi="仿宋_GB2312" w:eastAsia="仿宋_GB2312" w:cs="仿宋_GB2312"/>
          <w:sz w:val="32"/>
          <w:szCs w:val="32"/>
        </w:rPr>
      </w:pPr>
      <w:r>
        <w:rPr>
          <w:rFonts w:hint="eastAsia"/>
          <w:sz w:val="20"/>
          <w:szCs w:val="2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64770</wp:posOffset>
                </wp:positionV>
                <wp:extent cx="5606415" cy="14605"/>
                <wp:effectExtent l="0" t="6350" r="13335" b="7620"/>
                <wp:wrapNone/>
                <wp:docPr id="13" name="直接连接符 13"/>
                <wp:cNvGraphicFramePr/>
                <a:graphic xmlns:a="http://schemas.openxmlformats.org/drawingml/2006/main">
                  <a:graphicData uri="http://schemas.microsoft.com/office/word/2010/wordprocessingShape">
                    <wps:wsp>
                      <wps:cNvCnPr/>
                      <wps:spPr>
                        <a:xfrm flipV="1">
                          <a:off x="0" y="0"/>
                          <a:ext cx="5606415" cy="1460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0pt;margin-top:5.1pt;height:1.15pt;width:441.45pt;z-index:251662336;mso-width-relative:page;mso-height-relative:page;" filled="f" stroked="t" coordsize="21600,21600" o:gfxdata="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5qIZNUAAAAGAQAADwAAAAAAAAABACAAAAAiAAAAZHJzL2Rv&#10;d25yZXYueG1sUEsBAhQAFAAAAAgAh07iQMfSX+MEAgAAAwQAAA4AAAAAAAAAAQAgAAAAJAEAAGRy&#10;cy9lMm9Eb2MueG1sUEsFBgAAAAAGAAYAWQEAAJoFAAAAAA==&#10;">
                <v:fill on="f" focussize="0,0"/>
                <v:stroke weight="1pt" color="#000000" joinstyle="round"/>
                <v:imagedata o:title=""/>
                <o:lock v:ext="edit" aspectratio="f"/>
              </v:line>
            </w:pict>
          </mc:Fallback>
        </mc:AlternateContent>
      </w:r>
      <w:r>
        <w:rPr>
          <w:rFonts w:hint="eastAsia" w:ascii="仿宋_GB2312" w:hAnsi="仿宋_GB2312" w:eastAsia="仿宋_GB2312" w:cs="仿宋_GB2312"/>
          <w:sz w:val="32"/>
          <w:szCs w:val="32"/>
        </w:rPr>
        <w:t>抄送：市委有关部门，市人武部，各人民团体；</w:t>
      </w:r>
    </w:p>
    <w:p w14:paraId="185182CF">
      <w:pPr>
        <w:tabs>
          <w:tab w:val="left" w:pos="10710"/>
        </w:tabs>
        <w:spacing w:line="560" w:lineRule="exact"/>
        <w:ind w:firstLine="994" w:firstLineChars="350"/>
        <w:rPr>
          <w:rFonts w:hint="eastAsia" w:ascii="仿宋_GB2312" w:hAnsi="仿宋_GB2312" w:eastAsia="仿宋_GB2312" w:cs="仿宋_GB2312"/>
          <w:spacing w:val="-18"/>
          <w:sz w:val="32"/>
          <w:szCs w:val="32"/>
        </w:rPr>
      </w:pPr>
      <w:r>
        <w:rPr>
          <w:rFonts w:hint="eastAsia" w:ascii="仿宋_GB2312" w:hAnsi="仿宋_GB2312" w:eastAsia="仿宋_GB2312" w:cs="仿宋_GB2312"/>
          <w:spacing w:val="-18"/>
          <w:sz w:val="32"/>
          <w:szCs w:val="32"/>
        </w:rPr>
        <w:t>市人大常委会办公室，市政协办公室，市法院，市检察院。</w:t>
      </w:r>
      <w:r>
        <w:rPr>
          <w:rFonts w:hint="eastAsia" w:ascii="仿宋_GB2312" w:hAnsi="仿宋_GB2312" w:eastAsia="仿宋_GB2312" w:cs="仿宋_GB2312"/>
          <w:spacing w:val="-18"/>
          <w:sz w:val="32"/>
          <w:szCs w:val="32"/>
        </w:rPr>
        <w:tab/>
      </w:r>
    </w:p>
    <w:p w14:paraId="56E25FD2">
      <w:pPr>
        <w:spacing w:line="560" w:lineRule="exact"/>
        <w:ind w:firstLine="100" w:firstLineChars="50"/>
        <w:rPr>
          <w:rFonts w:hint="eastAsia" w:ascii="仿宋_GB2312" w:hAnsi="仿宋_GB2312" w:eastAsia="仿宋_GB2312" w:cs="仿宋_GB2312"/>
          <w:sz w:val="32"/>
          <w:szCs w:val="32"/>
        </w:rPr>
        <w:sectPr>
          <w:footerReference r:id="rId14" w:type="default"/>
          <w:pgSz w:w="11906" w:h="16838"/>
          <w:pgMar w:top="2041" w:right="1587" w:bottom="1587" w:left="1587" w:header="851" w:footer="992" w:gutter="0"/>
          <w:pgNumType w:fmt="numberInDash"/>
          <w:cols w:space="0" w:num="1"/>
          <w:rtlGutter w:val="0"/>
          <w:docGrid w:type="lines" w:linePitch="323" w:charSpace="0"/>
        </w:sectPr>
      </w:pPr>
      <w:r>
        <w:rPr>
          <w:rFonts w:hint="eastAsia"/>
          <w:sz w:val="20"/>
          <w:szCs w:val="2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357505</wp:posOffset>
                </wp:positionV>
                <wp:extent cx="5633085" cy="20320"/>
                <wp:effectExtent l="0" t="6350" r="5715" b="11430"/>
                <wp:wrapNone/>
                <wp:docPr id="22" name="直接连接符 22"/>
                <wp:cNvGraphicFramePr/>
                <a:graphic xmlns:a="http://schemas.openxmlformats.org/drawingml/2006/main">
                  <a:graphicData uri="http://schemas.microsoft.com/office/word/2010/wordprocessingShape">
                    <wps:wsp>
                      <wps:cNvCnPr/>
                      <wps:spPr>
                        <a:xfrm flipV="1">
                          <a:off x="0" y="0"/>
                          <a:ext cx="5633085" cy="2032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0pt;margin-top:28.15pt;height:1.6pt;width:443.55pt;z-index:251663360;mso-width-relative:page;mso-height-relative:page;" filled="f" stroked="t" coordsize="21600,21600" o:gfxdata="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&#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jeH71gAAAAYBAAAPAAAAAAAAAAEAIAAAACIAAABk&#10;cnMvZG93bnJldi54bWxQSwECFAAUAAAACACHTuJAnpt1BggCAAADBAAADgAAAAAAAAABACAAAAAl&#10;AQAAZHJzL2Uyb0RvYy54bWxQSwUGAAAAAAYABgBZAQAAnwUAAAAA&#10;">
                <v:fill on="f" focussize="0,0"/>
                <v:stroke weight="1pt" color="#000000" joinstyle="round"/>
                <v:imagedata o:title=""/>
                <o:lock v:ext="edit" aspectratio="f"/>
              </v:line>
            </w:pict>
          </mc:Fallback>
        </mc:AlternateContent>
      </w:r>
      <w:r>
        <w:rPr>
          <w:rFonts w:hint="eastAsia"/>
          <w:sz w:val="20"/>
          <w:szCs w:val="20"/>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2540</wp:posOffset>
                </wp:positionV>
                <wp:extent cx="5600700" cy="0"/>
                <wp:effectExtent l="0" t="0" r="0" b="0"/>
                <wp:wrapNone/>
                <wp:docPr id="25" name="直接连接符 25"/>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0.2pt;height:0pt;width:441pt;z-index:251664384;mso-width-relative:page;mso-height-relative:page;" filled="f" stroked="t" coordsize="21600,21600" o:gfxdata="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K7P2dAAAAACAQAADwAAAAAAAAABACAAAAAiAAAAZHJzL2Rvd25yZXYueG1sUEsBAhQA&#10;FAAAAAgAh07iQMasQAz6AQAA9AMAAA4AAAAAAAAAAQAgAAAAHwEAAGRycy9lMm9Eb2MueG1sUEsF&#10;BgAAAAAGAAYAWQEAAIsFAAAAAA==&#10;">
                <v:fill on="f" focussize="0,0"/>
                <v:stroke color="#000000" joinstyle="round"/>
                <v:imagedata o:title=""/>
                <o:lock v:ext="edit" aspectratio="f"/>
              </v:line>
            </w:pict>
          </mc:Fallback>
        </mc:AlternateContent>
      </w:r>
      <w:r>
        <w:rPr>
          <w:rFonts w:hint="eastAsia" w:ascii="仿宋_GB2312" w:hAnsi="仿宋_GB2312" w:eastAsia="仿宋_GB2312" w:cs="仿宋_GB2312"/>
          <w:sz w:val="32"/>
          <w:szCs w:val="32"/>
        </w:rPr>
        <w:t xml:space="preserve">赤壁市人民政府办公室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2320290</wp:posOffset>
                </wp:positionH>
                <wp:positionV relativeFrom="paragraph">
                  <wp:posOffset>8703310</wp:posOffset>
                </wp:positionV>
                <wp:extent cx="682625" cy="539750"/>
                <wp:effectExtent l="4445" t="4445" r="17780" b="8255"/>
                <wp:wrapNone/>
                <wp:docPr id="26" name="矩形 26"/>
                <wp:cNvGraphicFramePr/>
                <a:graphic xmlns:a="http://schemas.openxmlformats.org/drawingml/2006/main">
                  <a:graphicData uri="http://schemas.microsoft.com/office/word/2010/wordprocessingShape">
                    <wps:wsp>
                      <wps:cNvSpPr/>
                      <wps:spPr>
                        <a:xfrm>
                          <a:off x="0" y="0"/>
                          <a:ext cx="682625" cy="53975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5F887D72"/>
                        </w:txbxContent>
                      </wps:txbx>
                      <wps:bodyPr upright="1"/>
                    </wps:wsp>
                  </a:graphicData>
                </a:graphic>
              </wp:anchor>
            </w:drawing>
          </mc:Choice>
          <mc:Fallback>
            <w:pict>
              <v:rect id="_x0000_s1026" o:spid="_x0000_s1026" o:spt="1" style="position:absolute;left:0pt;margin-left:182.7pt;margin-top:685.3pt;height:42.5pt;width:53.75pt;z-index:251661312;mso-width-relative:page;mso-height-relative:page;" fillcolor="#FFFFFF" filled="t" stroked="t" coordsize="21600,21600" o:gfxdata="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7R1RTaAAAADQEAAA8AAAAAAAAAAQAgAAAAIgAAAGRy&#10;cy9kb3ducmV2LnhtbFBLAQIUABQAAAAIAIdO4kD2TuLBAwIAADgEAAAOAAAAAAAAAAEAIAAAACkB&#10;AABkcnMvZTJvRG9jLnhtbFBLBQYAAAAABgAGAFkBAACeBQAAAAA=&#10;">
                <v:fill on="t" focussize="0,0"/>
                <v:stroke color="#FFFFFF" joinstyle="miter"/>
                <v:imagedata o:title=""/>
                <o:lock v:ext="edit" aspectratio="f"/>
                <v:textbox>
                  <w:txbxContent>
                    <w:p w14:paraId="5F887D72"/>
                  </w:txbxContent>
                </v:textbox>
              </v: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2320290</wp:posOffset>
                </wp:positionH>
                <wp:positionV relativeFrom="paragraph">
                  <wp:posOffset>8703310</wp:posOffset>
                </wp:positionV>
                <wp:extent cx="682625" cy="539750"/>
                <wp:effectExtent l="4445" t="4445" r="17780" b="8255"/>
                <wp:wrapNone/>
                <wp:docPr id="27" name="矩形 27"/>
                <wp:cNvGraphicFramePr/>
                <a:graphic xmlns:a="http://schemas.openxmlformats.org/drawingml/2006/main">
                  <a:graphicData uri="http://schemas.microsoft.com/office/word/2010/wordprocessingShape">
                    <wps:wsp>
                      <wps:cNvSpPr/>
                      <wps:spPr>
                        <a:xfrm>
                          <a:off x="0" y="0"/>
                          <a:ext cx="682625" cy="53975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76D55D65"/>
                        </w:txbxContent>
                      </wps:txbx>
                      <wps:bodyPr upright="1"/>
                    </wps:wsp>
                  </a:graphicData>
                </a:graphic>
              </wp:anchor>
            </w:drawing>
          </mc:Choice>
          <mc:Fallback>
            <w:pict>
              <v:rect id="_x0000_s1026" o:spid="_x0000_s1026" o:spt="1" style="position:absolute;left:0pt;margin-left:182.7pt;margin-top:685.3pt;height:42.5pt;width:53.75pt;z-index:251660288;mso-width-relative:page;mso-height-relative:page;" fillcolor="#FFFFFF" filled="t" stroked="t" coordsize="21600,21600" o:gfxdata="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7R1RTaAAAADQEAAA8AAAAAAAAAAQAgAAAAIgAAAGRy&#10;cy9kb3ducmV2LnhtbFBLAQIUABQAAAAIAIdO4kC+T7BWAwIAADgEAAAOAAAAAAAAAAEAIAAAACkB&#10;AABkcnMvZTJvRG9jLnhtbFBLBQYAAAAABgAGAFkBAACeBQAAAAA=&#10;">
                <v:fill on="t" focussize="0,0"/>
                <v:stroke color="#FFFFFF" joinstyle="miter"/>
                <v:imagedata o:title=""/>
                <o:lock v:ext="edit" aspectratio="f"/>
                <v:textbox>
                  <w:txbxContent>
                    <w:p w14:paraId="76D55D65"/>
                  </w:txbxContent>
                </v:textbox>
              </v:rect>
            </w:pict>
          </mc:Fallback>
        </mc:AlternateContent>
      </w:r>
      <w:r>
        <w:rPr>
          <w:rFonts w:hint="eastAsia" w:ascii="仿宋_GB2312" w:hAnsi="仿宋_GB2312" w:eastAsia="仿宋_GB2312" w:cs="仿宋_GB2312"/>
          <w:sz w:val="32"/>
          <w:szCs w:val="32"/>
          <w:lang w:eastAsia="zh-CN"/>
        </w:rPr>
        <w:t>印发</w:t>
      </w:r>
    </w:p>
    <w:p w14:paraId="2012F728">
      <w:pPr>
        <w:pStyle w:val="27"/>
        <w:bidi w:val="0"/>
        <w:ind w:left="0" w:leftChars="0" w:right="0" w:rightChars="0" w:firstLine="0" w:firstLineChars="0"/>
        <w:jc w:val="both"/>
        <w:rPr>
          <w:rFonts w:hint="eastAsia" w:ascii="Times New Roman" w:hAnsi="Times New Roman" w:eastAsia="宋体" w:cs="Times New Roman"/>
          <w:b/>
          <w:bCs/>
          <w:color w:val="auto"/>
          <w:kern w:val="21"/>
          <w:sz w:val="24"/>
          <w:szCs w:val="24"/>
          <w:lang w:val="en-US" w:eastAsia="zh-CN" w:bidi="ar-SA"/>
        </w:rPr>
      </w:pPr>
    </w:p>
    <w:sectPr>
      <w:pgSz w:w="11906" w:h="16838"/>
      <w:pgMar w:top="1440" w:right="1080" w:bottom="1440" w:left="1080" w:header="1134" w:footer="1219"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MS PGothic">
    <w:panose1 w:val="020B0600070205080204"/>
    <w:charset w:val="80"/>
    <w:family w:val="auto"/>
    <w:pitch w:val="default"/>
    <w:sig w:usb0="E00002FF" w:usb1="6AC7FDFB" w:usb2="08000012" w:usb3="00000000" w:csb0="4002009F" w:csb1="DF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2ED0C">
    <w:pPr>
      <w:pStyle w:val="11"/>
      <w:spacing w:before="120"/>
      <w:ind w:firstLine="0" w:firstLineChars="0"/>
      <w:jc w:val="center"/>
      <w:rPr>
        <w:b/>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18526E">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218526E">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454B">
    <w:pPr>
      <w:widowControl w:val="0"/>
      <w:autoSpaceDE w:val="0"/>
      <w:autoSpaceDN w:val="0"/>
      <w:spacing w:before="0" w:after="0" w:line="14" w:lineRule="auto"/>
      <w:ind w:left="0" w:right="0"/>
      <w:jc w:val="left"/>
      <w:rPr>
        <w:rFonts w:ascii="宋体" w:hAnsi="宋体" w:eastAsia="宋体" w:cs="宋体"/>
        <w:sz w:val="20"/>
        <w:szCs w:val="28"/>
        <w:lang w:val="zh-CN" w:eastAsia="zh-CN" w:bidi="zh-CN"/>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E9998">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4CE9998">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6D3B1">
    <w:pPr>
      <w:widowControl w:val="0"/>
      <w:autoSpaceDE w:val="0"/>
      <w:autoSpaceDN w:val="0"/>
      <w:spacing w:before="0" w:after="0" w:line="14" w:lineRule="auto"/>
      <w:ind w:left="0" w:right="0"/>
      <w:jc w:val="left"/>
      <w:rPr>
        <w:rFonts w:ascii="宋体" w:hAnsi="宋体" w:eastAsia="宋体" w:cs="宋体"/>
        <w:sz w:val="20"/>
        <w:szCs w:val="28"/>
        <w:lang w:val="zh-CN" w:eastAsia="zh-CN" w:bidi="zh-CN"/>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160F0B">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160F0B">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26D89">
    <w:pPr>
      <w:pStyle w:val="2"/>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923EE">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- 22 -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36923EE">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- 22 -</w:t>
                    </w:r>
                    <w:r>
                      <w:rPr>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4F78D">
    <w:pPr>
      <w:widowControl w:val="0"/>
    </w:pPr>
    <w:r>
      <w:rPr>
        <w:sz w:val="2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27E5F">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- 49 -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9C27E5F">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- 49 -</w:t>
                    </w:r>
                    <w:r>
                      <w:rPr>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2A7FA">
    <w:pPr>
      <w:pStyle w:val="2"/>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E268C">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- 54 -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8DE268C">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- 54 -</w:t>
                    </w:r>
                    <w:r>
                      <w:rPr>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6ACF3">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2DAF3">
                          <w:pPr>
                            <w:pStyle w:val="11"/>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402DAF3">
                    <w:pPr>
                      <w:pStyle w:val="11"/>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B0261">
    <w:pPr>
      <w:widowControl w:val="0"/>
      <w:autoSpaceDE w:val="0"/>
      <w:autoSpaceDN w:val="0"/>
      <w:spacing w:before="0" w:after="0" w:line="14" w:lineRule="auto"/>
      <w:ind w:left="0" w:right="0"/>
      <w:jc w:val="left"/>
      <w:rPr>
        <w:rFonts w:ascii="宋体" w:hAnsi="宋体" w:eastAsia="宋体" w:cs="宋体"/>
        <w:sz w:val="2"/>
        <w:szCs w:val="28"/>
        <w:lang w:val="zh-CN" w:eastAsia="zh-CN" w:bidi="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8D22D">
    <w:pPr>
      <w:widowControl w:val="0"/>
      <w:pBdr>
        <w:bottom w:val="none" w:color="auto" w:sz="0" w:space="0"/>
      </w:pBdr>
      <w:autoSpaceDE w:val="0"/>
      <w:autoSpaceDN w:val="0"/>
      <w:spacing w:before="0" w:after="0" w:line="14" w:lineRule="auto"/>
      <w:ind w:left="0" w:right="0"/>
      <w:jc w:val="left"/>
      <w:rPr>
        <w:rFonts w:hint="default" w:ascii="宋体" w:hAnsi="宋体" w:eastAsia="宋体" w:cs="宋体"/>
        <w:sz w:val="21"/>
        <w:szCs w:val="21"/>
        <w:lang w:val="en-US" w:eastAsia="zh-CN" w:bidi="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7F494">
    <w:pPr>
      <w:widowControl w:val="0"/>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CA688B"/>
    <w:multiLevelType w:val="singleLevel"/>
    <w:tmpl w:val="BECA688B"/>
    <w:lvl w:ilvl="0" w:tentative="0">
      <w:start w:val="1"/>
      <w:numFmt w:val="decimal"/>
      <w:suff w:val="space"/>
      <w:lvlText w:val="%1."/>
      <w:lvlJc w:val="left"/>
    </w:lvl>
  </w:abstractNum>
  <w:abstractNum w:abstractNumId="1">
    <w:nsid w:val="21810D2C"/>
    <w:multiLevelType w:val="multilevel"/>
    <w:tmpl w:val="21810D2C"/>
    <w:lvl w:ilvl="0" w:tentative="0">
      <w:start w:val="1"/>
      <w:numFmt w:val="decimal"/>
      <w:pStyle w:val="36"/>
      <w:lvlText w:val="%1."/>
      <w:lvlJc w:val="left"/>
      <w:pPr>
        <w:tabs>
          <w:tab w:val="left" w:pos="425"/>
        </w:tabs>
        <w:ind w:left="425" w:hanging="425"/>
      </w:pPr>
      <w:rPr>
        <w:rFonts w:hint="eastAsia"/>
      </w:rPr>
    </w:lvl>
    <w:lvl w:ilvl="1" w:tentative="0">
      <w:start w:val="1"/>
      <w:numFmt w:val="decimal"/>
      <w:pStyle w:val="37"/>
      <w:lvlText w:val="%1.%2."/>
      <w:lvlJc w:val="left"/>
      <w:pPr>
        <w:tabs>
          <w:tab w:val="left" w:pos="567"/>
        </w:tabs>
        <w:ind w:left="567" w:hanging="567"/>
      </w:pPr>
      <w:rPr>
        <w:rFonts w:hint="eastAsia" w:cs="Times New Roman"/>
        <w:b/>
        <w:bCs w:val="0"/>
        <w:i w:val="0"/>
        <w:iCs w:val="0"/>
        <w:caps w:val="0"/>
        <w:smallCaps w:val="0"/>
        <w:strike w:val="0"/>
        <w:dstrike w:val="0"/>
        <w:vanish w:val="0"/>
        <w:spacing w:val="0"/>
        <w:kern w:val="0"/>
        <w:position w:val="0"/>
        <w:u w:val="none"/>
        <w:vertAlign w:val="baseline"/>
      </w:rPr>
    </w:lvl>
    <w:lvl w:ilvl="2" w:tentative="0">
      <w:start w:val="1"/>
      <w:numFmt w:val="decimal"/>
      <w:suff w:val="space"/>
      <w:lvlText w:val="%1.%2.%3."/>
      <w:lvlJc w:val="left"/>
      <w:pPr>
        <w:ind w:left="0" w:firstLine="0"/>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wZWYwNjNmOTdjZWNlZWFjYmZlZjA2ZTE2ZjcyN2YifQ=="/>
  </w:docVars>
  <w:rsids>
    <w:rsidRoot w:val="00000000"/>
    <w:rsid w:val="00753CF7"/>
    <w:rsid w:val="018319DF"/>
    <w:rsid w:val="0225764B"/>
    <w:rsid w:val="03C807F4"/>
    <w:rsid w:val="044431D3"/>
    <w:rsid w:val="04B109FE"/>
    <w:rsid w:val="04D247CD"/>
    <w:rsid w:val="06F03DB6"/>
    <w:rsid w:val="06F76CE6"/>
    <w:rsid w:val="072B7B8D"/>
    <w:rsid w:val="085E3E28"/>
    <w:rsid w:val="08B14C5A"/>
    <w:rsid w:val="0902301B"/>
    <w:rsid w:val="095A401F"/>
    <w:rsid w:val="09820AC9"/>
    <w:rsid w:val="09944176"/>
    <w:rsid w:val="09A90A66"/>
    <w:rsid w:val="0A0B3F38"/>
    <w:rsid w:val="0A8B16B4"/>
    <w:rsid w:val="0A9D0148"/>
    <w:rsid w:val="0AC81D50"/>
    <w:rsid w:val="0C465D6A"/>
    <w:rsid w:val="0C4A4D0E"/>
    <w:rsid w:val="0DA556F2"/>
    <w:rsid w:val="0E004AA1"/>
    <w:rsid w:val="0E7A7362"/>
    <w:rsid w:val="0EE90D4E"/>
    <w:rsid w:val="0F9902ED"/>
    <w:rsid w:val="101B6DBE"/>
    <w:rsid w:val="104B158A"/>
    <w:rsid w:val="10BF07C4"/>
    <w:rsid w:val="117F2EE1"/>
    <w:rsid w:val="11B2194F"/>
    <w:rsid w:val="125A5F48"/>
    <w:rsid w:val="12906FAC"/>
    <w:rsid w:val="139224BC"/>
    <w:rsid w:val="146113B2"/>
    <w:rsid w:val="16B16632"/>
    <w:rsid w:val="18111ECD"/>
    <w:rsid w:val="18A60F52"/>
    <w:rsid w:val="18D95D34"/>
    <w:rsid w:val="19410191"/>
    <w:rsid w:val="1A3F7B96"/>
    <w:rsid w:val="1AB17792"/>
    <w:rsid w:val="1B18770C"/>
    <w:rsid w:val="1B5A13A8"/>
    <w:rsid w:val="1B5D0716"/>
    <w:rsid w:val="1B6D32FB"/>
    <w:rsid w:val="1B757A27"/>
    <w:rsid w:val="1C2E4124"/>
    <w:rsid w:val="1C2F52E9"/>
    <w:rsid w:val="1D58705C"/>
    <w:rsid w:val="1D8E623B"/>
    <w:rsid w:val="1E3C5E99"/>
    <w:rsid w:val="1E890070"/>
    <w:rsid w:val="1EE15E12"/>
    <w:rsid w:val="1F5E41C7"/>
    <w:rsid w:val="1FF43BF7"/>
    <w:rsid w:val="2000643D"/>
    <w:rsid w:val="20CC2A04"/>
    <w:rsid w:val="20EF051D"/>
    <w:rsid w:val="230C035C"/>
    <w:rsid w:val="2447485B"/>
    <w:rsid w:val="24D830A4"/>
    <w:rsid w:val="25AD1B77"/>
    <w:rsid w:val="25FD22D2"/>
    <w:rsid w:val="29C836F5"/>
    <w:rsid w:val="2A520441"/>
    <w:rsid w:val="2A67486F"/>
    <w:rsid w:val="2A842903"/>
    <w:rsid w:val="2AA9737D"/>
    <w:rsid w:val="2C45113D"/>
    <w:rsid w:val="2C852753"/>
    <w:rsid w:val="2D607FEB"/>
    <w:rsid w:val="2E01365D"/>
    <w:rsid w:val="2E0D3712"/>
    <w:rsid w:val="2F19571B"/>
    <w:rsid w:val="2F9E3481"/>
    <w:rsid w:val="300651A8"/>
    <w:rsid w:val="30071671"/>
    <w:rsid w:val="30A5734A"/>
    <w:rsid w:val="313176F9"/>
    <w:rsid w:val="32955908"/>
    <w:rsid w:val="34367B34"/>
    <w:rsid w:val="34447554"/>
    <w:rsid w:val="34BF5869"/>
    <w:rsid w:val="36781AAF"/>
    <w:rsid w:val="3778057D"/>
    <w:rsid w:val="37E9451A"/>
    <w:rsid w:val="38772086"/>
    <w:rsid w:val="388F3744"/>
    <w:rsid w:val="38D76D36"/>
    <w:rsid w:val="38F86589"/>
    <w:rsid w:val="38FC7DA6"/>
    <w:rsid w:val="39550928"/>
    <w:rsid w:val="39C6753B"/>
    <w:rsid w:val="39D97E7C"/>
    <w:rsid w:val="3D76401B"/>
    <w:rsid w:val="3E1B1658"/>
    <w:rsid w:val="3F85387A"/>
    <w:rsid w:val="3FB90EE7"/>
    <w:rsid w:val="3FD602A7"/>
    <w:rsid w:val="4117418E"/>
    <w:rsid w:val="421D7147"/>
    <w:rsid w:val="424306C4"/>
    <w:rsid w:val="43ED128A"/>
    <w:rsid w:val="45290D6C"/>
    <w:rsid w:val="45AE67E8"/>
    <w:rsid w:val="47232FD3"/>
    <w:rsid w:val="47875607"/>
    <w:rsid w:val="478859BA"/>
    <w:rsid w:val="482B06C4"/>
    <w:rsid w:val="48F549B3"/>
    <w:rsid w:val="4A651B53"/>
    <w:rsid w:val="4A9B5FF1"/>
    <w:rsid w:val="4BBF7DCB"/>
    <w:rsid w:val="4C9F241C"/>
    <w:rsid w:val="4CC341F4"/>
    <w:rsid w:val="4CD95C22"/>
    <w:rsid w:val="4D7E4242"/>
    <w:rsid w:val="4DD56ACE"/>
    <w:rsid w:val="4F1A130A"/>
    <w:rsid w:val="50035856"/>
    <w:rsid w:val="510922FD"/>
    <w:rsid w:val="527A725A"/>
    <w:rsid w:val="52E45594"/>
    <w:rsid w:val="5548716D"/>
    <w:rsid w:val="55967B75"/>
    <w:rsid w:val="56091572"/>
    <w:rsid w:val="568939C2"/>
    <w:rsid w:val="596E6E58"/>
    <w:rsid w:val="59EA056E"/>
    <w:rsid w:val="5A295954"/>
    <w:rsid w:val="5B1B04D0"/>
    <w:rsid w:val="5B66368E"/>
    <w:rsid w:val="5CA01E1A"/>
    <w:rsid w:val="5DB80CE9"/>
    <w:rsid w:val="5DCC29AC"/>
    <w:rsid w:val="5E9327D1"/>
    <w:rsid w:val="5F993939"/>
    <w:rsid w:val="5FB32CD2"/>
    <w:rsid w:val="5FEE295C"/>
    <w:rsid w:val="60013CE7"/>
    <w:rsid w:val="60CA5B0B"/>
    <w:rsid w:val="60D06B31"/>
    <w:rsid w:val="614F049B"/>
    <w:rsid w:val="61741ECA"/>
    <w:rsid w:val="61A06A7F"/>
    <w:rsid w:val="62111D6E"/>
    <w:rsid w:val="622E43D5"/>
    <w:rsid w:val="629200FB"/>
    <w:rsid w:val="642765F8"/>
    <w:rsid w:val="658C2C9C"/>
    <w:rsid w:val="66036383"/>
    <w:rsid w:val="66F97580"/>
    <w:rsid w:val="676D47FD"/>
    <w:rsid w:val="688A3E9B"/>
    <w:rsid w:val="690E6ECC"/>
    <w:rsid w:val="6A421F51"/>
    <w:rsid w:val="6B0C02EB"/>
    <w:rsid w:val="6BA07AFC"/>
    <w:rsid w:val="6C8E4C9E"/>
    <w:rsid w:val="6D733CBE"/>
    <w:rsid w:val="6DCB6A80"/>
    <w:rsid w:val="6DDD519D"/>
    <w:rsid w:val="6E8D60C2"/>
    <w:rsid w:val="6E9521A6"/>
    <w:rsid w:val="70114E25"/>
    <w:rsid w:val="709177E2"/>
    <w:rsid w:val="70FB24E5"/>
    <w:rsid w:val="71232C21"/>
    <w:rsid w:val="73412525"/>
    <w:rsid w:val="74553F33"/>
    <w:rsid w:val="748525AC"/>
    <w:rsid w:val="750E6587"/>
    <w:rsid w:val="7654718C"/>
    <w:rsid w:val="770B24E3"/>
    <w:rsid w:val="77D00BD1"/>
    <w:rsid w:val="789E004C"/>
    <w:rsid w:val="78E01F33"/>
    <w:rsid w:val="78EF6D24"/>
    <w:rsid w:val="7B9C38E5"/>
    <w:rsid w:val="7C563DE7"/>
    <w:rsid w:val="7C583EFB"/>
    <w:rsid w:val="7CC2164D"/>
    <w:rsid w:val="7D056BBB"/>
    <w:rsid w:val="7F906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line="360" w:lineRule="auto"/>
      <w:ind w:left="0"/>
      <w:jc w:val="center"/>
      <w:outlineLvl w:val="0"/>
    </w:pPr>
    <w:rPr>
      <w:rFonts w:ascii="Times New Roman" w:hAnsi="Times New Roman" w:cs="Times New Roman"/>
      <w:b/>
      <w:bCs/>
      <w:sz w:val="36"/>
      <w:szCs w:val="36"/>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宋体"/>
      <w:b/>
      <w:sz w:val="32"/>
    </w:rPr>
  </w:style>
  <w:style w:type="paragraph" w:styleId="5">
    <w:name w:val="heading 3"/>
    <w:basedOn w:val="1"/>
    <w:next w:val="1"/>
    <w:unhideWhenUsed/>
    <w:qFormat/>
    <w:uiPriority w:val="0"/>
    <w:pPr>
      <w:keepNext/>
      <w:keepLines/>
      <w:spacing w:beforeLines="0" w:beforeAutospacing="0" w:afterLines="0" w:afterAutospacing="0" w:line="360" w:lineRule="auto"/>
      <w:outlineLvl w:val="2"/>
    </w:pPr>
    <w:rPr>
      <w:rFonts w:ascii="Times New Roman" w:hAnsi="Times New Roman"/>
      <w:b/>
      <w:sz w:val="28"/>
      <w:szCs w:val="28"/>
    </w:rPr>
  </w:style>
  <w:style w:type="paragraph" w:styleId="6">
    <w:name w:val="heading 4"/>
    <w:basedOn w:val="1"/>
    <w:next w:val="1"/>
    <w:qFormat/>
    <w:uiPriority w:val="1"/>
    <w:pPr>
      <w:ind w:left="779"/>
      <w:outlineLvl w:val="4"/>
    </w:pPr>
    <w:rPr>
      <w:rFonts w:ascii="微软雅黑" w:hAnsi="微软雅黑" w:eastAsia="微软雅黑" w:cs="微软雅黑"/>
      <w:b/>
      <w:bCs/>
      <w:sz w:val="28"/>
      <w:szCs w:val="28"/>
      <w:lang w:val="zh-CN" w:eastAsia="zh-CN" w:bidi="zh-CN"/>
    </w:rPr>
  </w:style>
  <w:style w:type="character" w:default="1" w:styleId="19">
    <w:name w:val="Default Paragraph Font"/>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8"/>
      <w:szCs w:val="28"/>
      <w:lang w:val="zh-CN" w:eastAsia="zh-CN" w:bidi="zh-CN"/>
    </w:rPr>
  </w:style>
  <w:style w:type="paragraph" w:styleId="7">
    <w:name w:val="caption"/>
    <w:basedOn w:val="1"/>
    <w:next w:val="1"/>
    <w:qFormat/>
    <w:uiPriority w:val="99"/>
    <w:pPr>
      <w:ind w:firstLine="200" w:firstLineChars="200"/>
    </w:pPr>
    <w:rPr>
      <w:rFonts w:ascii="Cambria" w:hAnsi="Cambria" w:eastAsia="黑体" w:cs="Cambria"/>
      <w:sz w:val="20"/>
      <w:szCs w:val="20"/>
    </w:rPr>
  </w:style>
  <w:style w:type="paragraph" w:styleId="8">
    <w:name w:val="Body Text 3"/>
    <w:basedOn w:val="1"/>
    <w:autoRedefine/>
    <w:qFormat/>
    <w:uiPriority w:val="0"/>
    <w:pPr>
      <w:spacing w:after="120"/>
    </w:pPr>
    <w:rPr>
      <w:sz w:val="16"/>
      <w:szCs w:val="16"/>
    </w:rPr>
  </w:style>
  <w:style w:type="paragraph" w:styleId="9">
    <w:name w:val="Body Text Indent"/>
    <w:basedOn w:val="1"/>
    <w:autoRedefine/>
    <w:qFormat/>
    <w:uiPriority w:val="0"/>
    <w:pPr>
      <w:spacing w:after="120" w:afterLines="0"/>
      <w:ind w:left="420" w:leftChars="200"/>
    </w:pPr>
  </w:style>
  <w:style w:type="paragraph" w:styleId="10">
    <w:name w:val="toc 3"/>
    <w:basedOn w:val="1"/>
    <w:next w:val="1"/>
    <w:autoRedefine/>
    <w:qFormat/>
    <w:uiPriority w:val="1"/>
    <w:pPr>
      <w:spacing w:before="153"/>
      <w:ind w:left="1013"/>
    </w:pPr>
    <w:rPr>
      <w:rFonts w:ascii="宋体" w:hAnsi="宋体" w:eastAsia="宋体" w:cs="宋体"/>
      <w:sz w:val="24"/>
      <w:szCs w:val="24"/>
      <w:lang w:val="zh-CN" w:eastAsia="zh-CN" w:bidi="zh-CN"/>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autoRedefine/>
    <w:qFormat/>
    <w:uiPriority w:val="1"/>
    <w:pPr>
      <w:spacing w:before="18"/>
      <w:ind w:left="382" w:right="575" w:hanging="383"/>
    </w:pPr>
    <w:rPr>
      <w:rFonts w:ascii="微软雅黑" w:hAnsi="微软雅黑" w:eastAsia="微软雅黑" w:cs="微软雅黑"/>
      <w:b/>
      <w:bCs/>
      <w:sz w:val="24"/>
      <w:szCs w:val="24"/>
      <w:lang w:val="zh-CN" w:eastAsia="zh-CN" w:bidi="zh-CN"/>
    </w:rPr>
  </w:style>
  <w:style w:type="paragraph" w:styleId="14">
    <w:name w:val="toc 2"/>
    <w:basedOn w:val="1"/>
    <w:next w:val="1"/>
    <w:qFormat/>
    <w:uiPriority w:val="1"/>
    <w:pPr>
      <w:spacing w:before="74"/>
      <w:ind w:left="382" w:hanging="241"/>
    </w:pPr>
    <w:rPr>
      <w:rFonts w:ascii="微软雅黑" w:hAnsi="微软雅黑" w:eastAsia="微软雅黑" w:cs="微软雅黑"/>
      <w:b/>
      <w:bCs/>
      <w:sz w:val="24"/>
      <w:szCs w:val="24"/>
      <w:lang w:val="zh-CN" w:eastAsia="zh-CN" w:bidi="zh-CN"/>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Body Text First Indent 2"/>
    <w:basedOn w:val="9"/>
    <w:autoRedefine/>
    <w:qFormat/>
    <w:uiPriority w:val="0"/>
    <w:pPr>
      <w:ind w:firstLine="420" w:firstLineChars="200"/>
    </w:p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FollowedHyperlink"/>
    <w:basedOn w:val="19"/>
    <w:autoRedefine/>
    <w:qFormat/>
    <w:uiPriority w:val="0"/>
    <w:rPr>
      <w:color w:val="771CAA"/>
      <w:u w:val="none"/>
    </w:rPr>
  </w:style>
  <w:style w:type="character" w:styleId="22">
    <w:name w:val="Emphasis"/>
    <w:basedOn w:val="19"/>
    <w:autoRedefine/>
    <w:qFormat/>
    <w:uiPriority w:val="0"/>
    <w:rPr>
      <w:color w:val="F73131"/>
    </w:rPr>
  </w:style>
  <w:style w:type="character" w:styleId="23">
    <w:name w:val="Hyperlink"/>
    <w:basedOn w:val="19"/>
    <w:qFormat/>
    <w:uiPriority w:val="0"/>
    <w:rPr>
      <w:color w:val="2440B3"/>
      <w:u w:val="none"/>
    </w:rPr>
  </w:style>
  <w:style w:type="character" w:styleId="24">
    <w:name w:val="HTML Cite"/>
    <w:basedOn w:val="19"/>
    <w:autoRedefine/>
    <w:qFormat/>
    <w:uiPriority w:val="0"/>
    <w:rPr>
      <w:color w:val="008000"/>
    </w:rPr>
  </w:style>
  <w:style w:type="paragraph" w:customStyle="1" w:styleId="25">
    <w:name w:val="Default"/>
    <w:next w:val="11"/>
    <w:autoRedefine/>
    <w:unhideWhenUsed/>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26">
    <w:name w:val="Table Paragraph"/>
    <w:basedOn w:val="1"/>
    <w:autoRedefine/>
    <w:qFormat/>
    <w:uiPriority w:val="1"/>
    <w:pPr>
      <w:jc w:val="center"/>
    </w:pPr>
    <w:rPr>
      <w:rFonts w:ascii="Times New Roman" w:hAnsi="Times New Roman" w:eastAsia="宋体" w:cs="Times New Roman"/>
      <w:sz w:val="21"/>
      <w:szCs w:val="21"/>
    </w:rPr>
  </w:style>
  <w:style w:type="paragraph" w:customStyle="1" w:styleId="27">
    <w:name w:val="报告正文"/>
    <w:basedOn w:val="1"/>
    <w:qFormat/>
    <w:uiPriority w:val="0"/>
    <w:pPr>
      <w:spacing w:line="360" w:lineRule="auto"/>
      <w:ind w:firstLine="1041" w:firstLineChars="200"/>
      <w:jc w:val="both"/>
    </w:pPr>
    <w:rPr>
      <w:rFonts w:ascii="Times New Roman" w:hAnsi="Times New Roman" w:eastAsia="宋体"/>
      <w:sz w:val="28"/>
      <w:szCs w:val="24"/>
    </w:rPr>
  </w:style>
  <w:style w:type="paragraph" w:styleId="28">
    <w:name w:val="List Paragraph"/>
    <w:basedOn w:val="1"/>
    <w:qFormat/>
    <w:uiPriority w:val="1"/>
    <w:pPr>
      <w:ind w:left="1399" w:hanging="702"/>
    </w:pPr>
    <w:rPr>
      <w:rFonts w:ascii="宋体" w:hAnsi="宋体" w:eastAsia="宋体" w:cs="宋体"/>
      <w:lang w:val="zh-CN" w:eastAsia="zh-CN" w:bidi="zh-CN"/>
    </w:rPr>
  </w:style>
  <w:style w:type="paragraph" w:customStyle="1" w:styleId="29">
    <w:name w:val="表格小五"/>
    <w:basedOn w:val="1"/>
    <w:qFormat/>
    <w:uiPriority w:val="0"/>
    <w:pPr>
      <w:spacing w:line="280" w:lineRule="exact"/>
      <w:jc w:val="center"/>
    </w:pPr>
    <w:rPr>
      <w:rFonts w:ascii="Arial" w:hAnsi="Arial"/>
      <w:sz w:val="18"/>
      <w:szCs w:val="18"/>
    </w:rPr>
  </w:style>
  <w:style w:type="paragraph" w:customStyle="1" w:styleId="30">
    <w:name w:val="DY表格"/>
    <w:basedOn w:val="31"/>
    <w:next w:val="31"/>
    <w:qFormat/>
    <w:uiPriority w:val="0"/>
    <w:pPr>
      <w:spacing w:line="240" w:lineRule="auto"/>
      <w:ind w:firstLine="0" w:firstLineChars="0"/>
      <w:jc w:val="center"/>
    </w:pPr>
    <w:rPr>
      <w:sz w:val="21"/>
      <w:szCs w:val="21"/>
    </w:rPr>
  </w:style>
  <w:style w:type="paragraph" w:customStyle="1" w:styleId="31">
    <w:name w:val="DY正文"/>
    <w:basedOn w:val="1"/>
    <w:qFormat/>
    <w:uiPriority w:val="0"/>
    <w:pPr>
      <w:adjustRightInd w:val="0"/>
      <w:snapToGrid w:val="0"/>
      <w:spacing w:line="480" w:lineRule="exact"/>
      <w:ind w:firstLine="600"/>
      <w:jc w:val="left"/>
    </w:pPr>
    <w:rPr>
      <w:rFonts w:ascii="Times New Roman" w:hAnsi="Times New Roman"/>
      <w:kern w:val="0"/>
    </w:rPr>
  </w:style>
  <w:style w:type="paragraph" w:customStyle="1" w:styleId="32">
    <w:name w:val="ST正文"/>
    <w:basedOn w:val="33"/>
    <w:qFormat/>
    <w:uiPriority w:val="0"/>
    <w:pPr>
      <w:spacing w:before="60" w:line="360" w:lineRule="auto"/>
      <w:ind w:firstLine="200" w:firstLineChars="200"/>
    </w:pPr>
    <w:rPr>
      <w:rFonts w:ascii="Times New Roman" w:eastAsia="宋体"/>
      <w:spacing w:val="0"/>
    </w:rPr>
  </w:style>
  <w:style w:type="paragraph" w:customStyle="1" w:styleId="33">
    <w:name w:val="susan正文"/>
    <w:basedOn w:val="1"/>
    <w:qFormat/>
    <w:uiPriority w:val="0"/>
    <w:pPr>
      <w:adjustRightInd w:val="0"/>
      <w:spacing w:line="360" w:lineRule="atLeast"/>
      <w:ind w:firstLine="510"/>
    </w:pPr>
    <w:rPr>
      <w:rFonts w:ascii="宋体" w:eastAsia="楷体_GB2312"/>
      <w:spacing w:val="20"/>
      <w:kern w:val="0"/>
      <w:sz w:val="24"/>
      <w:szCs w:val="20"/>
    </w:rPr>
  </w:style>
  <w:style w:type="paragraph" w:customStyle="1" w:styleId="34">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35">
    <w:name w:val="样式 ST正文 + 首行缩进:  2 字符"/>
    <w:basedOn w:val="32"/>
    <w:qFormat/>
    <w:uiPriority w:val="0"/>
    <w:rPr>
      <w:rFonts w:cs="宋体"/>
    </w:rPr>
  </w:style>
  <w:style w:type="paragraph" w:customStyle="1" w:styleId="36">
    <w:name w:val="ST1标题"/>
    <w:basedOn w:val="1"/>
    <w:qFormat/>
    <w:uiPriority w:val="0"/>
    <w:pPr>
      <w:numPr>
        <w:ilvl w:val="0"/>
        <w:numId w:val="1"/>
      </w:numPr>
      <w:spacing w:before="240" w:after="240" w:line="360" w:lineRule="auto"/>
      <w:jc w:val="center"/>
      <w:outlineLvl w:val="0"/>
    </w:pPr>
    <w:rPr>
      <w:rFonts w:eastAsia="宋体"/>
      <w:b/>
      <w:sz w:val="44"/>
    </w:rPr>
  </w:style>
  <w:style w:type="paragraph" w:customStyle="1" w:styleId="37">
    <w:name w:val="ST2标题"/>
    <w:basedOn w:val="1"/>
    <w:qFormat/>
    <w:uiPriority w:val="0"/>
    <w:pPr>
      <w:numPr>
        <w:ilvl w:val="1"/>
        <w:numId w:val="1"/>
      </w:numPr>
      <w:spacing w:before="120" w:after="120" w:line="360" w:lineRule="auto"/>
      <w:ind w:left="0" w:firstLine="0"/>
      <w:jc w:val="left"/>
      <w:outlineLvl w:val="1"/>
    </w:pPr>
    <w:rPr>
      <w:rFonts w:eastAsia="宋体"/>
      <w:b/>
      <w:sz w:val="32"/>
    </w:rPr>
  </w:style>
  <w:style w:type="paragraph" w:customStyle="1" w:styleId="38">
    <w:name w:val="正文-预案"/>
    <w:basedOn w:val="39"/>
    <w:qFormat/>
    <w:uiPriority w:val="0"/>
    <w:pPr>
      <w:spacing w:line="360" w:lineRule="auto"/>
    </w:pPr>
  </w:style>
  <w:style w:type="paragraph" w:customStyle="1" w:styleId="39">
    <w:name w:val="正文01"/>
    <w:basedOn w:val="1"/>
    <w:qFormat/>
    <w:uiPriority w:val="0"/>
    <w:pPr>
      <w:spacing w:before="60" w:line="460" w:lineRule="exact"/>
      <w:ind w:firstLine="200" w:firstLineChars="200"/>
    </w:pPr>
    <w:rPr>
      <w:sz w:val="24"/>
    </w:rPr>
  </w:style>
  <w:style w:type="paragraph" w:customStyle="1" w:styleId="40">
    <w:name w:val="WPSOffice手动目录 1"/>
    <w:qFormat/>
    <w:uiPriority w:val="0"/>
    <w:pPr>
      <w:ind w:leftChars="0"/>
    </w:pPr>
    <w:rPr>
      <w:rFonts w:ascii="Times New Roman" w:hAnsi="Times New Roman" w:eastAsia="宋体" w:cs="Times New Roman"/>
      <w:sz w:val="20"/>
      <w:szCs w:val="20"/>
    </w:rPr>
  </w:style>
  <w:style w:type="paragraph" w:customStyle="1" w:styleId="41">
    <w:name w:val="WPSOffice手动目录 2"/>
    <w:qFormat/>
    <w:uiPriority w:val="0"/>
    <w:pPr>
      <w:ind w:leftChars="200"/>
    </w:pPr>
    <w:rPr>
      <w:rFonts w:ascii="Times New Roman" w:hAnsi="Times New Roman" w:eastAsia="宋体" w:cs="Times New Roman"/>
      <w:sz w:val="20"/>
      <w:szCs w:val="20"/>
    </w:rPr>
  </w:style>
  <w:style w:type="paragraph" w:customStyle="1" w:styleId="42">
    <w:name w:val="WPSOffice手动目录 3"/>
    <w:qFormat/>
    <w:uiPriority w:val="0"/>
    <w:pPr>
      <w:ind w:leftChars="400"/>
    </w:pPr>
    <w:rPr>
      <w:rFonts w:ascii="Times New Roman" w:hAnsi="Times New Roman" w:eastAsia="宋体" w:cs="Times New Roman"/>
      <w:sz w:val="20"/>
      <w:szCs w:val="20"/>
    </w:rPr>
  </w:style>
  <w:style w:type="paragraph" w:customStyle="1" w:styleId="43">
    <w:name w:val="表格内容"/>
    <w:basedOn w:val="1"/>
    <w:qFormat/>
    <w:uiPriority w:val="0"/>
    <w:pPr>
      <w:adjustRightInd w:val="0"/>
      <w:spacing w:line="300" w:lineRule="exact"/>
      <w:jc w:val="center"/>
    </w:pPr>
    <w:rPr>
      <w:rFonts w:eastAsia="楷体_GB2312"/>
      <w:snapToGrid w:val="0"/>
      <w:color w:val="000000"/>
      <w:kern w:val="0"/>
      <w:szCs w:val="20"/>
    </w:rPr>
  </w:style>
  <w:style w:type="paragraph" w:customStyle="1" w:styleId="44">
    <w:name w:val="Table caption|1"/>
    <w:basedOn w:val="1"/>
    <w:qFormat/>
    <w:uiPriority w:val="0"/>
    <w:pPr>
      <w:widowControl w:val="0"/>
      <w:shd w:val="clear" w:color="auto" w:fill="auto"/>
    </w:pPr>
    <w:rPr>
      <w:rFonts w:ascii="宋体" w:hAnsi="宋体" w:eastAsia="宋体" w:cs="宋体"/>
      <w:sz w:val="15"/>
      <w:szCs w:val="15"/>
      <w:u w:val="none"/>
      <w:shd w:val="clear" w:color="auto" w:fill="auto"/>
      <w:lang w:val="zh-TW" w:eastAsia="zh-TW" w:bidi="zh-TW"/>
    </w:rPr>
  </w:style>
  <w:style w:type="paragraph" w:customStyle="1" w:styleId="45">
    <w:name w:val="Other|1"/>
    <w:basedOn w:val="1"/>
    <w:qFormat/>
    <w:uiPriority w:val="0"/>
    <w:pPr>
      <w:widowControl w:val="0"/>
      <w:shd w:val="clear" w:color="auto" w:fill="auto"/>
      <w:spacing w:after="40" w:line="434" w:lineRule="auto"/>
      <w:ind w:firstLine="320"/>
    </w:pPr>
    <w:rPr>
      <w:rFonts w:ascii="宋体" w:hAnsi="宋体" w:eastAsia="宋体" w:cs="宋体"/>
      <w:sz w:val="15"/>
      <w:szCs w:val="15"/>
      <w:u w:val="none"/>
      <w:shd w:val="clear" w:color="auto" w:fill="auto"/>
      <w:lang w:val="zh-TW" w:eastAsia="zh-TW" w:bidi="zh-TW"/>
    </w:rPr>
  </w:style>
  <w:style w:type="paragraph" w:customStyle="1" w:styleId="46">
    <w:name w:val="Picture caption|1"/>
    <w:basedOn w:val="1"/>
    <w:qFormat/>
    <w:uiPriority w:val="0"/>
    <w:pPr>
      <w:widowControl w:val="0"/>
      <w:shd w:val="clear" w:color="auto" w:fill="auto"/>
    </w:pPr>
    <w:rPr>
      <w:rFonts w:ascii="宋体" w:hAnsi="宋体" w:eastAsia="宋体" w:cs="宋体"/>
      <w:sz w:val="15"/>
      <w:szCs w:val="15"/>
      <w:u w:val="none"/>
      <w:shd w:val="clear" w:color="auto" w:fill="auto"/>
      <w:lang w:val="zh-TW" w:eastAsia="zh-TW" w:bidi="zh-TW"/>
    </w:rPr>
  </w:style>
  <w:style w:type="paragraph" w:customStyle="1" w:styleId="47">
    <w:name w:val="Header or footer|1"/>
    <w:basedOn w:val="1"/>
    <w:qFormat/>
    <w:uiPriority w:val="0"/>
    <w:pPr>
      <w:widowControl w:val="0"/>
      <w:shd w:val="clear" w:color="auto" w:fill="auto"/>
    </w:pPr>
    <w:rPr>
      <w:rFonts w:ascii="宋体" w:hAnsi="宋体" w:eastAsia="宋体" w:cs="宋体"/>
      <w:i/>
      <w:iCs/>
      <w:sz w:val="12"/>
      <w:szCs w:val="12"/>
      <w:u w:val="none"/>
      <w:shd w:val="clear" w:color="auto" w:fill="auto"/>
      <w:lang w:val="zh-TW" w:eastAsia="zh-TW" w:bidi="zh-TW"/>
    </w:rPr>
  </w:style>
  <w:style w:type="paragraph" w:customStyle="1" w:styleId="48">
    <w:name w:val="Body text|1"/>
    <w:basedOn w:val="1"/>
    <w:qFormat/>
    <w:uiPriority w:val="0"/>
    <w:pPr>
      <w:widowControl w:val="0"/>
      <w:shd w:val="clear" w:color="auto" w:fill="auto"/>
      <w:spacing w:after="40" w:line="434" w:lineRule="auto"/>
      <w:ind w:firstLine="320"/>
    </w:pPr>
    <w:rPr>
      <w:rFonts w:ascii="宋体" w:hAnsi="宋体" w:eastAsia="宋体" w:cs="宋体"/>
      <w:sz w:val="15"/>
      <w:szCs w:val="15"/>
      <w:u w:val="none"/>
      <w:shd w:val="clear" w:color="auto" w:fill="auto"/>
      <w:lang w:val="zh-TW" w:eastAsia="zh-TW" w:bidi="zh-TW"/>
    </w:rPr>
  </w:style>
  <w:style w:type="paragraph" w:customStyle="1" w:styleId="49">
    <w:name w:val="Other|2"/>
    <w:basedOn w:val="1"/>
    <w:qFormat/>
    <w:uiPriority w:val="0"/>
    <w:pPr>
      <w:widowControl w:val="0"/>
      <w:shd w:val="clear" w:color="auto" w:fill="auto"/>
    </w:pPr>
    <w:rPr>
      <w:rFonts w:ascii="宋体" w:hAnsi="宋体" w:eastAsia="宋体" w:cs="宋体"/>
      <w:sz w:val="13"/>
      <w:szCs w:val="13"/>
      <w:u w:val="none"/>
      <w:shd w:val="clear" w:color="auto" w:fill="auto"/>
      <w:lang w:val="zh-TW" w:eastAsia="zh-TW" w:bidi="zh-TW"/>
    </w:rPr>
  </w:style>
  <w:style w:type="paragraph" w:customStyle="1" w:styleId="50">
    <w:name w:val="Header or footer|2"/>
    <w:basedOn w:val="1"/>
    <w:qFormat/>
    <w:uiPriority w:val="0"/>
    <w:pPr>
      <w:widowControl w:val="0"/>
      <w:shd w:val="clear" w:color="auto" w:fill="auto"/>
    </w:pPr>
    <w:rPr>
      <w:sz w:val="20"/>
      <w:szCs w:val="20"/>
      <w:u w:val="none"/>
      <w:shd w:val="clear" w:color="auto" w:fill="auto"/>
      <w:lang w:val="zh-TW" w:eastAsia="zh-TW" w:bidi="zh-TW"/>
    </w:rPr>
  </w:style>
  <w:style w:type="character" w:customStyle="1" w:styleId="51">
    <w:name w:val="c-icon28"/>
    <w:basedOn w:val="19"/>
    <w:qFormat/>
    <w:uiPriority w:val="0"/>
  </w:style>
  <w:style w:type="character" w:customStyle="1" w:styleId="52">
    <w:name w:val="hover23"/>
    <w:basedOn w:val="19"/>
    <w:qFormat/>
    <w:uiPriority w:val="0"/>
  </w:style>
  <w:style w:type="character" w:customStyle="1" w:styleId="53">
    <w:name w:val="hover24"/>
    <w:basedOn w:val="19"/>
    <w:qFormat/>
    <w:uiPriority w:val="0"/>
    <w:rPr>
      <w:color w:val="315EFB"/>
    </w:rPr>
  </w:style>
  <w:style w:type="character" w:customStyle="1" w:styleId="54">
    <w:name w:val="hover25"/>
    <w:basedOn w:val="19"/>
    <w:qFormat/>
    <w:uiPriority w:val="0"/>
    <w:rPr>
      <w:color w:val="315EFB"/>
    </w:rPr>
  </w:style>
  <w:style w:type="paragraph" w:customStyle="1" w:styleId="55">
    <w:name w:val="hky正文"/>
    <w:basedOn w:val="1"/>
    <w:qFormat/>
    <w:uiPriority w:val="99"/>
    <w:pPr>
      <w:spacing w:line="360" w:lineRule="auto"/>
      <w:ind w:firstLine="560" w:firstLineChars="200"/>
      <w:textAlignment w:val="baseline"/>
    </w:pPr>
    <w:rPr>
      <w:sz w:val="24"/>
      <w:szCs w:val="24"/>
      <w:lang w:val="en-GB"/>
    </w:rPr>
  </w:style>
  <w:style w:type="paragraph" w:customStyle="1" w:styleId="56">
    <w:name w:val="hky3级"/>
    <w:basedOn w:val="1"/>
    <w:qFormat/>
    <w:uiPriority w:val="99"/>
    <w:pPr>
      <w:keepNext/>
      <w:spacing w:beforeLines="50" w:afterLines="50" w:line="360" w:lineRule="auto"/>
      <w:outlineLvl w:val="2"/>
    </w:pPr>
    <w:rPr>
      <w:b/>
      <w:bCs/>
      <w:sz w:val="24"/>
      <w:szCs w:val="24"/>
    </w:rPr>
  </w:style>
  <w:style w:type="paragraph" w:customStyle="1" w:styleId="57">
    <w:name w:val="正文文本缩进 21"/>
    <w:basedOn w:val="1"/>
    <w:qFormat/>
    <w:uiPriority w:val="0"/>
    <w:pPr>
      <w:widowControl w:val="0"/>
      <w:snapToGrid/>
      <w:spacing w:after="0" w:line="312" w:lineRule="atLeast"/>
      <w:ind w:firstLine="570"/>
      <w:jc w:val="distribute"/>
      <w:textAlignment w:val="baseline"/>
    </w:pPr>
    <w:rPr>
      <w:rFonts w:ascii="Times New Roman" w:hAnsi="Times New Roman" w:eastAsia="仿宋_GB2312" w:cs="Times New Roman"/>
      <w:sz w:val="28"/>
      <w:szCs w:val="20"/>
    </w:rPr>
  </w:style>
  <w:style w:type="paragraph" w:customStyle="1" w:styleId="58">
    <w:name w:val="hky4级"/>
    <w:basedOn w:val="56"/>
    <w:qFormat/>
    <w:uiPriority w:val="99"/>
    <w:pPr>
      <w:spacing w:before="156" w:after="156"/>
      <w:outlineLvl w:val="3"/>
    </w:pPr>
  </w:style>
  <w:style w:type="paragraph" w:customStyle="1" w:styleId="59">
    <w:name w:val="hky图题"/>
    <w:basedOn w:val="7"/>
    <w:qFormat/>
    <w:uiPriority w:val="99"/>
    <w:pPr>
      <w:spacing w:beforeLines="50" w:afterLines="50" w:line="360" w:lineRule="auto"/>
      <w:ind w:firstLine="0" w:firstLineChars="0"/>
      <w:jc w:val="center"/>
    </w:pPr>
    <w:rPr>
      <w:rFonts w:ascii="Times New Roman" w:hAnsi="Times New Roman" w:cs="Times New Roman"/>
    </w:rPr>
  </w:style>
  <w:style w:type="paragraph" w:customStyle="1" w:styleId="60">
    <w:name w:val="hky表格字体"/>
    <w:basedOn w:val="1"/>
    <w:qFormat/>
    <w:uiPriority w:val="99"/>
    <w:pPr>
      <w:jc w:val="center"/>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22934</Words>
  <Characters>23554</Characters>
  <Lines>0</Lines>
  <Paragraphs>0</Paragraphs>
  <TotalTime>12</TotalTime>
  <ScaleCrop>false</ScaleCrop>
  <LinksUpToDate>false</LinksUpToDate>
  <CharactersWithSpaces>23882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39369</dc:creator>
  <cp:lastModifiedBy>高璋琦</cp:lastModifiedBy>
  <cp:lastPrinted>2021-08-31T03:38:00Z</cp:lastPrinted>
  <dcterms:modified xsi:type="dcterms:W3CDTF">2025-02-17T01:30:15Z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70E7198112B2450C8A872B35B3F5C585_13</vt:lpwstr>
  </property>
  <property fmtid="{D5CDD505-2E9C-101B-9397-08002B2CF9AE}" pid="4" name="KSOTemplateDocerSaveRecord">
    <vt:lpwstr>eyJoZGlkIjoiMDIwZWYwNjNmOTdjZWNlZWFjYmZlZjA2ZTE2ZjcyN2YiLCJ1c2VySWQiOiI0NTY2NTI0MzkifQ==</vt:lpwstr>
  </property>
</Properties>
</file>