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240" w:lineRule="auto"/>
        <w:ind w:firstLine="482"/>
        <w:jc w:val="left"/>
        <w:rPr>
          <w:rFonts w:ascii="Times New Roman" w:hAnsi="Times New Roman" w:eastAsia="宋体" w:cs="Times New Roman"/>
          <w:b/>
          <w:bCs/>
          <w:szCs w:val="24"/>
        </w:rPr>
      </w:pPr>
      <w:r>
        <w:rPr>
          <w:rFonts w:ascii="Times New Roman" w:hAnsi="Times New Roman" w:eastAsia="宋体" w:cs="Times New Roman"/>
          <w:b/>
          <w:bCs/>
          <w:szCs w:val="24"/>
        </w:rPr>
        <w:t>应急预案编号：</w:t>
      </w:r>
      <w:r>
        <w:rPr>
          <w:rFonts w:hint="eastAsia" w:ascii="Times New Roman" w:hAnsi="Times New Roman" w:eastAsia="宋体" w:cs="Times New Roman"/>
          <w:b/>
          <w:bCs/>
          <w:szCs w:val="24"/>
        </w:rPr>
        <w:t>HRYJYA-2023-001号</w:t>
      </w:r>
    </w:p>
    <w:p>
      <w:pPr>
        <w:wordWrap w:val="0"/>
        <w:autoSpaceDE w:val="0"/>
        <w:autoSpaceDN w:val="0"/>
        <w:adjustRightInd w:val="0"/>
        <w:spacing w:line="240" w:lineRule="auto"/>
        <w:ind w:firstLine="482"/>
        <w:jc w:val="left"/>
        <w:rPr>
          <w:rFonts w:ascii="Times New Roman" w:hAnsi="Times New Roman" w:eastAsia="宋体" w:cs="Times New Roman"/>
          <w:b/>
          <w:bCs/>
          <w:szCs w:val="24"/>
        </w:rPr>
      </w:pPr>
      <w:r>
        <w:rPr>
          <w:rFonts w:ascii="Times New Roman" w:hAnsi="Times New Roman" w:eastAsia="宋体" w:cs="Times New Roman"/>
          <w:b/>
          <w:bCs/>
          <w:szCs w:val="24"/>
        </w:rPr>
        <w:t>应急预案版本：</w:t>
      </w:r>
      <w:r>
        <w:rPr>
          <w:rFonts w:hint="eastAsia" w:ascii="Times New Roman" w:hAnsi="Times New Roman" w:eastAsia="宋体" w:cs="Times New Roman"/>
          <w:b/>
          <w:bCs/>
          <w:szCs w:val="24"/>
        </w:rPr>
        <w:t xml:space="preserve">  2023年第（2）版 </w:t>
      </w:r>
    </w:p>
    <w:p>
      <w:pPr>
        <w:ind w:firstLine="883"/>
        <w:jc w:val="center"/>
        <w:rPr>
          <w:rFonts w:ascii="Times New Roman" w:hAnsi="Times New Roman" w:eastAsia="宋体" w:cs="Times New Roman"/>
          <w:b/>
          <w:sz w:val="44"/>
          <w:szCs w:val="44"/>
        </w:rPr>
      </w:pPr>
    </w:p>
    <w:p>
      <w:pPr>
        <w:ind w:firstLine="883"/>
        <w:jc w:val="center"/>
        <w:rPr>
          <w:rFonts w:ascii="Times New Roman" w:hAnsi="Times New Roman" w:eastAsia="宋体" w:cs="Times New Roman"/>
          <w:b/>
          <w:sz w:val="44"/>
          <w:szCs w:val="44"/>
        </w:rPr>
      </w:pPr>
    </w:p>
    <w:p>
      <w:pPr>
        <w:ind w:firstLine="883"/>
        <w:jc w:val="center"/>
        <w:rPr>
          <w:rFonts w:ascii="Times New Roman" w:hAnsi="Times New Roman" w:eastAsia="宋体" w:cs="Times New Roman"/>
          <w:b/>
          <w:sz w:val="44"/>
          <w:szCs w:val="44"/>
        </w:rPr>
      </w:pPr>
    </w:p>
    <w:p>
      <w:pPr>
        <w:spacing w:line="720" w:lineRule="auto"/>
        <w:ind w:firstLine="0" w:firstLineChars="0"/>
        <w:jc w:val="center"/>
        <w:rPr>
          <w:rFonts w:ascii="Times New Roman" w:hAnsi="Times New Roman" w:eastAsia="宋体" w:cs="Times New Roman"/>
          <w:b/>
          <w:sz w:val="48"/>
          <w:szCs w:val="48"/>
        </w:rPr>
      </w:pPr>
      <w:r>
        <w:rPr>
          <w:rFonts w:ascii="Times New Roman" w:hAnsi="Times New Roman" w:eastAsia="宋体" w:cs="Times New Roman"/>
          <w:b/>
          <w:sz w:val="48"/>
          <w:szCs w:val="48"/>
        </w:rPr>
        <w:t>赤壁恒瑞非织造材料有限公司</w:t>
      </w:r>
    </w:p>
    <w:p>
      <w:pPr>
        <w:spacing w:line="720" w:lineRule="auto"/>
        <w:ind w:firstLine="0" w:firstLineChars="0"/>
        <w:jc w:val="center"/>
        <w:rPr>
          <w:rFonts w:ascii="Times New Roman" w:hAnsi="Times New Roman" w:eastAsia="宋体" w:cs="Times New Roman"/>
          <w:b/>
          <w:sz w:val="48"/>
          <w:szCs w:val="48"/>
        </w:rPr>
      </w:pPr>
      <w:r>
        <w:rPr>
          <w:rFonts w:ascii="Times New Roman" w:hAnsi="Times New Roman" w:eastAsia="宋体" w:cs="Times New Roman"/>
          <w:b/>
          <w:sz w:val="48"/>
          <w:szCs w:val="48"/>
        </w:rPr>
        <w:t>突发环境事件应急预案</w:t>
      </w:r>
    </w:p>
    <w:p>
      <w:pPr>
        <w:ind w:firstLine="883"/>
        <w:jc w:val="center"/>
        <w:rPr>
          <w:rFonts w:ascii="Times New Roman" w:hAnsi="Times New Roman" w:eastAsia="宋体" w:cs="Times New Roman"/>
          <w:b/>
          <w:sz w:val="44"/>
          <w:szCs w:val="44"/>
        </w:rPr>
      </w:pPr>
    </w:p>
    <w:p>
      <w:pPr>
        <w:ind w:firstLine="883"/>
        <w:jc w:val="center"/>
        <w:rPr>
          <w:rFonts w:ascii="Times New Roman" w:hAnsi="Times New Roman" w:eastAsia="宋体" w:cs="Times New Roman"/>
          <w:b/>
          <w:sz w:val="44"/>
          <w:szCs w:val="44"/>
        </w:rPr>
      </w:pPr>
    </w:p>
    <w:p>
      <w:pPr>
        <w:ind w:firstLine="883"/>
        <w:jc w:val="center"/>
        <w:rPr>
          <w:rFonts w:ascii="Times New Roman" w:hAnsi="Times New Roman" w:eastAsia="宋体" w:cs="Times New Roman"/>
          <w:b/>
          <w:sz w:val="44"/>
          <w:szCs w:val="44"/>
        </w:rPr>
      </w:pPr>
    </w:p>
    <w:p>
      <w:pPr>
        <w:ind w:firstLine="883"/>
        <w:jc w:val="center"/>
        <w:rPr>
          <w:rFonts w:ascii="Times New Roman" w:hAnsi="Times New Roman" w:eastAsia="宋体" w:cs="Times New Roman"/>
          <w:b/>
          <w:sz w:val="44"/>
          <w:szCs w:val="44"/>
        </w:rPr>
      </w:pPr>
    </w:p>
    <w:p>
      <w:pPr>
        <w:ind w:firstLine="883"/>
        <w:jc w:val="center"/>
        <w:rPr>
          <w:rFonts w:ascii="Times New Roman" w:hAnsi="Times New Roman" w:eastAsia="宋体" w:cs="Times New Roman"/>
          <w:b/>
          <w:sz w:val="44"/>
          <w:szCs w:val="44"/>
        </w:rPr>
      </w:pPr>
    </w:p>
    <w:p>
      <w:pPr>
        <w:ind w:firstLine="883"/>
        <w:jc w:val="center"/>
        <w:rPr>
          <w:rFonts w:ascii="Times New Roman" w:hAnsi="Times New Roman" w:eastAsia="宋体" w:cs="Times New Roman"/>
          <w:b/>
          <w:sz w:val="44"/>
          <w:szCs w:val="44"/>
        </w:rPr>
      </w:pPr>
    </w:p>
    <w:p>
      <w:pPr>
        <w:ind w:firstLine="883"/>
        <w:jc w:val="center"/>
        <w:rPr>
          <w:rFonts w:ascii="Times New Roman" w:hAnsi="Times New Roman" w:eastAsia="宋体" w:cs="Times New Roman"/>
          <w:b/>
          <w:sz w:val="44"/>
          <w:szCs w:val="44"/>
        </w:rPr>
      </w:pPr>
    </w:p>
    <w:p>
      <w:pPr>
        <w:ind w:firstLine="0" w:firstLineChars="0"/>
        <w:rPr>
          <w:rFonts w:ascii="Times New Roman" w:hAnsi="Times New Roman" w:eastAsia="宋体" w:cs="Times New Roman"/>
          <w:b/>
          <w:sz w:val="44"/>
          <w:szCs w:val="44"/>
        </w:rPr>
      </w:pPr>
    </w:p>
    <w:p>
      <w:pPr>
        <w:spacing w:line="720" w:lineRule="auto"/>
        <w:ind w:firstLine="0" w:firstLineChars="0"/>
        <w:jc w:val="center"/>
        <w:rPr>
          <w:rFonts w:ascii="Times New Roman" w:hAnsi="Times New Roman" w:eastAsia="宋体" w:cs="Times New Roman"/>
          <w:b/>
          <w:sz w:val="32"/>
          <w:szCs w:val="32"/>
        </w:rPr>
      </w:pPr>
      <w:r>
        <w:rPr>
          <w:rFonts w:ascii="Times New Roman" w:hAnsi="Times New Roman" w:eastAsia="宋体" w:cs="Times New Roman"/>
          <w:b/>
          <w:sz w:val="32"/>
          <w:szCs w:val="32"/>
        </w:rPr>
        <w:t>赤壁恒瑞非织造材料有限公司</w:t>
      </w:r>
    </w:p>
    <w:p>
      <w:pPr>
        <w:ind w:firstLine="0" w:firstLineChars="0"/>
        <w:jc w:val="center"/>
        <w:rPr>
          <w:rFonts w:ascii="Times New Roman" w:hAnsi="Times New Roman" w:eastAsia="宋体" w:cs="Times New Roman"/>
          <w:b/>
          <w:sz w:val="32"/>
          <w:szCs w:val="32"/>
        </w:rPr>
      </w:pPr>
      <w:r>
        <w:rPr>
          <w:rFonts w:ascii="Times New Roman" w:hAnsi="Times New Roman" w:eastAsia="宋体" w:cs="Times New Roman"/>
          <w:b/>
          <w:sz w:val="32"/>
          <w:szCs w:val="32"/>
        </w:rPr>
        <w:t>二O二三年四月</w:t>
      </w:r>
    </w:p>
    <w:p>
      <w:pPr>
        <w:ind w:firstLine="482"/>
        <w:jc w:val="center"/>
        <w:rPr>
          <w:rFonts w:ascii="Times New Roman" w:hAnsi="Times New Roman" w:eastAsia="宋体" w:cs="Times New Roman"/>
          <w:b/>
          <w:szCs w:val="24"/>
        </w:rPr>
      </w:pPr>
    </w:p>
    <w:p>
      <w:pPr>
        <w:ind w:firstLine="482"/>
        <w:jc w:val="center"/>
        <w:rPr>
          <w:rFonts w:ascii="Times New Roman" w:hAnsi="Times New Roman" w:eastAsia="宋体" w:cs="Times New Roman"/>
          <w:b/>
          <w:szCs w:val="24"/>
        </w:rPr>
      </w:pPr>
    </w:p>
    <w:p>
      <w:pPr>
        <w:ind w:firstLine="482"/>
        <w:jc w:val="center"/>
        <w:rPr>
          <w:rFonts w:ascii="Times New Roman" w:hAnsi="Times New Roman" w:eastAsia="宋体" w:cs="Times New Roman"/>
          <w:b/>
          <w:szCs w:val="24"/>
        </w:rPr>
        <w:sectPr>
          <w:headerReference r:id="rId7" w:type="first"/>
          <w:footerReference r:id="rId10" w:type="first"/>
          <w:headerReference r:id="rId5" w:type="default"/>
          <w:footerReference r:id="rId8" w:type="default"/>
          <w:headerReference r:id="rId6" w:type="even"/>
          <w:footerReference r:id="rId9" w:type="even"/>
          <w:pgSz w:w="11906" w:h="16838"/>
          <w:pgMar w:top="1440" w:right="1080" w:bottom="1440" w:left="1080" w:header="907" w:footer="992" w:gutter="0"/>
          <w:pgNumType w:fmt="numberInDash"/>
          <w:cols w:space="425" w:num="1"/>
          <w:docGrid w:type="lines" w:linePitch="312" w:charSpace="0"/>
        </w:sectPr>
      </w:pPr>
    </w:p>
    <w:p>
      <w:pPr>
        <w:ind w:firstLine="0" w:firstLineChars="0"/>
        <w:jc w:val="center"/>
        <w:rPr>
          <w:rFonts w:ascii="Times New Roman" w:hAnsi="Times New Roman" w:eastAsia="宋体" w:cs="Times New Roman"/>
          <w:b/>
          <w:sz w:val="36"/>
        </w:rPr>
        <w:sectPr>
          <w:headerReference r:id="rId11" w:type="default"/>
          <w:pgSz w:w="11906" w:h="16838"/>
          <w:pgMar w:top="1440" w:right="1080" w:bottom="1440" w:left="1080" w:header="907" w:footer="992" w:gutter="0"/>
          <w:pgNumType w:fmt="numberInDash"/>
          <w:cols w:space="425" w:num="1"/>
          <w:docGrid w:type="lines" w:linePitch="312" w:charSpace="0"/>
        </w:sectPr>
      </w:pPr>
    </w:p>
    <w:p>
      <w:pPr>
        <w:ind w:firstLine="0" w:firstLineChars="0"/>
        <w:jc w:val="center"/>
        <w:rPr>
          <w:rFonts w:ascii="Times New Roman" w:hAnsi="Times New Roman" w:eastAsia="宋体" w:cs="Times New Roman"/>
          <w:b/>
          <w:sz w:val="36"/>
        </w:rPr>
      </w:pPr>
      <w:r>
        <w:rPr>
          <w:rFonts w:ascii="Times New Roman" w:hAnsi="Times New Roman" w:eastAsia="宋体" w:cs="Times New Roman"/>
          <w:b/>
          <w:sz w:val="36"/>
        </w:rPr>
        <w:t>赤壁恒瑞非织造材料有限公司突发环境事件应急预案发布令</w:t>
      </w:r>
    </w:p>
    <w:p>
      <w:pPr>
        <w:adjustRightInd w:val="0"/>
        <w:snapToGrid w:val="0"/>
        <w:ind w:firstLine="480"/>
        <w:rPr>
          <w:rFonts w:ascii="Times New Roman" w:hAnsi="Times New Roman" w:eastAsia="宋体" w:cs="Times New Roman"/>
        </w:rPr>
      </w:pPr>
    </w:p>
    <w:p>
      <w:pPr>
        <w:adjustRightInd w:val="0"/>
        <w:snapToGrid w:val="0"/>
        <w:ind w:firstLine="480"/>
        <w:rPr>
          <w:rFonts w:ascii="Times New Roman" w:hAnsi="Times New Roman" w:eastAsia="宋体" w:cs="Times New Roman"/>
        </w:rPr>
      </w:pPr>
      <w:r>
        <w:rPr>
          <w:rFonts w:hint="eastAsia" w:ascii="Times New Roman" w:hAnsi="Times New Roman" w:eastAsia="宋体" w:cs="Times New Roman"/>
        </w:rPr>
        <w:t>为认真贯彻落实《中华人民共和国突发事件应对法》、《中华人民共和国环境保护法》等法律法规精神，</w:t>
      </w:r>
      <w:r>
        <w:rPr>
          <w:rFonts w:ascii="Times New Roman" w:hAnsi="Times New Roman" w:eastAsia="宋体" w:cs="Times New Roman"/>
        </w:rPr>
        <w:t>依据《企业事业单位突发环境事件应急预案备案管理办法（试行）》和《突发环境事件应急管理办法》</w:t>
      </w:r>
      <w:r>
        <w:rPr>
          <w:rFonts w:hint="eastAsia" w:ascii="Times New Roman" w:hAnsi="Times New Roman" w:eastAsia="宋体" w:cs="Times New Roman"/>
        </w:rPr>
        <w:t>等</w:t>
      </w:r>
      <w:r>
        <w:rPr>
          <w:rFonts w:ascii="Times New Roman" w:hAnsi="Times New Roman" w:eastAsia="宋体" w:cs="Times New Roman"/>
        </w:rPr>
        <w:t>突发环境事件应急预案相关规定</w:t>
      </w:r>
      <w:r>
        <w:rPr>
          <w:rFonts w:hint="eastAsia" w:ascii="Times New Roman" w:hAnsi="Times New Roman" w:eastAsia="宋体" w:cs="Times New Roman"/>
        </w:rPr>
        <w:t>，有效防范企业突发环境事件的发生，最大限度的控制突发环境事件的扩大和蔓延，保护员工的生命，减少公司财产的损失，降低对周边环境的影响程度，结合公司的实际情况，特修编完成了《赤壁恒瑞非织造材料有限公司突发环境事件应急预案》（2023年第（2）版）（以下简称本预案）。</w:t>
      </w:r>
    </w:p>
    <w:p>
      <w:pPr>
        <w:pStyle w:val="2"/>
        <w:snapToGrid w:val="0"/>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本应急预案属厂级突发环境事件指导性文件，阐述了预案适用范围与事件分级，明确了应急组织指挥体系与职责、预防与预警机制、应急处理、后期处理、应急保障、预案监督与管理要求，用于指导赤壁恒瑞非织造材料有限公司突发环境事件的响应、应急处理和救援等应急管理工作。</w:t>
      </w:r>
    </w:p>
    <w:p>
      <w:pPr>
        <w:pStyle w:val="2"/>
        <w:snapToGrid w:val="0"/>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赤壁恒瑞非织造材料有限公司突发环境事件应急预案》自负责人签署之日起生效并发布。《突发环境事件应急预案》发布后，希望该预案成为公司全体员工共同遵守的行为准则，在公司形成规范化、标准化、程序化管理的文化氛围，让此预案成为真正能有效降低突发环境事件影响的指导文件。</w:t>
      </w:r>
    </w:p>
    <w:p>
      <w:pPr>
        <w:pStyle w:val="2"/>
        <w:adjustRightInd/>
        <w:spacing w:before="156" w:beforeLines="50" w:after="100" w:afterAutospacing="1" w:line="360" w:lineRule="auto"/>
        <w:ind w:firstLine="480" w:firstLineChars="200"/>
        <w:jc w:val="both"/>
        <w:rPr>
          <w:rFonts w:ascii="Times New Roman" w:hAnsi="Times New Roman" w:eastAsia="宋体" w:cs="Times New Roman"/>
          <w:color w:val="auto"/>
        </w:rPr>
      </w:pPr>
    </w:p>
    <w:p>
      <w:pPr>
        <w:pStyle w:val="2"/>
        <w:adjustRightInd/>
        <w:spacing w:before="156" w:beforeLines="50" w:after="100" w:afterAutospacing="1" w:line="360" w:lineRule="auto"/>
        <w:ind w:firstLine="5040" w:firstLineChars="2100"/>
        <w:jc w:val="both"/>
        <w:rPr>
          <w:rFonts w:ascii="Times New Roman" w:hAnsi="Times New Roman" w:eastAsia="宋体" w:cs="Times New Roman"/>
          <w:color w:val="auto"/>
        </w:rPr>
      </w:pPr>
      <w:r>
        <w:rPr>
          <w:rFonts w:ascii="Times New Roman" w:hAnsi="Times New Roman" w:eastAsia="宋体" w:cs="Times New Roman"/>
          <w:color w:val="auto"/>
        </w:rPr>
        <w:t>赤壁恒瑞非织造材料有限公司（盖章）</w:t>
      </w:r>
    </w:p>
    <w:p>
      <w:pPr>
        <w:pStyle w:val="2"/>
        <w:adjustRightInd/>
        <w:spacing w:before="156" w:beforeLines="50" w:after="100" w:afterAutospacing="1" w:line="360" w:lineRule="auto"/>
        <w:ind w:firstLine="5280" w:firstLineChars="2200"/>
        <w:jc w:val="both"/>
        <w:rPr>
          <w:rFonts w:ascii="Times New Roman" w:hAnsi="Times New Roman" w:eastAsia="宋体" w:cs="Times New Roman"/>
          <w:color w:val="auto"/>
        </w:rPr>
      </w:pPr>
      <w:r>
        <w:rPr>
          <w:rFonts w:ascii="Times New Roman" w:hAnsi="Times New Roman" w:eastAsia="宋体" w:cs="Times New Roman"/>
          <w:color w:val="auto"/>
        </w:rPr>
        <w:t>签发人（单位负责人）：</w:t>
      </w:r>
    </w:p>
    <w:p>
      <w:pPr>
        <w:spacing w:before="156" w:beforeLines="50" w:after="100" w:afterAutospacing="1"/>
        <w:ind w:firstLine="6000" w:firstLineChars="2500"/>
        <w:rPr>
          <w:rFonts w:ascii="Times New Roman" w:hAnsi="Times New Roman" w:eastAsia="宋体" w:cs="Times New Roman"/>
        </w:rPr>
        <w:sectPr>
          <w:headerReference r:id="rId12" w:type="default"/>
          <w:pgSz w:w="11906" w:h="16838"/>
          <w:pgMar w:top="1440" w:right="1080" w:bottom="1440" w:left="1080" w:header="907" w:footer="992" w:gutter="0"/>
          <w:pgNumType w:fmt="numberInDash"/>
          <w:cols w:space="425" w:num="1"/>
          <w:docGrid w:type="lines" w:linePitch="312" w:charSpace="0"/>
        </w:sectPr>
      </w:pPr>
      <w:r>
        <w:rPr>
          <w:rFonts w:ascii="Times New Roman" w:hAnsi="Times New Roman" w:eastAsia="宋体" w:cs="Times New Roman"/>
          <w:szCs w:val="24"/>
        </w:rPr>
        <w:t>年    月    日</w:t>
      </w:r>
    </w:p>
    <w:p>
      <w:pPr>
        <w:ind w:firstLine="0" w:firstLineChars="0"/>
        <w:rPr>
          <w:rFonts w:ascii="Times New Roman" w:hAnsi="Times New Roman" w:eastAsia="宋体" w:cs="Times New Roman"/>
          <w:b/>
          <w:sz w:val="36"/>
        </w:rPr>
        <w:sectPr>
          <w:headerReference r:id="rId13" w:type="default"/>
          <w:pgSz w:w="11906" w:h="16838"/>
          <w:pgMar w:top="1440" w:right="1080" w:bottom="1440" w:left="1080" w:header="907" w:footer="992" w:gutter="0"/>
          <w:pgNumType w:fmt="numberInDash"/>
          <w:cols w:space="425" w:num="1"/>
          <w:docGrid w:type="lines" w:linePitch="312" w:charSpace="0"/>
        </w:sectPr>
      </w:pPr>
    </w:p>
    <w:p>
      <w:pPr>
        <w:ind w:firstLine="0" w:firstLineChars="0"/>
        <w:jc w:val="center"/>
        <w:rPr>
          <w:rFonts w:ascii="Times New Roman" w:hAnsi="Times New Roman" w:eastAsia="宋体" w:cs="Times New Roman"/>
          <w:b/>
          <w:sz w:val="36"/>
        </w:rPr>
      </w:pPr>
    </w:p>
    <w:p>
      <w:pPr>
        <w:ind w:firstLine="0" w:firstLineChars="0"/>
        <w:jc w:val="center"/>
        <w:rPr>
          <w:rFonts w:ascii="Times New Roman" w:hAnsi="Times New Roman" w:eastAsia="宋体" w:cs="Times New Roman"/>
          <w:b/>
          <w:sz w:val="36"/>
        </w:rPr>
      </w:pPr>
      <w:r>
        <w:rPr>
          <w:rFonts w:ascii="Times New Roman" w:hAnsi="Times New Roman" w:eastAsia="宋体" w:cs="Times New Roman"/>
          <w:b/>
          <w:sz w:val="36"/>
        </w:rPr>
        <w:t>赤壁恒瑞非织造材料有限公司突发环境事件应急预案</w:t>
      </w:r>
    </w:p>
    <w:p>
      <w:pPr>
        <w:ind w:firstLine="0" w:firstLineChars="0"/>
        <w:jc w:val="center"/>
        <w:rPr>
          <w:rFonts w:ascii="Times New Roman" w:hAnsi="Times New Roman" w:eastAsia="宋体" w:cs="Times New Roman"/>
          <w:b/>
          <w:sz w:val="36"/>
        </w:rPr>
      </w:pPr>
      <w:r>
        <w:rPr>
          <w:rFonts w:ascii="Times New Roman" w:hAnsi="Times New Roman" w:eastAsia="宋体" w:cs="Times New Roman"/>
          <w:b/>
          <w:sz w:val="36"/>
        </w:rPr>
        <w:t>编制说明</w:t>
      </w:r>
    </w:p>
    <w:p>
      <w:pPr>
        <w:pStyle w:val="2"/>
        <w:rPr>
          <w:rFonts w:ascii="Times New Roman" w:hAnsi="Times New Roman" w:eastAsia="宋体" w:cs="Times New Roman"/>
          <w:color w:val="auto"/>
        </w:rPr>
      </w:pPr>
    </w:p>
    <w:p>
      <w:pPr>
        <w:pStyle w:val="2"/>
        <w:spacing w:line="360" w:lineRule="auto"/>
        <w:ind w:firstLine="480" w:firstLineChars="200"/>
        <w:rPr>
          <w:rFonts w:ascii="Times New Roman" w:hAnsi="Times New Roman" w:eastAsia="宋体" w:cs="Times New Roman"/>
          <w:color w:val="auto"/>
        </w:rPr>
      </w:pPr>
      <w:r>
        <w:rPr>
          <w:rFonts w:hint="eastAsia" w:ascii="Times New Roman" w:hAnsi="Times New Roman" w:eastAsia="宋体" w:cs="Times New Roman"/>
          <w:color w:val="auto"/>
        </w:rPr>
        <w:t>了进一步健全环境污染事件应急机制，有效预防、及时控和消除突发污染事件的危害，提高环境保护方面人员应急反能力确迅速有效地处理突发环境污染和生态破坏等原因造成的局部或区域事件，指导规范突境污染和生态破坏事件的应急处理工作，维护社会稳定以最快速度发挥大效能，将环境污染和生态破坏事件造成的损失降低到最小程度大限地保障人民群众的身体健康和生命安全，特对2019年第（1）版《赤壁恒瑞非织造材料有限公司突发环境事件应急预案》进行修订，本次为2023年第（2）版。</w:t>
      </w:r>
      <w:r>
        <w:rPr>
          <w:rFonts w:ascii="Times New Roman" w:hAnsi="Times New Roman" w:eastAsia="宋体" w:cs="Times New Roman"/>
          <w:color w:val="auto"/>
        </w:rPr>
        <w:t>现将该《预案》的修编过程、原则、依据等应急预案编制的相关情况做一说明。</w:t>
      </w:r>
    </w:p>
    <w:p>
      <w:pPr>
        <w:pStyle w:val="2"/>
        <w:spacing w:before="120" w:beforeLines="50" w:after="120" w:afterLines="50"/>
        <w:rPr>
          <w:rFonts w:ascii="Times New Roman" w:hAnsi="Times New Roman" w:eastAsia="宋体" w:cs="Times New Roman"/>
          <w:b/>
          <w:bCs/>
          <w:color w:val="auto"/>
          <w:sz w:val="32"/>
          <w:szCs w:val="32"/>
        </w:rPr>
      </w:pPr>
      <w:r>
        <w:rPr>
          <w:rFonts w:ascii="Times New Roman" w:hAnsi="Times New Roman" w:eastAsia="宋体" w:cs="Times New Roman"/>
          <w:b/>
          <w:bCs/>
          <w:color w:val="auto"/>
          <w:sz w:val="32"/>
          <w:szCs w:val="32"/>
        </w:rPr>
        <w:t>一、应急预案编制过程</w:t>
      </w:r>
    </w:p>
    <w:p>
      <w:pPr>
        <w:pStyle w:val="2"/>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本预案编制严格参照相关规定进行，程序简述如下：</w:t>
      </w:r>
    </w:p>
    <w:p>
      <w:pPr>
        <w:pStyle w:val="2"/>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1、成立应急预案编制小组，由事故应急总指挥、副总指挥，以及相关应急小组长组成，明确以总指挥为组长。</w:t>
      </w:r>
    </w:p>
    <w:p>
      <w:pPr>
        <w:pStyle w:val="2"/>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2、开展情况调查，应急能力评估，危险源辨别与分析。</w:t>
      </w:r>
    </w:p>
    <w:p>
      <w:pPr>
        <w:pStyle w:val="2"/>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3、针对相关的事故类型，编制事故应急预案。</w:t>
      </w:r>
    </w:p>
    <w:p>
      <w:pPr>
        <w:pStyle w:val="2"/>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其详细编制程序见图1-1：</w:t>
      </w:r>
    </w:p>
    <w:p>
      <w:pPr>
        <w:pStyle w:val="2"/>
        <w:spacing w:line="360" w:lineRule="auto"/>
        <w:jc w:val="center"/>
        <w:rPr>
          <w:rFonts w:ascii="Times New Roman" w:hAnsi="Times New Roman" w:eastAsia="宋体" w:cs="Times New Roman"/>
          <w:color w:val="auto"/>
          <w:sz w:val="28"/>
          <w:szCs w:val="28"/>
        </w:rPr>
      </w:pPr>
      <w:r>
        <w:rPr>
          <w:rFonts w:ascii="Times New Roman" w:hAnsi="Times New Roman" w:eastAsia="宋体" w:cs="Times New Roman"/>
          <w:color w:val="auto"/>
        </w:rPr>
        <w:drawing>
          <wp:inline distT="0" distB="0" distL="0" distR="0">
            <wp:extent cx="4741545" cy="3979545"/>
            <wp:effectExtent l="0" t="0" r="190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4741545" cy="3979545"/>
                    </a:xfrm>
                    <a:prstGeom prst="rect">
                      <a:avLst/>
                    </a:prstGeom>
                  </pic:spPr>
                </pic:pic>
              </a:graphicData>
            </a:graphic>
          </wp:inline>
        </w:drawing>
      </w:r>
    </w:p>
    <w:p>
      <w:pPr>
        <w:ind w:right="1260" w:firstLine="482"/>
        <w:jc w:val="center"/>
        <w:rPr>
          <w:rFonts w:ascii="Times New Roman" w:hAnsi="Times New Roman" w:eastAsia="宋体" w:cs="Times New Roman"/>
          <w:b/>
          <w:szCs w:val="24"/>
        </w:rPr>
      </w:pPr>
      <w:r>
        <w:rPr>
          <w:rFonts w:ascii="Times New Roman" w:hAnsi="Times New Roman" w:eastAsia="宋体" w:cs="Times New Roman"/>
          <w:b/>
          <w:szCs w:val="24"/>
        </w:rPr>
        <w:t>图1-1  环境应急预案编制程序图</w:t>
      </w:r>
    </w:p>
    <w:p>
      <w:pPr>
        <w:pStyle w:val="2"/>
        <w:spacing w:before="120" w:beforeLines="50" w:after="120" w:afterLines="50" w:line="360" w:lineRule="auto"/>
        <w:rPr>
          <w:rFonts w:ascii="Times New Roman" w:hAnsi="Times New Roman" w:eastAsia="宋体" w:cs="Times New Roman"/>
          <w:b/>
          <w:bCs/>
          <w:color w:val="auto"/>
          <w:sz w:val="32"/>
          <w:szCs w:val="32"/>
        </w:rPr>
      </w:pPr>
      <w:r>
        <w:rPr>
          <w:rFonts w:ascii="Times New Roman" w:hAnsi="Times New Roman" w:eastAsia="宋体" w:cs="Times New Roman"/>
          <w:b/>
          <w:bCs/>
          <w:color w:val="auto"/>
          <w:sz w:val="32"/>
          <w:szCs w:val="32"/>
        </w:rPr>
        <w:t>二、重点内容说明</w:t>
      </w:r>
    </w:p>
    <w:p>
      <w:pPr>
        <w:pStyle w:val="2"/>
        <w:snapToGrid w:val="0"/>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本预案共分为：总则、公司基本情况、环境危险性分析、应急组织机构体系与职责、应急保障、预防和预警机制、应急响应、后期处置、应急培训与演练、奖励与责任追究、预案的备案、发布和更新、附图及附件等。本次修编重新对赤壁恒瑞非织造材料有限公司环境风险进行等级评估、根据环境风险等级评估报告，</w:t>
      </w:r>
      <w:r>
        <w:rPr>
          <w:rFonts w:hint="eastAsia" w:ascii="Times New Roman" w:hAnsi="Times New Roman" w:eastAsia="宋体" w:cs="Times New Roman"/>
          <w:color w:val="auto"/>
        </w:rPr>
        <w:t>重点讲述了企业环境危险源情况并分析了可能产生的突发环境事件，并针对重点风险事故进行危害、防控、处置措施说明，明确信息报告机制、现场指挥机制、应急队伍的分工和联系、应急物资的数量及完好情况等，对同类行业以往事故搜集借鉴，让突发事件情景更真实明确</w:t>
      </w:r>
      <w:r>
        <w:rPr>
          <w:rFonts w:ascii="Times New Roman" w:hAnsi="Times New Roman" w:eastAsia="宋体" w:cs="Times New Roman"/>
          <w:color w:val="auto"/>
        </w:rPr>
        <w:t>，确保企业一旦发生突发环境事件，能够及时、科学、有效予以应对，最大限度的降低突发环境事件对环境造成的影响。</w:t>
      </w:r>
    </w:p>
    <w:p>
      <w:pPr>
        <w:pStyle w:val="2"/>
        <w:spacing w:before="120" w:beforeLines="50" w:after="120" w:afterLines="50" w:line="360" w:lineRule="auto"/>
        <w:rPr>
          <w:rFonts w:ascii="Times New Roman" w:hAnsi="Times New Roman" w:eastAsia="宋体" w:cs="Times New Roman"/>
          <w:b/>
          <w:bCs/>
          <w:color w:val="auto"/>
          <w:sz w:val="32"/>
          <w:szCs w:val="32"/>
        </w:rPr>
      </w:pPr>
      <w:r>
        <w:rPr>
          <w:rFonts w:ascii="Times New Roman" w:hAnsi="Times New Roman" w:eastAsia="宋体" w:cs="Times New Roman"/>
          <w:b/>
          <w:bCs/>
          <w:color w:val="auto"/>
          <w:sz w:val="32"/>
          <w:szCs w:val="32"/>
        </w:rPr>
        <w:t>三、征求意见及采纳情况说明</w:t>
      </w:r>
    </w:p>
    <w:p>
      <w:pPr>
        <w:pStyle w:val="2"/>
        <w:snapToGrid w:val="0"/>
        <w:spacing w:line="360" w:lineRule="auto"/>
        <w:ind w:firstLine="480" w:firstLineChars="200"/>
        <w:rPr>
          <w:rFonts w:ascii="Times New Roman" w:hAnsi="Times New Roman" w:eastAsia="宋体" w:cs="Times New Roman"/>
          <w:color w:val="auto"/>
        </w:rPr>
      </w:pPr>
      <w:r>
        <w:rPr>
          <w:rFonts w:hint="eastAsia" w:ascii="Times New Roman" w:hAnsi="Times New Roman" w:eastAsia="宋体" w:cs="Times New Roman"/>
          <w:color w:val="auto"/>
        </w:rPr>
        <w:t>本预案的修订编写在结合本公司上一版应急预案和实际培训演练的基础上，征求了周边居民和企业代表、员工、企业领导等的意见，并结合意见对预案进行了修改和完善。</w:t>
      </w:r>
    </w:p>
    <w:p>
      <w:pPr>
        <w:pStyle w:val="2"/>
        <w:snapToGrid w:val="0"/>
        <w:spacing w:line="360" w:lineRule="auto"/>
        <w:ind w:firstLine="480" w:firstLineChars="200"/>
        <w:rPr>
          <w:rFonts w:ascii="Times New Roman" w:hAnsi="Times New Roman" w:eastAsia="宋体" w:cs="Times New Roman"/>
          <w:color w:val="auto"/>
        </w:rPr>
      </w:pPr>
      <w:r>
        <w:rPr>
          <w:rFonts w:hint="eastAsia" w:ascii="Times New Roman" w:hAnsi="Times New Roman" w:eastAsia="宋体" w:cs="Times New Roman"/>
          <w:color w:val="auto"/>
        </w:rPr>
        <w:t>采纳的相关意见：</w:t>
      </w:r>
    </w:p>
    <w:p>
      <w:pPr>
        <w:pStyle w:val="2"/>
        <w:snapToGrid w:val="0"/>
        <w:spacing w:line="360" w:lineRule="auto"/>
        <w:ind w:firstLine="480" w:firstLineChars="200"/>
        <w:rPr>
          <w:rFonts w:ascii="Times New Roman" w:hAnsi="Times New Roman" w:eastAsia="宋体" w:cs="Times New Roman"/>
          <w:color w:val="auto"/>
        </w:rPr>
      </w:pPr>
      <w:r>
        <w:rPr>
          <w:rFonts w:hint="eastAsia" w:ascii="Times New Roman" w:hAnsi="Times New Roman" w:eastAsia="宋体" w:cs="Times New Roman"/>
          <w:color w:val="auto"/>
        </w:rPr>
        <w:t>1、做好消防安全管理，杜绝火灾发生；</w:t>
      </w:r>
    </w:p>
    <w:p>
      <w:pPr>
        <w:pStyle w:val="2"/>
        <w:snapToGrid w:val="0"/>
        <w:spacing w:line="360" w:lineRule="auto"/>
        <w:ind w:firstLine="480" w:firstLineChars="200"/>
        <w:rPr>
          <w:rFonts w:ascii="Times New Roman" w:hAnsi="Times New Roman" w:eastAsia="宋体" w:cs="Times New Roman"/>
          <w:color w:val="auto"/>
        </w:rPr>
      </w:pPr>
      <w:r>
        <w:rPr>
          <w:rFonts w:hint="eastAsia" w:ascii="Times New Roman" w:hAnsi="Times New Roman" w:eastAsia="宋体" w:cs="Times New Roman"/>
          <w:color w:val="auto"/>
        </w:rPr>
        <w:t>2、做好应急物资的管理工作，以保证应急物资完好有效；</w:t>
      </w:r>
    </w:p>
    <w:p>
      <w:pPr>
        <w:pStyle w:val="2"/>
        <w:snapToGrid w:val="0"/>
        <w:spacing w:line="360" w:lineRule="auto"/>
        <w:ind w:firstLine="480" w:firstLineChars="200"/>
        <w:rPr>
          <w:rFonts w:ascii="Times New Roman" w:hAnsi="Times New Roman" w:eastAsia="宋体" w:cs="Times New Roman"/>
          <w:color w:val="auto"/>
        </w:rPr>
      </w:pPr>
      <w:r>
        <w:rPr>
          <w:rFonts w:hint="eastAsia" w:ascii="Times New Roman" w:hAnsi="Times New Roman" w:eastAsia="宋体" w:cs="Times New Roman"/>
          <w:color w:val="auto"/>
        </w:rPr>
        <w:t>3、加强人员应急培训，提高全员环保意识；</w:t>
      </w:r>
    </w:p>
    <w:p>
      <w:pPr>
        <w:pStyle w:val="2"/>
        <w:snapToGrid w:val="0"/>
        <w:spacing w:line="360" w:lineRule="auto"/>
        <w:ind w:firstLine="480" w:firstLineChars="200"/>
        <w:rPr>
          <w:rFonts w:ascii="Times New Roman" w:hAnsi="Times New Roman" w:eastAsia="宋体" w:cs="Times New Roman"/>
          <w:color w:val="auto"/>
        </w:rPr>
      </w:pPr>
      <w:r>
        <w:rPr>
          <w:rFonts w:hint="eastAsia" w:ascii="Times New Roman" w:hAnsi="Times New Roman" w:eastAsia="宋体" w:cs="Times New Roman"/>
          <w:color w:val="auto"/>
        </w:rPr>
        <w:t>4、突发事件发生或即将发生要及时通知周边居民，做好互助和人员撤离。</w:t>
      </w:r>
    </w:p>
    <w:p>
      <w:pPr>
        <w:pStyle w:val="2"/>
        <w:spacing w:before="120" w:beforeLines="50" w:after="120" w:afterLines="50" w:line="360" w:lineRule="auto"/>
        <w:rPr>
          <w:rFonts w:ascii="Times New Roman" w:hAnsi="Times New Roman" w:eastAsia="宋体" w:cs="Times New Roman"/>
          <w:b/>
          <w:bCs/>
          <w:color w:val="auto"/>
          <w:sz w:val="32"/>
          <w:szCs w:val="32"/>
        </w:rPr>
      </w:pPr>
      <w:r>
        <w:rPr>
          <w:rFonts w:hint="eastAsia" w:ascii="Times New Roman" w:hAnsi="Times New Roman" w:eastAsia="宋体" w:cs="Times New Roman"/>
          <w:b/>
          <w:bCs/>
          <w:color w:val="auto"/>
          <w:sz w:val="32"/>
          <w:szCs w:val="32"/>
        </w:rPr>
        <w:t>四</w:t>
      </w:r>
      <w:r>
        <w:rPr>
          <w:rFonts w:ascii="Times New Roman" w:hAnsi="Times New Roman" w:eastAsia="宋体" w:cs="Times New Roman"/>
          <w:b/>
          <w:bCs/>
          <w:color w:val="auto"/>
          <w:sz w:val="32"/>
          <w:szCs w:val="32"/>
        </w:rPr>
        <w:t>、</w:t>
      </w:r>
      <w:r>
        <w:rPr>
          <w:rFonts w:hint="eastAsia" w:ascii="Times New Roman" w:hAnsi="Times New Roman" w:eastAsia="宋体" w:cs="Times New Roman"/>
          <w:b/>
          <w:bCs/>
          <w:color w:val="auto"/>
          <w:sz w:val="32"/>
          <w:szCs w:val="32"/>
        </w:rPr>
        <w:t>修订内容说明</w:t>
      </w:r>
    </w:p>
    <w:p>
      <w:pPr>
        <w:pStyle w:val="2"/>
        <w:spacing w:line="360" w:lineRule="auto"/>
        <w:ind w:firstLine="480" w:firstLineChars="200"/>
        <w:rPr>
          <w:rFonts w:ascii="Times New Roman" w:hAnsi="Times New Roman" w:eastAsia="宋体" w:cs="Times New Roman"/>
          <w:color w:val="auto"/>
          <w:kern w:val="2"/>
        </w:rPr>
      </w:pPr>
      <w:r>
        <w:rPr>
          <w:rFonts w:hint="eastAsia" w:ascii="Times New Roman" w:hAnsi="Times New Roman" w:eastAsia="宋体" w:cs="Times New Roman"/>
          <w:color w:val="auto"/>
          <w:kern w:val="2"/>
        </w:rPr>
        <w:t>公司于2019年编写了第（1）版突发环境事件应急预案，并于赤壁市环境保护局进行了备案，环境风险等级为“企业突发环境事件风险等级表征为一般[一般大气Q</w:t>
      </w:r>
      <w:r>
        <w:rPr>
          <w:rFonts w:hint="eastAsia" w:ascii="Times New Roman" w:hAnsi="Times New Roman" w:eastAsia="宋体" w:cs="Times New Roman"/>
          <w:color w:val="auto"/>
          <w:kern w:val="2"/>
          <w:vertAlign w:val="subscript"/>
        </w:rPr>
        <w:t>0</w:t>
      </w:r>
      <w:r>
        <w:rPr>
          <w:rFonts w:hint="eastAsia" w:ascii="Times New Roman" w:hAnsi="Times New Roman" w:eastAsia="宋体" w:cs="Times New Roman"/>
          <w:color w:val="auto"/>
          <w:kern w:val="2"/>
        </w:rPr>
        <w:t>+一般水Q</w:t>
      </w:r>
      <w:r>
        <w:rPr>
          <w:rFonts w:hint="eastAsia" w:ascii="Times New Roman" w:hAnsi="Times New Roman" w:eastAsia="宋体" w:cs="Times New Roman"/>
          <w:color w:val="auto"/>
          <w:kern w:val="2"/>
          <w:vertAlign w:val="subscript"/>
        </w:rPr>
        <w:t>0</w:t>
      </w:r>
      <w:r>
        <w:rPr>
          <w:rFonts w:hint="eastAsia" w:ascii="Times New Roman" w:hAnsi="Times New Roman" w:eastAsia="宋体" w:cs="Times New Roman"/>
          <w:color w:val="auto"/>
          <w:kern w:val="2"/>
        </w:rPr>
        <w:t>]。根据《突发环境事件应急预案管理暂行办法》等相关法律法规的要求，环境应急顶案每三年至少修订一次，公司原突发环境事件应急顶案发布至今，已满三年，需进行修编。经回顾性评估，结合公司现状，比较第（1）版应急预案报告内容，本次修编主要内容详见下表。</w:t>
      </w:r>
    </w:p>
    <w:p>
      <w:pPr>
        <w:pStyle w:val="68"/>
        <w:spacing w:line="240" w:lineRule="auto"/>
        <w:ind w:firstLine="422"/>
        <w:rPr>
          <w:rFonts w:hAnsi="Times New Roman" w:eastAsia="宋体"/>
          <w:color w:val="auto"/>
        </w:rPr>
      </w:pPr>
      <w:r>
        <w:rPr>
          <w:rFonts w:hint="eastAsia" w:hAnsi="Times New Roman" w:eastAsia="宋体"/>
          <w:color w:val="auto"/>
        </w:rPr>
        <w:t>表1  应急预案修编内容汇总表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45"/>
        <w:gridCol w:w="2700"/>
        <w:gridCol w:w="2382"/>
        <w:gridCol w:w="29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93" w:type="dxa"/>
            <w:tcBorders>
              <w:top w:val="single" w:color="auto" w:sz="12" w:space="0"/>
              <w:bottom w:val="single" w:color="auto" w:sz="12" w:space="0"/>
            </w:tcBorders>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内容</w:t>
            </w:r>
          </w:p>
        </w:tc>
        <w:tc>
          <w:tcPr>
            <w:tcW w:w="2410" w:type="dxa"/>
            <w:tcBorders>
              <w:top w:val="single" w:color="auto" w:sz="12" w:space="0"/>
              <w:bottom w:val="single" w:color="auto" w:sz="12" w:space="0"/>
            </w:tcBorders>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2</w:t>
            </w:r>
            <w:r>
              <w:rPr>
                <w:rFonts w:ascii="Times New Roman" w:hAnsi="Times New Roman" w:eastAsia="宋体" w:cs="Times New Roman"/>
                <w:color w:val="auto"/>
                <w:kern w:val="2"/>
                <w:sz w:val="21"/>
                <w:szCs w:val="21"/>
              </w:rPr>
              <w:t>019年第（1）版</w:t>
            </w:r>
          </w:p>
        </w:tc>
        <w:tc>
          <w:tcPr>
            <w:tcW w:w="2126" w:type="dxa"/>
            <w:tcBorders>
              <w:top w:val="single" w:color="auto" w:sz="12" w:space="0"/>
              <w:bottom w:val="single" w:color="auto" w:sz="12" w:space="0"/>
            </w:tcBorders>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2023年第（2）版</w:t>
            </w:r>
          </w:p>
        </w:tc>
        <w:tc>
          <w:tcPr>
            <w:tcW w:w="2658" w:type="dxa"/>
            <w:tcBorders>
              <w:top w:val="single" w:color="auto" w:sz="12" w:space="0"/>
              <w:bottom w:val="single" w:color="auto" w:sz="12" w:space="0"/>
            </w:tcBorders>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修编说明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Borders>
              <w:top w:val="single" w:color="auto" w:sz="12" w:space="0"/>
            </w:tcBorders>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建设项目</w:t>
            </w:r>
          </w:p>
        </w:tc>
        <w:tc>
          <w:tcPr>
            <w:tcW w:w="2410" w:type="dxa"/>
            <w:tcBorders>
              <w:top w:val="single" w:color="auto" w:sz="12" w:space="0"/>
            </w:tcBorders>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一期项目：7000 吨水刺无纺布项目；</w:t>
            </w:r>
          </w:p>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二期项目：16000 吨水刺无纺布项目；</w:t>
            </w:r>
          </w:p>
        </w:tc>
        <w:tc>
          <w:tcPr>
            <w:tcW w:w="2126" w:type="dxa"/>
            <w:tcBorders>
              <w:top w:val="single" w:color="auto" w:sz="12" w:space="0"/>
            </w:tcBorders>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一期项目：7000 吨水刺无纺布项目；</w:t>
            </w:r>
          </w:p>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二期项目：16000 吨水刺无纺布项目；</w:t>
            </w:r>
          </w:p>
        </w:tc>
        <w:tc>
          <w:tcPr>
            <w:tcW w:w="2658" w:type="dxa"/>
            <w:tcBorders>
              <w:top w:val="single" w:color="auto" w:sz="12" w:space="0"/>
            </w:tcBorders>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 xml:space="preserve">无变化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涉及环境风险物资</w:t>
            </w:r>
          </w:p>
        </w:tc>
        <w:tc>
          <w:tcPr>
            <w:tcW w:w="2410"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油类物质的最大暂存量为6t；次氯酸钙的最大暂存量为1t； LNG站</w:t>
            </w:r>
          </w:p>
        </w:tc>
        <w:tc>
          <w:tcPr>
            <w:tcW w:w="2126"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 xml:space="preserve">油类物质的最大暂存量为6t；次氯酸钙的最大暂存量为1t； </w:t>
            </w:r>
          </w:p>
        </w:tc>
        <w:tc>
          <w:tcPr>
            <w:tcW w:w="2658"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天然气供应改为湖北龙兴厂区内LNG站供应，不再纳入本厂区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企业突发环境事件风险等级</w:t>
            </w:r>
          </w:p>
        </w:tc>
        <w:tc>
          <w:tcPr>
            <w:tcW w:w="2410"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一般[一般-大气Q</w:t>
            </w:r>
            <w:r>
              <w:rPr>
                <w:rFonts w:hint="eastAsia" w:ascii="Times New Roman" w:hAnsi="Times New Roman" w:eastAsia="宋体" w:cs="Times New Roman"/>
                <w:color w:val="auto"/>
                <w:kern w:val="2"/>
                <w:sz w:val="21"/>
                <w:szCs w:val="21"/>
                <w:vertAlign w:val="subscript"/>
              </w:rPr>
              <w:t>0</w:t>
            </w:r>
            <w:r>
              <w:rPr>
                <w:rFonts w:hint="eastAsia" w:ascii="Times New Roman" w:hAnsi="Times New Roman" w:eastAsia="宋体" w:cs="Times New Roman"/>
                <w:color w:val="auto"/>
                <w:kern w:val="2"/>
                <w:sz w:val="21"/>
                <w:szCs w:val="21"/>
              </w:rPr>
              <w:t>+一般-大气Q</w:t>
            </w:r>
            <w:r>
              <w:rPr>
                <w:rFonts w:hint="eastAsia" w:ascii="Times New Roman" w:hAnsi="Times New Roman" w:eastAsia="宋体" w:cs="Times New Roman"/>
                <w:color w:val="auto"/>
                <w:kern w:val="2"/>
                <w:sz w:val="21"/>
                <w:szCs w:val="21"/>
                <w:vertAlign w:val="subscript"/>
              </w:rPr>
              <w:t>0</w:t>
            </w:r>
            <w:r>
              <w:rPr>
                <w:rFonts w:hint="eastAsia" w:ascii="Times New Roman" w:hAnsi="Times New Roman" w:eastAsia="宋体" w:cs="Times New Roman"/>
                <w:color w:val="auto"/>
                <w:kern w:val="2"/>
                <w:sz w:val="21"/>
                <w:szCs w:val="21"/>
              </w:rPr>
              <w:t>]</w:t>
            </w:r>
          </w:p>
        </w:tc>
        <w:tc>
          <w:tcPr>
            <w:tcW w:w="2126"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一般[一般-大气Q</w:t>
            </w:r>
            <w:r>
              <w:rPr>
                <w:rFonts w:hint="eastAsia" w:ascii="Times New Roman" w:hAnsi="Times New Roman" w:eastAsia="宋体" w:cs="Times New Roman"/>
                <w:color w:val="auto"/>
                <w:kern w:val="2"/>
                <w:sz w:val="21"/>
                <w:szCs w:val="21"/>
                <w:vertAlign w:val="subscript"/>
              </w:rPr>
              <w:t>0</w:t>
            </w:r>
            <w:r>
              <w:rPr>
                <w:rFonts w:hint="eastAsia" w:ascii="Times New Roman" w:hAnsi="Times New Roman" w:eastAsia="宋体" w:cs="Times New Roman"/>
                <w:color w:val="auto"/>
                <w:kern w:val="2"/>
                <w:sz w:val="21"/>
                <w:szCs w:val="21"/>
              </w:rPr>
              <w:t>+一般-大气Q</w:t>
            </w:r>
            <w:r>
              <w:rPr>
                <w:rFonts w:hint="eastAsia" w:ascii="Times New Roman" w:hAnsi="Times New Roman" w:eastAsia="宋体" w:cs="Times New Roman"/>
                <w:color w:val="auto"/>
                <w:kern w:val="2"/>
                <w:sz w:val="21"/>
                <w:szCs w:val="21"/>
                <w:vertAlign w:val="subscript"/>
              </w:rPr>
              <w:t>0</w:t>
            </w:r>
            <w:r>
              <w:rPr>
                <w:rFonts w:hint="eastAsia" w:ascii="Times New Roman" w:hAnsi="Times New Roman" w:eastAsia="宋体" w:cs="Times New Roman"/>
                <w:color w:val="auto"/>
                <w:kern w:val="2"/>
                <w:sz w:val="21"/>
                <w:szCs w:val="21"/>
              </w:rPr>
              <w:t>]</w:t>
            </w:r>
          </w:p>
        </w:tc>
        <w:tc>
          <w:tcPr>
            <w:tcW w:w="2658"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重新计算Q值，仍为Q</w:t>
            </w:r>
            <w:r>
              <w:rPr>
                <w:rFonts w:hint="eastAsia" w:ascii="Times New Roman" w:hAnsi="Times New Roman" w:eastAsia="宋体" w:cs="Times New Roman"/>
                <w:color w:val="auto"/>
                <w:kern w:val="2"/>
                <w:sz w:val="21"/>
                <w:szCs w:val="21"/>
                <w:vertAlign w:val="subscript"/>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应急救援指挥组成员和应急专业组成员</w:t>
            </w:r>
          </w:p>
        </w:tc>
        <w:tc>
          <w:tcPr>
            <w:tcW w:w="2410"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未设置替岗</w:t>
            </w:r>
          </w:p>
        </w:tc>
        <w:tc>
          <w:tcPr>
            <w:tcW w:w="2126"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优化调整组织机构，设置替岗制度</w:t>
            </w:r>
          </w:p>
        </w:tc>
        <w:tc>
          <w:tcPr>
            <w:tcW w:w="2658"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优化调整组织机构，设置替岗制度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应急资源</w:t>
            </w:r>
          </w:p>
        </w:tc>
        <w:tc>
          <w:tcPr>
            <w:tcW w:w="2410"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个人防护、医疗物资、警戒设施、通讯物资、消防器材</w:t>
            </w:r>
          </w:p>
        </w:tc>
        <w:tc>
          <w:tcPr>
            <w:tcW w:w="2126"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个人防护、医疗物资、警戒设施、通讯物资、消防器材</w:t>
            </w:r>
          </w:p>
        </w:tc>
        <w:tc>
          <w:tcPr>
            <w:tcW w:w="2658"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重新调查与更新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应急监测方案</w:t>
            </w:r>
          </w:p>
        </w:tc>
        <w:tc>
          <w:tcPr>
            <w:tcW w:w="2410"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应急监测点位的布设、采样频次、应急监测项目</w:t>
            </w:r>
          </w:p>
        </w:tc>
        <w:tc>
          <w:tcPr>
            <w:tcW w:w="2126"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应急监测点位的布设、采样频次的确定、跟踪监测、应急监测项目、应急监测采样及分析、监测人员的安全防护措施</w:t>
            </w:r>
          </w:p>
        </w:tc>
        <w:tc>
          <w:tcPr>
            <w:tcW w:w="2658"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细化了应急监测方案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专项应急处置预案</w:t>
            </w:r>
          </w:p>
        </w:tc>
        <w:tc>
          <w:tcPr>
            <w:tcW w:w="2410"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无</w:t>
            </w:r>
          </w:p>
        </w:tc>
        <w:tc>
          <w:tcPr>
            <w:tcW w:w="2126"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补充了火灾专项应急处置预案</w:t>
            </w:r>
          </w:p>
        </w:tc>
        <w:tc>
          <w:tcPr>
            <w:tcW w:w="2658" w:type="dxa"/>
            <w:shd w:val="clear" w:color="auto" w:fill="auto"/>
            <w:vAlign w:val="center"/>
          </w:tcPr>
          <w:p>
            <w:pPr>
              <w:pStyle w:val="2"/>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补充了火灾专项应急处置预案</w:t>
            </w:r>
          </w:p>
        </w:tc>
      </w:tr>
    </w:tbl>
    <w:p>
      <w:pPr>
        <w:pStyle w:val="3"/>
        <w:ind w:firstLine="360"/>
      </w:pPr>
    </w:p>
    <w:p>
      <w:pPr>
        <w:pStyle w:val="2"/>
        <w:snapToGrid w:val="0"/>
        <w:spacing w:line="360" w:lineRule="auto"/>
        <w:ind w:firstLine="480" w:firstLineChars="200"/>
        <w:rPr>
          <w:rFonts w:ascii="Times New Roman" w:hAnsi="Times New Roman" w:eastAsia="宋体" w:cs="Times New Roman"/>
          <w:color w:val="auto"/>
        </w:rPr>
      </w:pPr>
    </w:p>
    <w:p>
      <w:pPr>
        <w:autoSpaceDE w:val="0"/>
        <w:autoSpaceDN w:val="0"/>
        <w:adjustRightInd w:val="0"/>
        <w:ind w:firstLine="0" w:firstLineChars="0"/>
        <w:jc w:val="left"/>
        <w:rPr>
          <w:rFonts w:ascii="Times New Roman" w:hAnsi="Times New Roman" w:eastAsia="宋体" w:cs="Times New Roman"/>
          <w:kern w:val="0"/>
        </w:rPr>
      </w:pPr>
    </w:p>
    <w:p>
      <w:pPr>
        <w:pStyle w:val="2"/>
        <w:spacing w:line="360" w:lineRule="auto"/>
        <w:rPr>
          <w:rFonts w:ascii="Times New Roman" w:hAnsi="Times New Roman" w:eastAsia="宋体" w:cs="Times New Roman"/>
          <w:color w:val="auto"/>
        </w:rPr>
      </w:pPr>
    </w:p>
    <w:p>
      <w:pPr>
        <w:ind w:right="1260" w:firstLine="480"/>
        <w:jc w:val="left"/>
        <w:rPr>
          <w:rFonts w:ascii="Times New Roman" w:hAnsi="Times New Roman" w:eastAsia="宋体" w:cs="Times New Roman"/>
        </w:rPr>
      </w:pPr>
      <w:r>
        <w:rPr>
          <w:rFonts w:ascii="Times New Roman" w:hAnsi="Times New Roman" w:eastAsia="宋体" w:cs="Times New Roman"/>
        </w:rPr>
        <w:br w:type="page"/>
      </w:r>
    </w:p>
    <w:p>
      <w:pPr>
        <w:ind w:right="1260" w:firstLine="883"/>
        <w:jc w:val="center"/>
        <w:rPr>
          <w:rFonts w:ascii="Times New Roman" w:hAnsi="Times New Roman" w:eastAsia="宋体" w:cs="Times New Roman"/>
          <w:b/>
          <w:bCs/>
          <w:sz w:val="44"/>
          <w:szCs w:val="44"/>
        </w:rPr>
      </w:pPr>
      <w:r>
        <w:rPr>
          <w:rFonts w:ascii="Times New Roman" w:hAnsi="Times New Roman" w:eastAsia="宋体" w:cs="Times New Roman"/>
          <w:b/>
          <w:bCs/>
          <w:sz w:val="44"/>
          <w:szCs w:val="44"/>
        </w:rPr>
        <w:t>目 录</w:t>
      </w:r>
    </w:p>
    <w:p>
      <w:pPr>
        <w:pStyle w:val="26"/>
        <w:tabs>
          <w:tab w:val="right" w:leader="dot" w:pos="10180"/>
        </w:tabs>
        <w:ind w:firstLine="562"/>
        <w:rPr>
          <w:rFonts w:cstheme="minorBidi"/>
          <w:b w:val="0"/>
          <w:bCs w:val="0"/>
          <w:i w:val="0"/>
          <w:iCs w:val="0"/>
          <w:sz w:val="21"/>
          <w:szCs w:val="22"/>
        </w:rPr>
      </w:pPr>
      <w:r>
        <w:rPr>
          <w:rFonts w:ascii="Times New Roman" w:hAnsi="Times New Roman" w:eastAsia="宋体" w:cs="Times New Roman"/>
          <w:i w:val="0"/>
          <w:iCs w:val="0"/>
          <w:sz w:val="28"/>
          <w:szCs w:val="28"/>
        </w:rPr>
        <w:fldChar w:fldCharType="begin"/>
      </w:r>
      <w:r>
        <w:rPr>
          <w:rFonts w:ascii="Times New Roman" w:hAnsi="Times New Roman" w:eastAsia="宋体" w:cs="Times New Roman"/>
          <w:i w:val="0"/>
          <w:iCs w:val="0"/>
          <w:sz w:val="28"/>
          <w:szCs w:val="28"/>
        </w:rPr>
        <w:instrText xml:space="preserve">TOC \o "1-4" \f \h \u </w:instrText>
      </w:r>
      <w:r>
        <w:rPr>
          <w:rFonts w:ascii="Times New Roman" w:hAnsi="Times New Roman" w:eastAsia="宋体" w:cs="Times New Roman"/>
          <w:i w:val="0"/>
          <w:iCs w:val="0"/>
          <w:sz w:val="28"/>
          <w:szCs w:val="28"/>
        </w:rPr>
        <w:fldChar w:fldCharType="separate"/>
      </w:r>
      <w:r>
        <w:fldChar w:fldCharType="begin"/>
      </w:r>
      <w:r>
        <w:instrText xml:space="preserve"> HYPERLINK \l "_Toc132468731" </w:instrText>
      </w:r>
      <w:r>
        <w:fldChar w:fldCharType="separate"/>
      </w:r>
      <w:r>
        <w:rPr>
          <w:rStyle w:val="41"/>
          <w:rFonts w:ascii="Times New Roman" w:hAnsi="Times New Roman" w:eastAsia="宋体" w:cs="Times New Roman"/>
        </w:rPr>
        <w:t>1</w:t>
      </w:r>
      <w:r>
        <w:rPr>
          <w:rStyle w:val="41"/>
          <w:rFonts w:hint="eastAsia" w:ascii="Times New Roman" w:hAnsi="Times New Roman" w:eastAsia="宋体" w:cs="Times New Roman"/>
        </w:rPr>
        <w:t>总则</w:t>
      </w:r>
      <w:r>
        <w:tab/>
      </w:r>
      <w:r>
        <w:fldChar w:fldCharType="begin"/>
      </w:r>
      <w:r>
        <w:instrText xml:space="preserve"> PAGEREF _Toc132468731 \h </w:instrText>
      </w:r>
      <w:r>
        <w:fldChar w:fldCharType="separate"/>
      </w:r>
      <w:r>
        <w:t>- 1 -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"_Toc132468732" </w:instrText>
      </w:r>
      <w:r>
        <w:fldChar w:fldCharType="separate"/>
      </w:r>
      <w:r>
        <w:rPr>
          <w:rStyle w:val="41"/>
          <w:rFonts w:ascii="Times New Roman" w:hAnsi="Times New Roman" w:eastAsia="宋体" w:cs="Times New Roman"/>
        </w:rPr>
        <w:t>1.1</w:t>
      </w:r>
      <w:r>
        <w:rPr>
          <w:rStyle w:val="41"/>
          <w:rFonts w:hint="eastAsia" w:ascii="Times New Roman" w:hAnsi="Times New Roman" w:eastAsia="宋体" w:cs="Times New Roman"/>
        </w:rPr>
        <w:t>编制目的</w:t>
      </w:r>
      <w:r>
        <w:tab/>
      </w:r>
      <w:r>
        <w:fldChar w:fldCharType="begin"/>
      </w:r>
      <w:r>
        <w:instrText xml:space="preserve"> PAGEREF _Toc132468732 \h </w:instrText>
      </w:r>
      <w:r>
        <w:fldChar w:fldCharType="separate"/>
      </w:r>
      <w:r>
        <w:t>- 1 -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"_Toc132468733" </w:instrText>
      </w:r>
      <w:r>
        <w:fldChar w:fldCharType="separate"/>
      </w:r>
      <w:r>
        <w:rPr>
          <w:rStyle w:val="41"/>
          <w:rFonts w:ascii="Times New Roman" w:hAnsi="Times New Roman" w:eastAsia="宋体" w:cs="Times New Roman"/>
        </w:rPr>
        <w:t>1.2</w:t>
      </w:r>
      <w:r>
        <w:rPr>
          <w:rStyle w:val="41"/>
          <w:rFonts w:hint="eastAsia" w:ascii="Times New Roman" w:hAnsi="Times New Roman" w:eastAsia="宋体" w:cs="Times New Roman"/>
        </w:rPr>
        <w:t>编制依据</w:t>
      </w:r>
      <w:r>
        <w:tab/>
      </w:r>
      <w:r>
        <w:fldChar w:fldCharType="begin"/>
      </w:r>
      <w:r>
        <w:instrText xml:space="preserve"> PAGEREF _Toc132468733 \h </w:instrText>
      </w:r>
      <w:r>
        <w:fldChar w:fldCharType="separate"/>
      </w:r>
      <w:r>
        <w:t>- 1 -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"_Toc132468734" </w:instrText>
      </w:r>
      <w:r>
        <w:fldChar w:fldCharType="separate"/>
      </w:r>
      <w:r>
        <w:rPr>
          <w:rStyle w:val="41"/>
          <w:rFonts w:eastAsia="宋体" w:cs="Times New Roman"/>
        </w:rPr>
        <w:t>1.2.1</w:t>
      </w:r>
      <w:r>
        <w:rPr>
          <w:rStyle w:val="41"/>
          <w:rFonts w:hint="eastAsia" w:eastAsia="宋体" w:cs="Times New Roman"/>
        </w:rPr>
        <w:t>法律法规</w:t>
      </w:r>
      <w:r>
        <w:tab/>
      </w:r>
      <w:r>
        <w:fldChar w:fldCharType="begin"/>
      </w:r>
      <w:r>
        <w:instrText xml:space="preserve"> PAGEREF _Toc132468734 \h </w:instrText>
      </w:r>
      <w:r>
        <w:fldChar w:fldCharType="separate"/>
      </w:r>
      <w:r>
        <w:t>- 1 -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"_Toc132468735" </w:instrText>
      </w:r>
      <w:r>
        <w:fldChar w:fldCharType="separate"/>
      </w:r>
      <w:r>
        <w:rPr>
          <w:rStyle w:val="41"/>
          <w:rFonts w:eastAsia="宋体" w:cs="Times New Roman"/>
        </w:rPr>
        <w:t>1.2.2</w:t>
      </w:r>
      <w:r>
        <w:rPr>
          <w:rStyle w:val="41"/>
          <w:rFonts w:hint="eastAsia" w:eastAsia="宋体" w:cs="Times New Roman"/>
        </w:rPr>
        <w:t>导则、标准、技术规范</w:t>
      </w:r>
      <w:r>
        <w:tab/>
      </w:r>
      <w:r>
        <w:fldChar w:fldCharType="begin"/>
      </w:r>
      <w:r>
        <w:instrText xml:space="preserve"> PAGEREF _Toc132468735 \h </w:instrText>
      </w:r>
      <w:r>
        <w:fldChar w:fldCharType="separate"/>
      </w:r>
      <w:r>
        <w:t>- 2 -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"_Toc132468736" </w:instrText>
      </w:r>
      <w:r>
        <w:fldChar w:fldCharType="separate"/>
      </w:r>
      <w:r>
        <w:rPr>
          <w:rStyle w:val="41"/>
          <w:rFonts w:eastAsia="宋体" w:cs="Times New Roman"/>
        </w:rPr>
        <w:t>1.2.3</w:t>
      </w:r>
      <w:r>
        <w:rPr>
          <w:rStyle w:val="41"/>
          <w:rFonts w:hint="eastAsia" w:eastAsia="宋体" w:cs="Times New Roman"/>
        </w:rPr>
        <w:t>项目相关技术资料</w:t>
      </w:r>
      <w:r>
        <w:tab/>
      </w:r>
      <w:r>
        <w:fldChar w:fldCharType="begin"/>
      </w:r>
      <w:r>
        <w:instrText xml:space="preserve"> PAGEREF _Toc132468736 \h </w:instrText>
      </w:r>
      <w:r>
        <w:fldChar w:fldCharType="separate"/>
      </w:r>
      <w:r>
        <w:t>- 3 -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"_Toc132468737" </w:instrText>
      </w:r>
      <w:r>
        <w:fldChar w:fldCharType="separate"/>
      </w:r>
      <w:r>
        <w:rPr>
          <w:rStyle w:val="41"/>
          <w:rFonts w:ascii="Times New Roman" w:hAnsi="Times New Roman" w:eastAsia="宋体" w:cs="Times New Roman"/>
        </w:rPr>
        <w:t>1.3</w:t>
      </w:r>
      <w:r>
        <w:rPr>
          <w:rStyle w:val="41"/>
          <w:rFonts w:hint="eastAsia" w:ascii="Times New Roman" w:hAnsi="Times New Roman" w:eastAsia="宋体" w:cs="Times New Roman"/>
        </w:rPr>
        <w:t>适用范围</w:t>
      </w:r>
      <w:r>
        <w:tab/>
      </w:r>
      <w:r>
        <w:fldChar w:fldCharType="begin"/>
      </w:r>
      <w:r>
        <w:instrText xml:space="preserve"> PAGEREF _Toc132468737 \h </w:instrText>
      </w:r>
      <w:r>
        <w:fldChar w:fldCharType="separate"/>
      </w:r>
      <w:r>
        <w:t>- 3 -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"_Toc132468738" </w:instrText>
      </w:r>
      <w:r>
        <w:fldChar w:fldCharType="separate"/>
      </w:r>
      <w:r>
        <w:rPr>
          <w:rStyle w:val="41"/>
          <w:rFonts w:ascii="Times New Roman" w:hAnsi="Times New Roman" w:eastAsia="宋体" w:cs="Times New Roman"/>
        </w:rPr>
        <w:t>1.4</w:t>
      </w:r>
      <w:r>
        <w:rPr>
          <w:rStyle w:val="41"/>
          <w:rFonts w:hint="eastAsia" w:ascii="Times New Roman" w:hAnsi="Times New Roman" w:eastAsia="宋体" w:cs="Times New Roman"/>
        </w:rPr>
        <w:t>事件分级</w:t>
      </w:r>
      <w:r>
        <w:tab/>
      </w:r>
      <w:r>
        <w:fldChar w:fldCharType="begin"/>
      </w:r>
      <w:r>
        <w:instrText xml:space="preserve"> PAGEREF _Toc132468738 \h </w:instrText>
      </w:r>
      <w:r>
        <w:fldChar w:fldCharType="separate"/>
      </w:r>
      <w:r>
        <w:t>- 4 -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"_Toc132468739" </w:instrText>
      </w:r>
      <w:r>
        <w:fldChar w:fldCharType="separate"/>
      </w:r>
      <w:r>
        <w:rPr>
          <w:rStyle w:val="41"/>
          <w:rFonts w:eastAsia="宋体" w:cs="Times New Roman"/>
        </w:rPr>
        <w:t>1.4.1</w:t>
      </w:r>
      <w:r>
        <w:rPr>
          <w:rStyle w:val="41"/>
          <w:rFonts w:hint="eastAsia" w:eastAsia="宋体" w:cs="Times New Roman"/>
        </w:rPr>
        <w:t>标准分级</w:t>
      </w:r>
      <w:r>
        <w:tab/>
      </w:r>
      <w:r>
        <w:fldChar w:fldCharType="begin"/>
      </w:r>
      <w:r>
        <w:instrText xml:space="preserve"> PAGEREF _Toc132468739 \h </w:instrText>
      </w:r>
      <w:r>
        <w:fldChar w:fldCharType="separate"/>
      </w:r>
      <w:r>
        <w:t>- 4 -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"_Toc132468740" </w:instrText>
      </w:r>
      <w:r>
        <w:fldChar w:fldCharType="separate"/>
      </w:r>
      <w:r>
        <w:rPr>
          <w:rStyle w:val="41"/>
          <w:rFonts w:eastAsia="宋体" w:cs="Times New Roman"/>
        </w:rPr>
        <w:t>1.4.2</w:t>
      </w:r>
      <w:r>
        <w:rPr>
          <w:rStyle w:val="41"/>
          <w:rFonts w:hint="eastAsia" w:eastAsia="宋体" w:cs="Times New Roman"/>
        </w:rPr>
        <w:t>本企业突发环境事件等级确定</w:t>
      </w:r>
      <w:r>
        <w:tab/>
      </w:r>
      <w:r>
        <w:fldChar w:fldCharType="begin"/>
      </w:r>
      <w:r>
        <w:instrText xml:space="preserve"> PAGEREF _Toc132468740 \h </w:instrText>
      </w:r>
      <w:r>
        <w:fldChar w:fldCharType="separate"/>
      </w:r>
      <w:r>
        <w:t>- 4 -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"_Toc132468741" </w:instrText>
      </w:r>
      <w:r>
        <w:fldChar w:fldCharType="separate"/>
      </w:r>
      <w:r>
        <w:rPr>
          <w:rStyle w:val="41"/>
          <w:rFonts w:ascii="Times New Roman" w:hAnsi="Times New Roman" w:eastAsia="宋体" w:cs="Times New Roman"/>
        </w:rPr>
        <w:t>1.5</w:t>
      </w:r>
      <w:r>
        <w:rPr>
          <w:rStyle w:val="41"/>
          <w:rFonts w:hint="eastAsia" w:ascii="Times New Roman" w:hAnsi="Times New Roman" w:eastAsia="宋体" w:cs="Times New Roman"/>
        </w:rPr>
        <w:t>应急预案体系关系</w:t>
      </w:r>
      <w:r>
        <w:tab/>
      </w:r>
      <w:r>
        <w:fldChar w:fldCharType="begin"/>
      </w:r>
      <w:r>
        <w:instrText xml:space="preserve"> PAGEREF _Toc132468741 \h </w:instrText>
      </w:r>
      <w:r>
        <w:fldChar w:fldCharType="separate"/>
      </w:r>
      <w:r>
        <w:t>- 5 -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"_Toc132468742" </w:instrText>
      </w:r>
      <w:r>
        <w:fldChar w:fldCharType="separate"/>
      </w:r>
      <w:r>
        <w:rPr>
          <w:rStyle w:val="41"/>
          <w:rFonts w:eastAsia="宋体" w:cs="Times New Roman"/>
        </w:rPr>
        <w:t>1.5.1</w:t>
      </w:r>
      <w:r>
        <w:rPr>
          <w:rStyle w:val="41"/>
          <w:rFonts w:hint="eastAsia" w:eastAsia="宋体" w:cs="Times New Roman"/>
        </w:rPr>
        <w:t>应急预案组成</w:t>
      </w:r>
      <w:r>
        <w:tab/>
      </w:r>
      <w:r>
        <w:fldChar w:fldCharType="begin"/>
      </w:r>
      <w:r>
        <w:instrText xml:space="preserve"> PAGEREF _Toc132468742 \h </w:instrText>
      </w:r>
      <w:r>
        <w:fldChar w:fldCharType="separate"/>
      </w:r>
      <w:r>
        <w:t>- 5 -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"_Toc132468743" </w:instrText>
      </w:r>
      <w:r>
        <w:fldChar w:fldCharType="separate"/>
      </w:r>
      <w:r>
        <w:rPr>
          <w:rStyle w:val="41"/>
          <w:rFonts w:eastAsia="宋体" w:cs="Times New Roman"/>
        </w:rPr>
        <w:t>1.5.2</w:t>
      </w:r>
      <w:r>
        <w:rPr>
          <w:rStyle w:val="41"/>
          <w:rFonts w:hint="eastAsia" w:eastAsia="宋体" w:cs="Times New Roman"/>
        </w:rPr>
        <w:t>应急预案体系衔接</w:t>
      </w:r>
      <w:r>
        <w:tab/>
      </w:r>
      <w:r>
        <w:fldChar w:fldCharType="begin"/>
      </w:r>
      <w:r>
        <w:instrText xml:space="preserve"> PAGEREF _Toc132468743 \h </w:instrText>
      </w:r>
      <w:r>
        <w:fldChar w:fldCharType="separate"/>
      </w:r>
      <w:r>
        <w:t>- 6 -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"_Toc132468744" </w:instrText>
      </w:r>
      <w:r>
        <w:fldChar w:fldCharType="separate"/>
      </w:r>
      <w:r>
        <w:rPr>
          <w:rStyle w:val="41"/>
          <w:rFonts w:ascii="Times New Roman" w:hAnsi="Times New Roman" w:eastAsia="宋体" w:cs="Times New Roman"/>
        </w:rPr>
        <w:t>1.6</w:t>
      </w:r>
      <w:r>
        <w:rPr>
          <w:rStyle w:val="41"/>
          <w:rFonts w:hint="eastAsia" w:ascii="Times New Roman" w:hAnsi="Times New Roman" w:eastAsia="宋体" w:cs="Times New Roman"/>
        </w:rPr>
        <w:t>应急处置原则</w:t>
      </w:r>
      <w:r>
        <w:tab/>
      </w:r>
      <w:r>
        <w:fldChar w:fldCharType="begin"/>
      </w:r>
      <w:r>
        <w:instrText xml:space="preserve"> PAGEREF _Toc132468744 \h </w:instrText>
      </w:r>
      <w:r>
        <w:fldChar w:fldCharType="separate"/>
      </w:r>
      <w:r>
        <w:t>- 8 -</w:t>
      </w:r>
      <w:r>
        <w:fldChar w:fldCharType="end"/>
      </w:r>
      <w:r>
        <w:fldChar w:fldCharType="end"/>
      </w:r>
    </w:p>
    <w:p>
      <w:pPr>
        <w:pStyle w:val="26"/>
        <w:tabs>
          <w:tab w:val="right" w:leader="dot" w:pos="10180"/>
        </w:tabs>
        <w:ind w:firstLine="482"/>
        <w:rPr>
          <w:rFonts w:cstheme="minorBidi"/>
          <w:b w:val="0"/>
          <w:bCs w:val="0"/>
          <w:i w:val="0"/>
          <w:iCs w:val="0"/>
          <w:sz w:val="21"/>
          <w:szCs w:val="22"/>
        </w:rPr>
      </w:pPr>
      <w:r>
        <w:fldChar w:fldCharType="begin"/>
      </w:r>
      <w:r>
        <w:instrText xml:space="preserve"> HYPERLINK \l "_Toc132468745" </w:instrText>
      </w:r>
      <w:r>
        <w:fldChar w:fldCharType="separate"/>
      </w:r>
      <w:r>
        <w:rPr>
          <w:rStyle w:val="41"/>
          <w:rFonts w:ascii="Times New Roman" w:hAnsi="Times New Roman" w:eastAsia="宋体" w:cs="Times New Roman"/>
        </w:rPr>
        <w:t>2</w:t>
      </w:r>
      <w:r>
        <w:rPr>
          <w:rStyle w:val="41"/>
          <w:rFonts w:hint="eastAsia" w:ascii="Times New Roman" w:hAnsi="Times New Roman" w:eastAsia="宋体" w:cs="Times New Roman"/>
        </w:rPr>
        <w:t>公司基本情况</w:t>
      </w:r>
      <w:r>
        <w:tab/>
      </w:r>
      <w:r>
        <w:fldChar w:fldCharType="begin"/>
      </w:r>
      <w:r>
        <w:instrText xml:space="preserve"> PAGEREF _Toc132468745 \h </w:instrText>
      </w:r>
      <w:r>
        <w:fldChar w:fldCharType="separate"/>
      </w:r>
      <w:r>
        <w:t>- 9 -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"_Toc132468746" </w:instrText>
      </w:r>
      <w:r>
        <w:fldChar w:fldCharType="separate"/>
      </w:r>
      <w:r>
        <w:rPr>
          <w:rStyle w:val="41"/>
          <w:rFonts w:ascii="Times New Roman" w:hAnsi="Times New Roman" w:eastAsia="宋体" w:cs="Times New Roman"/>
        </w:rPr>
        <w:t>2.1</w:t>
      </w:r>
      <w:r>
        <w:rPr>
          <w:rStyle w:val="41"/>
          <w:rFonts w:hint="eastAsia" w:ascii="Times New Roman" w:hAnsi="Times New Roman" w:eastAsia="宋体" w:cs="Times New Roman"/>
        </w:rPr>
        <w:t>企业基本信息</w:t>
      </w:r>
      <w:r>
        <w:tab/>
      </w:r>
      <w:r>
        <w:fldChar w:fldCharType="begin"/>
      </w:r>
      <w:r>
        <w:instrText xml:space="preserve"> PAGEREF _Toc132468746 \h </w:instrText>
      </w:r>
      <w:r>
        <w:fldChar w:fldCharType="separate"/>
      </w:r>
      <w:r>
        <w:t>- 9 -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"_Toc132468747" </w:instrText>
      </w:r>
      <w:r>
        <w:fldChar w:fldCharType="separate"/>
      </w:r>
      <w:r>
        <w:rPr>
          <w:rStyle w:val="41"/>
          <w:rFonts w:ascii="Times New Roman" w:hAnsi="Times New Roman" w:eastAsia="宋体" w:cs="Times New Roman"/>
        </w:rPr>
        <w:t>2.2</w:t>
      </w:r>
      <w:r>
        <w:rPr>
          <w:rStyle w:val="41"/>
          <w:rFonts w:hint="eastAsia" w:ascii="Times New Roman" w:hAnsi="Times New Roman" w:eastAsia="宋体" w:cs="Times New Roman"/>
        </w:rPr>
        <w:t>企业所处地理位置及自然环境</w:t>
      </w:r>
      <w:r>
        <w:tab/>
      </w:r>
      <w:r>
        <w:fldChar w:fldCharType="begin"/>
      </w:r>
      <w:r>
        <w:instrText xml:space="preserve"> PAGEREF _Toc132468747 \h </w:instrText>
      </w:r>
      <w:r>
        <w:fldChar w:fldCharType="separate"/>
      </w:r>
      <w:r>
        <w:t>- 9 -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"_Toc132468748" </w:instrText>
      </w:r>
      <w:r>
        <w:fldChar w:fldCharType="separate"/>
      </w:r>
      <w:r>
        <w:rPr>
          <w:rStyle w:val="41"/>
          <w:rFonts w:eastAsia="宋体" w:cs="Times New Roman"/>
        </w:rPr>
        <w:t>2.2.1</w:t>
      </w:r>
      <w:r>
        <w:rPr>
          <w:rStyle w:val="41"/>
          <w:rFonts w:hint="eastAsia" w:eastAsia="宋体" w:cs="Times New Roman"/>
        </w:rPr>
        <w:t>区域地理位置</w:t>
      </w:r>
      <w:r>
        <w:tab/>
      </w:r>
      <w:r>
        <w:fldChar w:fldCharType="begin"/>
      </w:r>
      <w:r>
        <w:instrText xml:space="preserve"> PAGEREF _Toc132468748 \h </w:instrText>
      </w:r>
      <w:r>
        <w:fldChar w:fldCharType="separate"/>
      </w:r>
      <w:r>
        <w:t>- 9 -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"_Toc132468749" </w:instrText>
      </w:r>
      <w:r>
        <w:fldChar w:fldCharType="separate"/>
      </w:r>
      <w:r>
        <w:rPr>
          <w:rStyle w:val="41"/>
          <w:rFonts w:eastAsia="宋体" w:cs="Times New Roman"/>
        </w:rPr>
        <w:t>2.2.2</w:t>
      </w:r>
      <w:r>
        <w:rPr>
          <w:rStyle w:val="41"/>
          <w:rFonts w:hint="eastAsia" w:eastAsia="宋体" w:cs="Times New Roman"/>
        </w:rPr>
        <w:t>气候气象</w:t>
      </w:r>
      <w:r>
        <w:tab/>
      </w:r>
      <w:r>
        <w:fldChar w:fldCharType="begin"/>
      </w:r>
      <w:r>
        <w:instrText xml:space="preserve"> PAGEREF _Toc132468749 \h </w:instrText>
      </w:r>
      <w:r>
        <w:fldChar w:fldCharType="separate"/>
      </w:r>
      <w:r>
        <w:t>- 10 -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"_Toc132468750" </w:instrText>
      </w:r>
      <w:r>
        <w:fldChar w:fldCharType="separate"/>
      </w:r>
      <w:r>
        <w:rPr>
          <w:rStyle w:val="41"/>
          <w:rFonts w:eastAsia="宋体" w:cs="Times New Roman"/>
        </w:rPr>
        <w:t xml:space="preserve">2.2.3 </w:t>
      </w:r>
      <w:r>
        <w:rPr>
          <w:rStyle w:val="41"/>
          <w:rFonts w:hint="eastAsia" w:eastAsia="宋体" w:cs="Times New Roman"/>
        </w:rPr>
        <w:t>水文水系</w:t>
      </w:r>
      <w:r>
        <w:tab/>
      </w:r>
      <w:r>
        <w:fldChar w:fldCharType="begin"/>
      </w:r>
      <w:r>
        <w:instrText xml:space="preserve"> PAGEREF _Toc132468750 \h </w:instrText>
      </w:r>
      <w:r>
        <w:fldChar w:fldCharType="separate"/>
      </w:r>
      <w:r>
        <w:t>- 10 -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"_Toc132468751" </w:instrText>
      </w:r>
      <w:r>
        <w:fldChar w:fldCharType="separate"/>
      </w:r>
      <w:r>
        <w:rPr>
          <w:rStyle w:val="41"/>
          <w:rFonts w:eastAsia="宋体" w:cs="Times New Roman"/>
        </w:rPr>
        <w:t xml:space="preserve">2.2.4 </w:t>
      </w:r>
      <w:r>
        <w:rPr>
          <w:rStyle w:val="41"/>
          <w:rFonts w:hint="eastAsia" w:eastAsia="宋体" w:cs="Times New Roman"/>
        </w:rPr>
        <w:t>地形、地貌、地质</w:t>
      </w:r>
      <w:r>
        <w:tab/>
      </w:r>
      <w:r>
        <w:fldChar w:fldCharType="begin"/>
      </w:r>
      <w:r>
        <w:instrText xml:space="preserve"> PAGEREF _Toc132468751 \h </w:instrText>
      </w:r>
      <w:r>
        <w:fldChar w:fldCharType="separate"/>
      </w:r>
      <w:r>
        <w:t>- 11 -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"_Toc132468752" </w:instrText>
      </w:r>
      <w:r>
        <w:fldChar w:fldCharType="separate"/>
      </w:r>
      <w:r>
        <w:rPr>
          <w:rStyle w:val="41"/>
          <w:rFonts w:eastAsia="宋体" w:cs="Times New Roman"/>
        </w:rPr>
        <w:t xml:space="preserve">2.2.5 </w:t>
      </w:r>
      <w:r>
        <w:rPr>
          <w:rStyle w:val="41"/>
          <w:rFonts w:hint="eastAsia" w:eastAsia="宋体" w:cs="Times New Roman"/>
        </w:rPr>
        <w:t>地震烈感</w:t>
      </w:r>
      <w:r>
        <w:tab/>
      </w:r>
      <w:r>
        <w:fldChar w:fldCharType="begin"/>
      </w:r>
      <w:r>
        <w:instrText xml:space="preserve"> PAGEREF _Toc132468752 \h </w:instrText>
      </w:r>
      <w:r>
        <w:fldChar w:fldCharType="separate"/>
      </w:r>
      <w:r>
        <w:t>- 12 -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"_Toc132468753" </w:instrText>
      </w:r>
      <w:r>
        <w:fldChar w:fldCharType="separate"/>
      </w:r>
      <w:r>
        <w:rPr>
          <w:rStyle w:val="41"/>
          <w:rFonts w:eastAsia="宋体" w:cs="Times New Roman"/>
        </w:rPr>
        <w:t xml:space="preserve">2.2.6 </w:t>
      </w:r>
      <w:r>
        <w:rPr>
          <w:rStyle w:val="41"/>
          <w:rFonts w:hint="eastAsia" w:eastAsia="宋体" w:cs="Times New Roman"/>
        </w:rPr>
        <w:t>历史上曾经发生过的极端天气情况和自然灾害情况</w:t>
      </w:r>
      <w:r>
        <w:tab/>
      </w:r>
      <w:r>
        <w:fldChar w:fldCharType="begin"/>
      </w:r>
      <w:r>
        <w:instrText xml:space="preserve"> PAGEREF _Toc132468753 \h </w:instrText>
      </w:r>
      <w:r>
        <w:fldChar w:fldCharType="separate"/>
      </w:r>
      <w:r>
        <w:t>- 12 -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"_Toc132468754" </w:instrText>
      </w:r>
      <w:r>
        <w:fldChar w:fldCharType="separate"/>
      </w:r>
      <w:r>
        <w:rPr>
          <w:rStyle w:val="41"/>
          <w:rFonts w:ascii="Times New Roman" w:hAnsi="Times New Roman" w:eastAsia="宋体" w:cs="Times New Roman"/>
        </w:rPr>
        <w:t>2.3</w:t>
      </w:r>
      <w:r>
        <w:rPr>
          <w:rStyle w:val="41"/>
          <w:rFonts w:hint="eastAsia" w:ascii="Times New Roman" w:hAnsi="Times New Roman" w:eastAsia="宋体" w:cs="Times New Roman"/>
        </w:rPr>
        <w:t>厂区建设内容及工艺流程</w:t>
      </w:r>
      <w:r>
        <w:tab/>
      </w:r>
      <w:r>
        <w:fldChar w:fldCharType="begin"/>
      </w:r>
      <w:r>
        <w:instrText xml:space="preserve"> PAGEREF _Toc132468754 \h </w:instrText>
      </w:r>
      <w:r>
        <w:fldChar w:fldCharType="separate"/>
      </w:r>
      <w:r>
        <w:t>- 13 -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"_Toc132468755" </w:instrText>
      </w:r>
      <w:r>
        <w:fldChar w:fldCharType="separate"/>
      </w:r>
      <w:r>
        <w:rPr>
          <w:rStyle w:val="41"/>
          <w:rFonts w:eastAsia="宋体" w:cs="Times New Roman"/>
        </w:rPr>
        <w:t>2.3.1</w:t>
      </w:r>
      <w:r>
        <w:rPr>
          <w:rStyle w:val="41"/>
          <w:rFonts w:hint="eastAsia" w:eastAsia="宋体" w:cs="Times New Roman"/>
        </w:rPr>
        <w:t>场地现状及周边关系</w:t>
      </w:r>
      <w:r>
        <w:tab/>
      </w:r>
      <w:r>
        <w:fldChar w:fldCharType="begin"/>
      </w:r>
      <w:r>
        <w:instrText xml:space="preserve"> PAGEREF _Toc132468755 \h </w:instrText>
      </w:r>
      <w:r>
        <w:fldChar w:fldCharType="separate"/>
      </w:r>
      <w:r>
        <w:t>- 13 -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"_Toc132468756" </w:instrText>
      </w:r>
      <w:r>
        <w:fldChar w:fldCharType="separate"/>
      </w:r>
      <w:r>
        <w:rPr>
          <w:rStyle w:val="41"/>
          <w:rFonts w:eastAsia="宋体" w:cs="Times New Roman"/>
        </w:rPr>
        <w:t>2.3.2</w:t>
      </w:r>
      <w:r>
        <w:rPr>
          <w:rStyle w:val="41"/>
          <w:rFonts w:hint="eastAsia" w:eastAsia="宋体" w:cs="Times New Roman"/>
        </w:rPr>
        <w:t>厂区建设内容</w:t>
      </w:r>
      <w:r>
        <w:tab/>
      </w:r>
      <w:r>
        <w:fldChar w:fldCharType="begin"/>
      </w:r>
      <w:r>
        <w:instrText xml:space="preserve"> PAGEREF _Toc132468756 \h </w:instrText>
      </w:r>
      <w:r>
        <w:fldChar w:fldCharType="separate"/>
      </w:r>
      <w:r>
        <w:t>- 13 -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"_Toc132468757" </w:instrText>
      </w:r>
      <w:r>
        <w:fldChar w:fldCharType="separate"/>
      </w:r>
      <w:r>
        <w:rPr>
          <w:rStyle w:val="41"/>
          <w:rFonts w:eastAsia="宋体" w:cs="Times New Roman"/>
        </w:rPr>
        <w:t>2.3.3</w:t>
      </w:r>
      <w:r>
        <w:rPr>
          <w:rStyle w:val="41"/>
          <w:rFonts w:hint="eastAsia" w:eastAsia="宋体" w:cs="Times New Roman"/>
        </w:rPr>
        <w:t>生产工艺流程</w:t>
      </w:r>
      <w:r>
        <w:tab/>
      </w:r>
      <w:r>
        <w:fldChar w:fldCharType="begin"/>
      </w:r>
      <w:r>
        <w:instrText xml:space="preserve"> PAGEREF _Toc132468757 \h </w:instrText>
      </w:r>
      <w:r>
        <w:fldChar w:fldCharType="separate"/>
      </w:r>
      <w:r>
        <w:t>- 16 -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"_Toc132468758" </w:instrText>
      </w:r>
      <w:r>
        <w:fldChar w:fldCharType="separate"/>
      </w:r>
      <w:r>
        <w:rPr>
          <w:rStyle w:val="41"/>
          <w:rFonts w:eastAsia="宋体" w:cs="Times New Roman"/>
        </w:rPr>
        <w:t>2.3.4</w:t>
      </w:r>
      <w:r>
        <w:rPr>
          <w:rStyle w:val="41"/>
          <w:rFonts w:hint="eastAsia" w:eastAsia="宋体" w:cs="Times New Roman"/>
        </w:rPr>
        <w:t>产污节点汇总</w:t>
      </w:r>
      <w:r>
        <w:tab/>
      </w:r>
      <w:r>
        <w:fldChar w:fldCharType="begin"/>
      </w:r>
      <w:r>
        <w:instrText xml:space="preserve"> PAGEREF _Toc132468758 \h </w:instrText>
      </w:r>
      <w:r>
        <w:fldChar w:fldCharType="separate"/>
      </w:r>
      <w:r>
        <w:t>- 17 -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"_Toc132468759" </w:instrText>
      </w:r>
      <w:r>
        <w:fldChar w:fldCharType="separate"/>
      </w:r>
      <w:r>
        <w:rPr>
          <w:rStyle w:val="41"/>
          <w:rFonts w:eastAsia="宋体" w:cs="Times New Roman"/>
        </w:rPr>
        <w:t>2.3.5</w:t>
      </w:r>
      <w:r>
        <w:rPr>
          <w:rStyle w:val="41"/>
          <w:rFonts w:hint="eastAsia" w:eastAsia="宋体" w:cs="Times New Roman"/>
        </w:rPr>
        <w:t>储运流程</w:t>
      </w:r>
      <w:r>
        <w:tab/>
      </w:r>
      <w:r>
        <w:fldChar w:fldCharType="begin"/>
      </w:r>
      <w:r>
        <w:instrText xml:space="preserve"> PAGEREF _Toc132468759 \h </w:instrText>
      </w:r>
      <w:r>
        <w:fldChar w:fldCharType="separate"/>
      </w:r>
      <w:r>
        <w:t>- 17 -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"_Toc132468762" </w:instrText>
      </w:r>
      <w:r>
        <w:fldChar w:fldCharType="separate"/>
      </w:r>
      <w:r>
        <w:rPr>
          <w:rStyle w:val="41"/>
          <w:rFonts w:ascii="Times New Roman" w:hAnsi="Times New Roman" w:eastAsia="宋体" w:cs="Times New Roman"/>
        </w:rPr>
        <w:t>2.4</w:t>
      </w:r>
      <w:r>
        <w:rPr>
          <w:rStyle w:val="41"/>
          <w:rFonts w:hint="eastAsia" w:ascii="Times New Roman" w:hAnsi="Times New Roman" w:eastAsia="宋体" w:cs="Times New Roman"/>
        </w:rPr>
        <w:t>污染物产排及治理情况</w:t>
      </w:r>
      <w:r>
        <w:tab/>
      </w:r>
      <w:r>
        <w:fldChar w:fldCharType="begin"/>
      </w:r>
      <w:r>
        <w:instrText xml:space="preserve"> PAGEREF _Toc132468762 \h </w:instrText>
      </w:r>
      <w:r>
        <w:fldChar w:fldCharType="separate"/>
      </w:r>
      <w:r>
        <w:t>- 18 -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"_Toc132468763" </w:instrText>
      </w:r>
      <w:r>
        <w:fldChar w:fldCharType="separate"/>
      </w:r>
      <w:r>
        <w:rPr>
          <w:rStyle w:val="41"/>
          <w:rFonts w:eastAsia="宋体" w:cs="Times New Roman"/>
        </w:rPr>
        <w:t>2.4.1</w:t>
      </w:r>
      <w:r>
        <w:rPr>
          <w:rStyle w:val="41"/>
          <w:rFonts w:hint="eastAsia" w:eastAsia="宋体" w:cs="Times New Roman"/>
        </w:rPr>
        <w:t>废气</w:t>
      </w:r>
      <w:r>
        <w:tab/>
      </w:r>
      <w:r>
        <w:fldChar w:fldCharType="begin"/>
      </w:r>
      <w:r>
        <w:instrText xml:space="preserve"> PAGEREF _Toc132468763 \h </w:instrText>
      </w:r>
      <w:r>
        <w:fldChar w:fldCharType="separate"/>
      </w:r>
      <w:r>
        <w:t>- 18 -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"_Toc132468764" </w:instrText>
      </w:r>
      <w:r>
        <w:fldChar w:fldCharType="separate"/>
      </w:r>
      <w:r>
        <w:rPr>
          <w:rStyle w:val="41"/>
          <w:rFonts w:eastAsia="宋体" w:cs="Times New Roman"/>
        </w:rPr>
        <w:t>2.4.3</w:t>
      </w:r>
      <w:r>
        <w:rPr>
          <w:rStyle w:val="41"/>
          <w:rFonts w:hint="eastAsia" w:eastAsia="宋体" w:cs="Times New Roman"/>
        </w:rPr>
        <w:t>噪声</w:t>
      </w:r>
      <w:r>
        <w:tab/>
      </w:r>
      <w:r>
        <w:fldChar w:fldCharType="begin"/>
      </w:r>
      <w:r>
        <w:instrText xml:space="preserve"> PAGEREF _Toc132468764 \h </w:instrText>
      </w:r>
      <w:r>
        <w:fldChar w:fldCharType="separate"/>
      </w:r>
      <w:r>
        <w:t>- 18 -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"_Toc132468765" </w:instrText>
      </w:r>
      <w:r>
        <w:fldChar w:fldCharType="separate"/>
      </w:r>
      <w:r>
        <w:rPr>
          <w:rStyle w:val="41"/>
          <w:rFonts w:eastAsia="宋体" w:cs="Times New Roman"/>
        </w:rPr>
        <w:t>2.4.4</w:t>
      </w:r>
      <w:r>
        <w:rPr>
          <w:rStyle w:val="41"/>
          <w:rFonts w:hint="eastAsia" w:eastAsia="宋体" w:cs="Times New Roman"/>
        </w:rPr>
        <w:t>固体废物</w:t>
      </w:r>
      <w:r>
        <w:tab/>
      </w:r>
      <w:r>
        <w:fldChar w:fldCharType="begin"/>
      </w:r>
      <w:r>
        <w:instrText xml:space="preserve"> PAGEREF _Toc132468765 \h </w:instrText>
      </w:r>
      <w:r>
        <w:fldChar w:fldCharType="separate"/>
      </w:r>
      <w:r>
        <w:t>- 19 -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"_Toc132468766" </w:instrText>
      </w:r>
      <w:r>
        <w:fldChar w:fldCharType="separate"/>
      </w:r>
      <w:r>
        <w:rPr>
          <w:rStyle w:val="41"/>
          <w:rFonts w:ascii="Times New Roman" w:hAnsi="Times New Roman" w:eastAsia="宋体" w:cs="Times New Roman"/>
        </w:rPr>
        <w:t>2.5</w:t>
      </w:r>
      <w:r>
        <w:rPr>
          <w:rStyle w:val="41"/>
          <w:rFonts w:hint="eastAsia" w:ascii="Times New Roman" w:hAnsi="Times New Roman" w:eastAsia="宋体" w:cs="Times New Roman"/>
        </w:rPr>
        <w:t>环境保护目标及功能划分</w:t>
      </w:r>
      <w:r>
        <w:tab/>
      </w:r>
      <w:r>
        <w:fldChar w:fldCharType="begin"/>
      </w:r>
      <w:r>
        <w:instrText xml:space="preserve"> PAGEREF _Toc132468766 \h </w:instrText>
      </w:r>
      <w:r>
        <w:fldChar w:fldCharType="separate"/>
      </w:r>
      <w:r>
        <w:t>- 19 -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"_Toc132468767" </w:instrText>
      </w:r>
      <w:r>
        <w:fldChar w:fldCharType="separate"/>
      </w:r>
      <w:r>
        <w:rPr>
          <w:rStyle w:val="41"/>
          <w:rFonts w:eastAsia="宋体" w:cs="Times New Roman"/>
        </w:rPr>
        <w:t>2.5.1</w:t>
      </w:r>
      <w:r>
        <w:rPr>
          <w:rStyle w:val="41"/>
          <w:rFonts w:hint="eastAsia" w:eastAsia="宋体" w:cs="Times New Roman"/>
        </w:rPr>
        <w:t>环境保护目标</w:t>
      </w:r>
      <w:r>
        <w:tab/>
      </w:r>
      <w:r>
        <w:fldChar w:fldCharType="begin"/>
      </w:r>
      <w:r>
        <w:instrText xml:space="preserve"> PAGEREF _Toc132468767 \h </w:instrText>
      </w:r>
      <w:r>
        <w:fldChar w:fldCharType="separate"/>
      </w:r>
      <w:r>
        <w:t>- 19 -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"_Toc132468768" </w:instrText>
      </w:r>
      <w:r>
        <w:fldChar w:fldCharType="separate"/>
      </w:r>
      <w:r>
        <w:rPr>
          <w:rStyle w:val="41"/>
          <w:rFonts w:eastAsia="宋体" w:cs="Times New Roman"/>
        </w:rPr>
        <w:t>2.5.2</w:t>
      </w:r>
      <w:r>
        <w:rPr>
          <w:rStyle w:val="41"/>
          <w:rFonts w:hint="eastAsia" w:eastAsia="宋体" w:cs="Times New Roman"/>
        </w:rPr>
        <w:t>环境功能区划</w:t>
      </w:r>
      <w:r>
        <w:tab/>
      </w:r>
      <w:r>
        <w:fldChar w:fldCharType="begin"/>
      </w:r>
      <w:r>
        <w:instrText xml:space="preserve"> PAGEREF _Toc132468768 \h </w:instrText>
      </w:r>
      <w:r>
        <w:fldChar w:fldCharType="separate"/>
      </w:r>
      <w:r>
        <w:t>- 19 -</w:t>
      </w:r>
      <w:r>
        <w:fldChar w:fldCharType="end"/>
      </w:r>
      <w:r>
        <w:fldChar w:fldCharType="end"/>
      </w:r>
    </w:p>
    <w:p>
      <w:pPr>
        <w:pStyle w:val="26"/>
        <w:tabs>
          <w:tab w:val="right" w:leader="dot" w:pos="10180"/>
        </w:tabs>
        <w:ind w:firstLine="482"/>
        <w:rPr>
          <w:rFonts w:cstheme="minorBidi"/>
          <w:b w:val="0"/>
          <w:bCs w:val="0"/>
          <w:i w:val="0"/>
          <w:iCs w:val="0"/>
          <w:sz w:val="21"/>
          <w:szCs w:val="22"/>
        </w:rPr>
      </w:pPr>
      <w:r>
        <w:fldChar w:fldCharType="begin"/>
      </w:r>
      <w:r>
        <w:instrText xml:space="preserve"> HYPERLINK \l "_Toc132468769" </w:instrText>
      </w:r>
      <w:r>
        <w:fldChar w:fldCharType="separate"/>
      </w:r>
      <w:r>
        <w:rPr>
          <w:rStyle w:val="41"/>
          <w:rFonts w:ascii="Times New Roman" w:hAnsi="Times New Roman" w:eastAsia="宋体" w:cs="Times New Roman"/>
        </w:rPr>
        <w:t>3</w:t>
      </w:r>
      <w:r>
        <w:rPr>
          <w:rStyle w:val="41"/>
          <w:rFonts w:hint="eastAsia" w:ascii="Times New Roman" w:hAnsi="Times New Roman" w:eastAsia="宋体" w:cs="Times New Roman"/>
        </w:rPr>
        <w:t>环境危险源</w:t>
      </w:r>
      <w:r>
        <w:tab/>
      </w:r>
      <w:r>
        <w:fldChar w:fldCharType="begin"/>
      </w:r>
      <w:r>
        <w:instrText xml:space="preserve"> PAGEREF _Toc132468769 \h </w:instrText>
      </w:r>
      <w:r>
        <w:fldChar w:fldCharType="separate"/>
      </w:r>
      <w:r>
        <w:t>- 21 -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"_Toc132468770" </w:instrText>
      </w:r>
      <w:r>
        <w:fldChar w:fldCharType="separate"/>
      </w:r>
      <w:r>
        <w:rPr>
          <w:rStyle w:val="41"/>
          <w:rFonts w:ascii="Times New Roman" w:hAnsi="Times New Roman" w:eastAsia="宋体" w:cs="Times New Roman"/>
        </w:rPr>
        <w:t xml:space="preserve">3.1 </w:t>
      </w:r>
      <w:r>
        <w:rPr>
          <w:rStyle w:val="41"/>
          <w:rFonts w:hint="eastAsia" w:ascii="Times New Roman" w:hAnsi="Times New Roman" w:eastAsia="宋体" w:cs="Times New Roman"/>
        </w:rPr>
        <w:t>环境风险源</w:t>
      </w:r>
      <w:r>
        <w:tab/>
      </w:r>
      <w:r>
        <w:fldChar w:fldCharType="begin"/>
      </w:r>
      <w:r>
        <w:instrText xml:space="preserve"> PAGEREF _Toc132468770 \h </w:instrText>
      </w:r>
      <w:r>
        <w:fldChar w:fldCharType="separate"/>
      </w:r>
      <w:r>
        <w:t>- 21 -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"_Toc132468771" </w:instrText>
      </w:r>
      <w:r>
        <w:fldChar w:fldCharType="separate"/>
      </w:r>
      <w:r>
        <w:rPr>
          <w:rStyle w:val="41"/>
          <w:rFonts w:ascii="Times New Roman" w:hAnsi="Times New Roman" w:eastAsia="宋体" w:cs="Times New Roman"/>
        </w:rPr>
        <w:t xml:space="preserve">3.2 </w:t>
      </w:r>
      <w:r>
        <w:rPr>
          <w:rStyle w:val="41"/>
          <w:rFonts w:hint="eastAsia" w:ascii="Times New Roman" w:hAnsi="Times New Roman" w:eastAsia="宋体" w:cs="Times New Roman"/>
        </w:rPr>
        <w:t>环境风险评估结论</w:t>
      </w:r>
      <w:r>
        <w:tab/>
      </w:r>
      <w:r>
        <w:fldChar w:fldCharType="begin"/>
      </w:r>
      <w:r>
        <w:instrText xml:space="preserve"> PAGEREF _Toc132468771 \h </w:instrText>
      </w:r>
      <w:r>
        <w:fldChar w:fldCharType="separate"/>
      </w:r>
      <w:r>
        <w:t>- 22 -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"_Toc132468772" </w:instrText>
      </w:r>
      <w:r>
        <w:fldChar w:fldCharType="separate"/>
      </w:r>
      <w:r>
        <w:rPr>
          <w:rStyle w:val="41"/>
          <w:rFonts w:eastAsia="宋体" w:cs="Times New Roman"/>
        </w:rPr>
        <w:t>3.2.1</w:t>
      </w:r>
      <w:r>
        <w:rPr>
          <w:rStyle w:val="41"/>
          <w:rFonts w:hint="eastAsia" w:eastAsia="宋体" w:cs="Times New Roman"/>
        </w:rPr>
        <w:t>环境风险等级</w:t>
      </w:r>
      <w:r>
        <w:tab/>
      </w:r>
      <w:r>
        <w:fldChar w:fldCharType="begin"/>
      </w:r>
      <w:r>
        <w:instrText xml:space="preserve"> PAGEREF _Toc132468772 \h </w:instrText>
      </w:r>
      <w:r>
        <w:fldChar w:fldCharType="separate"/>
      </w:r>
      <w:r>
        <w:t>- 22 -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"_Toc132468773" </w:instrText>
      </w:r>
      <w:r>
        <w:fldChar w:fldCharType="separate"/>
      </w:r>
      <w:r>
        <w:rPr>
          <w:rStyle w:val="41"/>
          <w:rFonts w:eastAsia="宋体" w:cs="Times New Roman"/>
        </w:rPr>
        <w:t>3.2.2</w:t>
      </w:r>
      <w:r>
        <w:rPr>
          <w:rStyle w:val="41"/>
          <w:rFonts w:hint="eastAsia" w:eastAsia="宋体" w:cs="Times New Roman"/>
        </w:rPr>
        <w:t>可能发生的突发环境事件情景及危害后果</w:t>
      </w:r>
      <w:r>
        <w:tab/>
      </w:r>
      <w:r>
        <w:fldChar w:fldCharType="begin"/>
      </w:r>
      <w:r>
        <w:instrText xml:space="preserve"> PAGEREF _Toc132468773 \h </w:instrText>
      </w:r>
      <w:r>
        <w:fldChar w:fldCharType="separate"/>
      </w:r>
      <w:r>
        <w:t>- 22 -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"_Toc132468774" </w:instrText>
      </w:r>
      <w:r>
        <w:fldChar w:fldCharType="separate"/>
      </w:r>
      <w:r>
        <w:rPr>
          <w:rStyle w:val="41"/>
          <w:rFonts w:ascii="Times New Roman" w:hAnsi="Times New Roman" w:eastAsia="宋体" w:cs="Times New Roman"/>
        </w:rPr>
        <w:t xml:space="preserve">3.3 </w:t>
      </w:r>
      <w:r>
        <w:rPr>
          <w:rStyle w:val="41"/>
          <w:rFonts w:hint="eastAsia" w:ascii="Times New Roman" w:hAnsi="Times New Roman" w:eastAsia="宋体" w:cs="Times New Roman"/>
        </w:rPr>
        <w:t>应急能力评估</w:t>
      </w:r>
      <w:r>
        <w:tab/>
      </w:r>
      <w:r>
        <w:fldChar w:fldCharType="begin"/>
      </w:r>
      <w:r>
        <w:instrText xml:space="preserve"> PAGEREF _Toc132468774 \h </w:instrText>
      </w:r>
      <w:r>
        <w:fldChar w:fldCharType="separate"/>
      </w:r>
      <w:r>
        <w:t>- 23 -</w:t>
      </w:r>
      <w:r>
        <w:fldChar w:fldCharType="end"/>
      </w:r>
      <w:r>
        <w:fldChar w:fldCharType="end"/>
      </w:r>
    </w:p>
    <w:p>
      <w:pPr>
        <w:pStyle w:val="26"/>
        <w:tabs>
          <w:tab w:val="right" w:leader="dot" w:pos="10180"/>
        </w:tabs>
        <w:ind w:firstLine="482"/>
        <w:rPr>
          <w:rFonts w:cstheme="minorBidi"/>
          <w:b w:val="0"/>
          <w:bCs w:val="0"/>
          <w:i w:val="0"/>
          <w:iCs w:val="0"/>
          <w:sz w:val="21"/>
          <w:szCs w:val="22"/>
        </w:rPr>
      </w:pPr>
      <w:r>
        <w:fldChar w:fldCharType="begin"/>
      </w:r>
      <w:r>
        <w:instrText xml:space="preserve"> HYPERLINK \l "_Toc132468775" </w:instrText>
      </w:r>
      <w:r>
        <w:fldChar w:fldCharType="separate"/>
      </w:r>
      <w:r>
        <w:rPr>
          <w:rStyle w:val="41"/>
          <w:rFonts w:ascii="Times New Roman" w:hAnsi="Times New Roman" w:eastAsia="宋体" w:cs="Times New Roman"/>
        </w:rPr>
        <w:t>4</w:t>
      </w:r>
      <w:r>
        <w:rPr>
          <w:rStyle w:val="41"/>
          <w:rFonts w:hint="eastAsia" w:ascii="Times New Roman" w:hAnsi="Times New Roman" w:eastAsia="宋体" w:cs="Times New Roman"/>
        </w:rPr>
        <w:t>应急组织体系</w:t>
      </w:r>
      <w:r>
        <w:tab/>
      </w:r>
      <w:r>
        <w:fldChar w:fldCharType="begin"/>
      </w:r>
      <w:r>
        <w:instrText xml:space="preserve"> PAGEREF _Toc132468775 \h </w:instrText>
      </w:r>
      <w:r>
        <w:fldChar w:fldCharType="separate"/>
      </w:r>
      <w:r>
        <w:t>- 24 -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"_Toc132468776" </w:instrText>
      </w:r>
      <w:r>
        <w:fldChar w:fldCharType="separate"/>
      </w:r>
      <w:r>
        <w:rPr>
          <w:rStyle w:val="41"/>
          <w:rFonts w:ascii="Times New Roman" w:hAnsi="Times New Roman" w:eastAsia="宋体" w:cs="Times New Roman"/>
        </w:rPr>
        <w:t>4.1</w:t>
      </w:r>
      <w:r>
        <w:rPr>
          <w:rStyle w:val="41"/>
          <w:rFonts w:hint="eastAsia" w:ascii="Times New Roman" w:hAnsi="Times New Roman" w:eastAsia="宋体" w:cs="Times New Roman"/>
        </w:rPr>
        <w:t>组织体系</w:t>
      </w:r>
      <w:r>
        <w:tab/>
      </w:r>
      <w:r>
        <w:fldChar w:fldCharType="begin"/>
      </w:r>
      <w:r>
        <w:instrText xml:space="preserve"> PAGEREF _Toc132468776 \h </w:instrText>
      </w:r>
      <w:r>
        <w:fldChar w:fldCharType="separate"/>
      </w:r>
      <w:r>
        <w:t>- 24 -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"_Toc132468777" </w:instrText>
      </w:r>
      <w:r>
        <w:fldChar w:fldCharType="separate"/>
      </w:r>
      <w:r>
        <w:rPr>
          <w:rStyle w:val="41"/>
          <w:rFonts w:ascii="Times New Roman" w:hAnsi="Times New Roman" w:eastAsia="宋体" w:cs="Times New Roman"/>
        </w:rPr>
        <w:t>4.2</w:t>
      </w:r>
      <w:r>
        <w:rPr>
          <w:rStyle w:val="41"/>
          <w:rFonts w:hint="eastAsia" w:ascii="Times New Roman" w:hAnsi="Times New Roman" w:eastAsia="宋体" w:cs="Times New Roman"/>
        </w:rPr>
        <w:t>指挥机构及职责</w:t>
      </w:r>
      <w:r>
        <w:tab/>
      </w:r>
      <w:r>
        <w:fldChar w:fldCharType="begin"/>
      </w:r>
      <w:r>
        <w:instrText xml:space="preserve"> PAGEREF _Toc132468777 \h </w:instrText>
      </w:r>
      <w:r>
        <w:fldChar w:fldCharType="separate"/>
      </w:r>
      <w:r>
        <w:t>- 25 -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"_Toc132468778" </w:instrText>
      </w:r>
      <w:r>
        <w:fldChar w:fldCharType="separate"/>
      </w:r>
      <w:r>
        <w:rPr>
          <w:rStyle w:val="41"/>
          <w:rFonts w:eastAsia="宋体" w:cs="Times New Roman"/>
        </w:rPr>
        <w:t>4.2.1</w:t>
      </w:r>
      <w:r>
        <w:rPr>
          <w:rStyle w:val="41"/>
          <w:rFonts w:hint="eastAsia" w:eastAsia="宋体" w:cs="Times New Roman"/>
        </w:rPr>
        <w:t>应急救援指挥部</w:t>
      </w:r>
      <w:r>
        <w:tab/>
      </w:r>
      <w:r>
        <w:fldChar w:fldCharType="begin"/>
      </w:r>
      <w:r>
        <w:instrText xml:space="preserve"> PAGEREF _Toc132468778 \h </w:instrText>
      </w:r>
      <w:r>
        <w:fldChar w:fldCharType="separate"/>
      </w:r>
      <w:r>
        <w:t>- 25 -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"_Toc132468779" </w:instrText>
      </w:r>
      <w:r>
        <w:fldChar w:fldCharType="separate"/>
      </w:r>
      <w:r>
        <w:rPr>
          <w:rStyle w:val="41"/>
          <w:rFonts w:eastAsia="宋体" w:cs="Times New Roman"/>
        </w:rPr>
        <w:t>4.2.2</w:t>
      </w:r>
      <w:r>
        <w:rPr>
          <w:rStyle w:val="41"/>
          <w:rFonts w:hint="eastAsia" w:eastAsia="宋体" w:cs="Times New Roman"/>
        </w:rPr>
        <w:t>应急救援指挥部职责</w:t>
      </w:r>
      <w:r>
        <w:tab/>
      </w:r>
      <w:r>
        <w:fldChar w:fldCharType="begin"/>
      </w:r>
      <w:r>
        <w:instrText xml:space="preserve"> PAGEREF _Toc132468779 \h </w:instrText>
      </w:r>
      <w:r>
        <w:fldChar w:fldCharType="separate"/>
      </w:r>
      <w:r>
        <w:t>- 25 -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"_Toc132468780" </w:instrText>
      </w:r>
      <w:r>
        <w:fldChar w:fldCharType="separate"/>
      </w:r>
      <w:r>
        <w:rPr>
          <w:rStyle w:val="41"/>
          <w:rFonts w:eastAsia="宋体" w:cs="Times New Roman"/>
        </w:rPr>
        <w:t>4.2.3</w:t>
      </w:r>
      <w:r>
        <w:rPr>
          <w:rStyle w:val="41"/>
          <w:rFonts w:hint="eastAsia" w:eastAsia="宋体" w:cs="Times New Roman"/>
        </w:rPr>
        <w:t>应急救援指挥部成员职责</w:t>
      </w:r>
      <w:r>
        <w:tab/>
      </w:r>
      <w:r>
        <w:fldChar w:fldCharType="begin"/>
      </w:r>
      <w:r>
        <w:instrText xml:space="preserve"> PAGEREF _Toc132468780 \h </w:instrText>
      </w:r>
      <w:r>
        <w:fldChar w:fldCharType="separate"/>
      </w:r>
      <w:r>
        <w:t>- 26 -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"_Toc132468781" </w:instrText>
      </w:r>
      <w:r>
        <w:fldChar w:fldCharType="separate"/>
      </w:r>
      <w:r>
        <w:rPr>
          <w:rStyle w:val="41"/>
          <w:rFonts w:eastAsia="宋体" w:cs="Times New Roman"/>
        </w:rPr>
        <w:t>4.2.4</w:t>
      </w:r>
      <w:r>
        <w:rPr>
          <w:rStyle w:val="41"/>
          <w:rFonts w:hint="eastAsia" w:eastAsia="宋体" w:cs="Times New Roman"/>
        </w:rPr>
        <w:t>应急办公室</w:t>
      </w:r>
      <w:r>
        <w:tab/>
      </w:r>
      <w:r>
        <w:fldChar w:fldCharType="begin"/>
      </w:r>
      <w:r>
        <w:instrText xml:space="preserve"> PAGEREF _Toc132468781 \h </w:instrText>
      </w:r>
      <w:r>
        <w:fldChar w:fldCharType="separate"/>
      </w:r>
      <w:r>
        <w:t>- 26 -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"_Toc132468782" </w:instrText>
      </w:r>
      <w:r>
        <w:fldChar w:fldCharType="separate"/>
      </w:r>
      <w:r>
        <w:rPr>
          <w:rStyle w:val="41"/>
          <w:rFonts w:eastAsia="宋体" w:cs="Times New Roman"/>
        </w:rPr>
        <w:t xml:space="preserve">4.2.5 </w:t>
      </w:r>
      <w:r>
        <w:rPr>
          <w:rStyle w:val="41"/>
          <w:rFonts w:hint="eastAsia" w:eastAsia="宋体" w:cs="Times New Roman"/>
        </w:rPr>
        <w:t>应急工作组构成及职责</w:t>
      </w:r>
      <w:r>
        <w:tab/>
      </w:r>
      <w:r>
        <w:fldChar w:fldCharType="begin"/>
      </w:r>
      <w:r>
        <w:instrText xml:space="preserve"> PAGEREF _Toc132468782 \h </w:instrText>
      </w:r>
      <w:r>
        <w:fldChar w:fldCharType="separate"/>
      </w:r>
      <w:r>
        <w:t>- 27 -</w:t>
      </w:r>
      <w:r>
        <w:fldChar w:fldCharType="end"/>
      </w:r>
      <w:r>
        <w:fldChar w:fldCharType="end"/>
      </w:r>
    </w:p>
    <w:p>
      <w:pPr>
        <w:pStyle w:val="26"/>
        <w:tabs>
          <w:tab w:val="right" w:leader="dot" w:pos="10180"/>
        </w:tabs>
        <w:ind w:firstLine="482"/>
        <w:rPr>
          <w:rFonts w:cstheme="minorBidi"/>
          <w:b w:val="0"/>
          <w:bCs w:val="0"/>
          <w:i w:val="0"/>
          <w:iCs w:val="0"/>
          <w:sz w:val="21"/>
          <w:szCs w:val="22"/>
        </w:rPr>
      </w:pPr>
      <w:r>
        <w:fldChar w:fldCharType="begin"/>
      </w:r>
      <w:r>
        <w:instrText xml:space="preserve"> HYPERLINK \l "_Toc132468783" </w:instrText>
      </w:r>
      <w:r>
        <w:fldChar w:fldCharType="separate"/>
      </w:r>
      <w:r>
        <w:rPr>
          <w:rStyle w:val="41"/>
          <w:rFonts w:ascii="Times New Roman" w:hAnsi="Times New Roman" w:eastAsia="宋体" w:cs="Times New Roman"/>
        </w:rPr>
        <w:t>5</w:t>
      </w:r>
      <w:r>
        <w:rPr>
          <w:rStyle w:val="41"/>
          <w:rFonts w:hint="eastAsia" w:ascii="Times New Roman" w:hAnsi="Times New Roman" w:eastAsia="宋体" w:cs="Times New Roman"/>
        </w:rPr>
        <w:t>预防与预警机制</w:t>
      </w:r>
      <w:r>
        <w:tab/>
      </w:r>
      <w:r>
        <w:fldChar w:fldCharType="begin"/>
      </w:r>
      <w:r>
        <w:instrText xml:space="preserve"> PAGEREF _Toc132468783 \h </w:instrText>
      </w:r>
      <w:r>
        <w:fldChar w:fldCharType="separate"/>
      </w:r>
      <w:r>
        <w:t>- 29 -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"_Toc132468784" </w:instrText>
      </w:r>
      <w:r>
        <w:fldChar w:fldCharType="separate"/>
      </w:r>
      <w:r>
        <w:rPr>
          <w:rStyle w:val="41"/>
          <w:rFonts w:ascii="Times New Roman" w:hAnsi="Times New Roman" w:eastAsia="宋体" w:cs="Times New Roman"/>
        </w:rPr>
        <w:t xml:space="preserve">5.1 </w:t>
      </w:r>
      <w:r>
        <w:rPr>
          <w:rStyle w:val="41"/>
          <w:rFonts w:hint="eastAsia" w:ascii="Times New Roman" w:hAnsi="Times New Roman" w:eastAsia="宋体" w:cs="Times New Roman"/>
        </w:rPr>
        <w:t>预防</w:t>
      </w:r>
      <w:r>
        <w:tab/>
      </w:r>
      <w:r>
        <w:fldChar w:fldCharType="begin"/>
      </w:r>
      <w:r>
        <w:instrText xml:space="preserve"> PAGEREF _Toc132468784 \h </w:instrText>
      </w:r>
      <w:r>
        <w:fldChar w:fldCharType="separate"/>
      </w:r>
      <w:r>
        <w:t>- 29 -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"_Toc132468785" </w:instrText>
      </w:r>
      <w:r>
        <w:fldChar w:fldCharType="separate"/>
      </w:r>
      <w:r>
        <w:rPr>
          <w:rStyle w:val="41"/>
          <w:rFonts w:eastAsia="宋体" w:cs="Times New Roman"/>
        </w:rPr>
        <w:t>5.1.1</w:t>
      </w:r>
      <w:r>
        <w:rPr>
          <w:rStyle w:val="41"/>
          <w:rFonts w:hint="eastAsia" w:eastAsia="宋体" w:cs="Times New Roman"/>
        </w:rPr>
        <w:t>预防管理措施</w:t>
      </w:r>
      <w:r>
        <w:tab/>
      </w:r>
      <w:r>
        <w:fldChar w:fldCharType="begin"/>
      </w:r>
      <w:r>
        <w:instrText xml:space="preserve"> PAGEREF _Toc132468785 \h </w:instrText>
      </w:r>
      <w:r>
        <w:fldChar w:fldCharType="separate"/>
      </w:r>
      <w:r>
        <w:t>- 29 -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"_Toc132468786" </w:instrText>
      </w:r>
      <w:r>
        <w:fldChar w:fldCharType="separate"/>
      </w:r>
      <w:r>
        <w:rPr>
          <w:rStyle w:val="41"/>
          <w:rFonts w:eastAsia="宋体" w:cs="Times New Roman"/>
        </w:rPr>
        <w:t>5.1.2</w:t>
      </w:r>
      <w:r>
        <w:rPr>
          <w:rStyle w:val="41"/>
          <w:rFonts w:hint="eastAsia" w:eastAsia="宋体" w:cs="Times New Roman"/>
        </w:rPr>
        <w:t>环境风险预防改进措施</w:t>
      </w:r>
      <w:r>
        <w:tab/>
      </w:r>
      <w:r>
        <w:fldChar w:fldCharType="begin"/>
      </w:r>
      <w:r>
        <w:instrText xml:space="preserve"> PAGEREF _Toc132468786 \h </w:instrText>
      </w:r>
      <w:r>
        <w:fldChar w:fldCharType="separate"/>
      </w:r>
      <w:r>
        <w:t>- 30 -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"_Toc132468787" </w:instrText>
      </w:r>
      <w:r>
        <w:fldChar w:fldCharType="separate"/>
      </w:r>
      <w:r>
        <w:rPr>
          <w:rStyle w:val="41"/>
          <w:rFonts w:ascii="Times New Roman" w:hAnsi="Times New Roman" w:eastAsia="宋体" w:cs="Times New Roman"/>
        </w:rPr>
        <w:t>5.2</w:t>
      </w:r>
      <w:r>
        <w:rPr>
          <w:rStyle w:val="41"/>
          <w:rFonts w:hint="eastAsia" w:ascii="Times New Roman" w:hAnsi="Times New Roman" w:eastAsia="宋体" w:cs="Times New Roman"/>
        </w:rPr>
        <w:t>预警分级与准备</w:t>
      </w:r>
      <w:r>
        <w:tab/>
      </w:r>
      <w:r>
        <w:fldChar w:fldCharType="begin"/>
      </w:r>
      <w:r>
        <w:instrText xml:space="preserve"> PAGEREF _Toc132468787 \h </w:instrText>
      </w:r>
      <w:r>
        <w:fldChar w:fldCharType="separate"/>
      </w:r>
      <w:r>
        <w:t>- 30 -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"_Toc132468788" </w:instrText>
      </w:r>
      <w:r>
        <w:fldChar w:fldCharType="separate"/>
      </w:r>
      <w:r>
        <w:rPr>
          <w:rStyle w:val="41"/>
          <w:rFonts w:eastAsia="宋体" w:cs="Times New Roman"/>
        </w:rPr>
        <w:t>5.2.1</w:t>
      </w:r>
      <w:r>
        <w:rPr>
          <w:rStyle w:val="41"/>
          <w:rFonts w:hint="eastAsia" w:eastAsia="宋体" w:cs="Times New Roman"/>
        </w:rPr>
        <w:t>预警的条件</w:t>
      </w:r>
      <w:r>
        <w:tab/>
      </w:r>
      <w:r>
        <w:fldChar w:fldCharType="begin"/>
      </w:r>
      <w:r>
        <w:instrText xml:space="preserve"> PAGEREF _Toc132468788 \h </w:instrText>
      </w:r>
      <w:r>
        <w:fldChar w:fldCharType="separate"/>
      </w:r>
      <w:r>
        <w:t>- 30 -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"_Toc132468789" </w:instrText>
      </w:r>
      <w:r>
        <w:fldChar w:fldCharType="separate"/>
      </w:r>
      <w:r>
        <w:rPr>
          <w:rStyle w:val="41"/>
          <w:rFonts w:eastAsia="宋体" w:cs="Times New Roman"/>
        </w:rPr>
        <w:t>5.2.2</w:t>
      </w:r>
      <w:r>
        <w:rPr>
          <w:rStyle w:val="41"/>
          <w:rFonts w:hint="eastAsia" w:eastAsia="宋体" w:cs="Times New Roman"/>
        </w:rPr>
        <w:t>预警分级</w:t>
      </w:r>
      <w:r>
        <w:tab/>
      </w:r>
      <w:r>
        <w:fldChar w:fldCharType="begin"/>
      </w:r>
      <w:r>
        <w:instrText xml:space="preserve"> PAGEREF _Toc132468789 \h </w:instrText>
      </w:r>
      <w:r>
        <w:fldChar w:fldCharType="separate"/>
      </w:r>
      <w:r>
        <w:t>- 30 -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"_Toc132468790" </w:instrText>
      </w:r>
      <w:r>
        <w:fldChar w:fldCharType="separate"/>
      </w:r>
      <w:r>
        <w:rPr>
          <w:rStyle w:val="41"/>
          <w:rFonts w:eastAsia="宋体" w:cs="Times New Roman"/>
        </w:rPr>
        <w:t>5.2.3</w:t>
      </w:r>
      <w:r>
        <w:rPr>
          <w:rStyle w:val="41"/>
          <w:rFonts w:hint="eastAsia" w:eastAsia="宋体" w:cs="Times New Roman"/>
        </w:rPr>
        <w:t>预警方式</w:t>
      </w:r>
      <w:r>
        <w:tab/>
      </w:r>
      <w:r>
        <w:fldChar w:fldCharType="begin"/>
      </w:r>
      <w:r>
        <w:instrText xml:space="preserve"> PAGEREF _Toc132468790 \h </w:instrText>
      </w:r>
      <w:r>
        <w:fldChar w:fldCharType="separate"/>
      </w:r>
      <w:r>
        <w:t>- 31 -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"_Toc132468791" </w:instrText>
      </w:r>
      <w:r>
        <w:fldChar w:fldCharType="separate"/>
      </w:r>
      <w:r>
        <w:rPr>
          <w:rStyle w:val="41"/>
          <w:rFonts w:eastAsia="宋体" w:cs="Times New Roman"/>
        </w:rPr>
        <w:t>5.2.4</w:t>
      </w:r>
      <w:r>
        <w:rPr>
          <w:rStyle w:val="41"/>
          <w:rFonts w:hint="eastAsia" w:eastAsia="宋体" w:cs="Times New Roman"/>
        </w:rPr>
        <w:t>预警报告程序</w:t>
      </w:r>
      <w:r>
        <w:tab/>
      </w:r>
      <w:r>
        <w:fldChar w:fldCharType="begin"/>
      </w:r>
      <w:r>
        <w:instrText xml:space="preserve"> PAGEREF _Toc132468791 \h </w:instrText>
      </w:r>
      <w:r>
        <w:fldChar w:fldCharType="separate"/>
      </w:r>
      <w:r>
        <w:t>- 32 -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"_Toc132468792" </w:instrText>
      </w:r>
      <w:r>
        <w:fldChar w:fldCharType="separate"/>
      </w:r>
      <w:r>
        <w:rPr>
          <w:rStyle w:val="41"/>
          <w:rFonts w:ascii="Times New Roman" w:hAnsi="Times New Roman" w:eastAsia="宋体" w:cs="Times New Roman"/>
        </w:rPr>
        <w:t>5.3</w:t>
      </w:r>
      <w:r>
        <w:rPr>
          <w:rStyle w:val="41"/>
          <w:rFonts w:hint="eastAsia" w:ascii="Times New Roman" w:hAnsi="Times New Roman" w:eastAsia="宋体" w:cs="Times New Roman"/>
        </w:rPr>
        <w:t>预警发布与措施</w:t>
      </w:r>
      <w:r>
        <w:tab/>
      </w:r>
      <w:r>
        <w:fldChar w:fldCharType="begin"/>
      </w:r>
      <w:r>
        <w:instrText xml:space="preserve"> PAGEREF _Toc132468792 \h </w:instrText>
      </w:r>
      <w:r>
        <w:fldChar w:fldCharType="separate"/>
      </w:r>
      <w:r>
        <w:t>- 34 -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"_Toc132468793" </w:instrText>
      </w:r>
      <w:r>
        <w:fldChar w:fldCharType="separate"/>
      </w:r>
      <w:r>
        <w:rPr>
          <w:rStyle w:val="41"/>
          <w:rFonts w:eastAsia="宋体" w:cs="Times New Roman"/>
        </w:rPr>
        <w:t xml:space="preserve">5.3.1 </w:t>
      </w:r>
      <w:r>
        <w:rPr>
          <w:rStyle w:val="41"/>
          <w:rFonts w:hint="eastAsia" w:eastAsia="宋体" w:cs="Times New Roman"/>
        </w:rPr>
        <w:t>预警发布</w:t>
      </w:r>
      <w:r>
        <w:tab/>
      </w:r>
      <w:r>
        <w:fldChar w:fldCharType="begin"/>
      </w:r>
      <w:r>
        <w:instrText xml:space="preserve"> PAGEREF _Toc132468793 \h </w:instrText>
      </w:r>
      <w:r>
        <w:fldChar w:fldCharType="separate"/>
      </w:r>
      <w:r>
        <w:t>- 34 -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"_Toc132468794" </w:instrText>
      </w:r>
      <w:r>
        <w:fldChar w:fldCharType="separate"/>
      </w:r>
      <w:r>
        <w:rPr>
          <w:rStyle w:val="41"/>
          <w:rFonts w:eastAsia="宋体" w:cs="Times New Roman"/>
        </w:rPr>
        <w:t>5.3.2</w:t>
      </w:r>
      <w:r>
        <w:rPr>
          <w:rStyle w:val="41"/>
          <w:rFonts w:hint="eastAsia" w:eastAsia="宋体" w:cs="Times New Roman"/>
        </w:rPr>
        <w:t>预警措施</w:t>
      </w:r>
      <w:r>
        <w:tab/>
      </w:r>
      <w:r>
        <w:fldChar w:fldCharType="begin"/>
      </w:r>
      <w:r>
        <w:instrText xml:space="preserve"> PAGEREF _Toc132468794 \h </w:instrText>
      </w:r>
      <w:r>
        <w:fldChar w:fldCharType="separate"/>
      </w:r>
      <w:r>
        <w:t>- 34 -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"_Toc132468795" </w:instrText>
      </w:r>
      <w:r>
        <w:fldChar w:fldCharType="separate"/>
      </w:r>
      <w:r>
        <w:rPr>
          <w:rStyle w:val="41"/>
          <w:rFonts w:ascii="Times New Roman" w:hAnsi="Times New Roman" w:eastAsia="宋体" w:cs="Times New Roman"/>
        </w:rPr>
        <w:t xml:space="preserve">5.4 </w:t>
      </w:r>
      <w:r>
        <w:rPr>
          <w:rStyle w:val="41"/>
          <w:rFonts w:hint="eastAsia" w:ascii="Times New Roman" w:hAnsi="Times New Roman" w:eastAsia="宋体" w:cs="Times New Roman"/>
        </w:rPr>
        <w:t>预警解除</w:t>
      </w:r>
      <w:r>
        <w:tab/>
      </w:r>
      <w:r>
        <w:fldChar w:fldCharType="begin"/>
      </w:r>
      <w:r>
        <w:instrText xml:space="preserve"> PAGEREF _Toc132468795 \h </w:instrText>
      </w:r>
      <w:r>
        <w:fldChar w:fldCharType="separate"/>
      </w:r>
      <w:r>
        <w:t>- 35 -</w:t>
      </w:r>
      <w:r>
        <w:fldChar w:fldCharType="end"/>
      </w:r>
      <w:r>
        <w:fldChar w:fldCharType="end"/>
      </w:r>
    </w:p>
    <w:p>
      <w:pPr>
        <w:pStyle w:val="26"/>
        <w:tabs>
          <w:tab w:val="right" w:leader="dot" w:pos="10180"/>
        </w:tabs>
        <w:ind w:firstLine="482"/>
        <w:rPr>
          <w:rFonts w:cstheme="minorBidi"/>
          <w:b w:val="0"/>
          <w:bCs w:val="0"/>
          <w:i w:val="0"/>
          <w:iCs w:val="0"/>
          <w:sz w:val="21"/>
          <w:szCs w:val="22"/>
        </w:rPr>
      </w:pPr>
      <w:r>
        <w:fldChar w:fldCharType="begin"/>
      </w:r>
      <w:r>
        <w:instrText xml:space="preserve"> HYPERLINK \l "_Toc132468796" </w:instrText>
      </w:r>
      <w:r>
        <w:fldChar w:fldCharType="separate"/>
      </w:r>
      <w:r>
        <w:rPr>
          <w:rStyle w:val="41"/>
          <w:rFonts w:ascii="Times New Roman" w:hAnsi="Times New Roman" w:eastAsia="宋体" w:cs="Times New Roman"/>
        </w:rPr>
        <w:t>6</w:t>
      </w:r>
      <w:r>
        <w:rPr>
          <w:rStyle w:val="41"/>
          <w:rFonts w:hint="eastAsia" w:ascii="Times New Roman" w:hAnsi="Times New Roman" w:eastAsia="宋体" w:cs="Times New Roman"/>
        </w:rPr>
        <w:t>应急响应</w:t>
      </w:r>
      <w:r>
        <w:tab/>
      </w:r>
      <w:r>
        <w:fldChar w:fldCharType="begin"/>
      </w:r>
      <w:r>
        <w:instrText xml:space="preserve"> PAGEREF _Toc132468796 \h </w:instrText>
      </w:r>
      <w:r>
        <w:fldChar w:fldCharType="separate"/>
      </w:r>
      <w:r>
        <w:t>- 36 -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"_Toc132468797" </w:instrText>
      </w:r>
      <w:r>
        <w:fldChar w:fldCharType="separate"/>
      </w:r>
      <w:r>
        <w:rPr>
          <w:rStyle w:val="41"/>
          <w:rFonts w:ascii="Times New Roman" w:hAnsi="Times New Roman" w:eastAsia="宋体" w:cs="Times New Roman"/>
        </w:rPr>
        <w:t>6.1</w:t>
      </w:r>
      <w:r>
        <w:rPr>
          <w:rStyle w:val="41"/>
          <w:rFonts w:hint="eastAsia" w:ascii="Times New Roman" w:hAnsi="Times New Roman" w:eastAsia="宋体" w:cs="Times New Roman"/>
        </w:rPr>
        <w:t>环境安全事故应急响应程序</w:t>
      </w:r>
      <w:r>
        <w:tab/>
      </w:r>
      <w:r>
        <w:fldChar w:fldCharType="begin"/>
      </w:r>
      <w:r>
        <w:instrText xml:space="preserve"> PAGEREF _Toc132468797 \h </w:instrText>
      </w:r>
      <w:r>
        <w:fldChar w:fldCharType="separate"/>
      </w:r>
      <w:r>
        <w:t>- 36 -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"_Toc132468798" </w:instrText>
      </w:r>
      <w:r>
        <w:fldChar w:fldCharType="separate"/>
      </w:r>
      <w:r>
        <w:rPr>
          <w:rStyle w:val="41"/>
          <w:rFonts w:eastAsia="宋体" w:cs="Times New Roman"/>
        </w:rPr>
        <w:t>6.1.1</w:t>
      </w:r>
      <w:r>
        <w:rPr>
          <w:rStyle w:val="41"/>
          <w:rFonts w:hint="eastAsia" w:eastAsia="宋体" w:cs="Times New Roman"/>
        </w:rPr>
        <w:t>接警与上报</w:t>
      </w:r>
      <w:r>
        <w:tab/>
      </w:r>
      <w:r>
        <w:fldChar w:fldCharType="begin"/>
      </w:r>
      <w:r>
        <w:instrText xml:space="preserve"> PAGEREF _Toc132468798 \h </w:instrText>
      </w:r>
      <w:r>
        <w:fldChar w:fldCharType="separate"/>
      </w:r>
      <w:r>
        <w:t>- 36 -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"_Toc132468799" </w:instrText>
      </w:r>
      <w:r>
        <w:fldChar w:fldCharType="separate"/>
      </w:r>
      <w:r>
        <w:rPr>
          <w:rStyle w:val="41"/>
          <w:rFonts w:eastAsia="宋体" w:cs="Times New Roman"/>
        </w:rPr>
        <w:t>6.1.2</w:t>
      </w:r>
      <w:r>
        <w:rPr>
          <w:rStyle w:val="41"/>
          <w:rFonts w:hint="eastAsia" w:eastAsia="宋体" w:cs="Times New Roman"/>
        </w:rPr>
        <w:t>启动《突发环境事件应急预案》</w:t>
      </w:r>
      <w:r>
        <w:tab/>
      </w:r>
      <w:r>
        <w:fldChar w:fldCharType="begin"/>
      </w:r>
      <w:r>
        <w:instrText xml:space="preserve"> PAGEREF _Toc132468799 \h </w:instrText>
      </w:r>
      <w:r>
        <w:fldChar w:fldCharType="separate"/>
      </w:r>
      <w:r>
        <w:t>- 36 -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"_Toc132468800" </w:instrText>
      </w:r>
      <w:r>
        <w:fldChar w:fldCharType="separate"/>
      </w:r>
      <w:r>
        <w:rPr>
          <w:rStyle w:val="41"/>
          <w:rFonts w:ascii="Times New Roman" w:hAnsi="Times New Roman" w:eastAsia="宋体" w:cs="Times New Roman"/>
        </w:rPr>
        <w:t>6.2</w:t>
      </w:r>
      <w:r>
        <w:rPr>
          <w:rStyle w:val="41"/>
          <w:rFonts w:hint="eastAsia" w:ascii="Times New Roman" w:hAnsi="Times New Roman" w:eastAsia="宋体" w:cs="Times New Roman"/>
        </w:rPr>
        <w:t>分级响应机制</w:t>
      </w:r>
      <w:r>
        <w:tab/>
      </w:r>
      <w:r>
        <w:fldChar w:fldCharType="begin"/>
      </w:r>
      <w:r>
        <w:instrText xml:space="preserve"> PAGEREF _Toc132468800 \h </w:instrText>
      </w:r>
      <w:r>
        <w:fldChar w:fldCharType="separate"/>
      </w:r>
      <w:r>
        <w:t>- 36 -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"_Toc132468801" </w:instrText>
      </w:r>
      <w:r>
        <w:fldChar w:fldCharType="separate"/>
      </w:r>
      <w:r>
        <w:rPr>
          <w:rStyle w:val="41"/>
          <w:rFonts w:hint="eastAsia" w:eastAsia="宋体" w:cs="Times New Roman"/>
        </w:rPr>
        <w:t>6.2.1 Ⅲ级应急响应</w:t>
      </w:r>
      <w:r>
        <w:tab/>
      </w:r>
      <w:r>
        <w:fldChar w:fldCharType="begin"/>
      </w:r>
      <w:r>
        <w:instrText xml:space="preserve"> PAGEREF _Toc132468801 \h </w:instrText>
      </w:r>
      <w:r>
        <w:fldChar w:fldCharType="separate"/>
      </w:r>
      <w:r>
        <w:t>- 37 -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"_Toc132468802" </w:instrText>
      </w:r>
      <w:r>
        <w:fldChar w:fldCharType="separate"/>
      </w:r>
      <w:r>
        <w:rPr>
          <w:rStyle w:val="41"/>
          <w:rFonts w:eastAsia="宋体" w:cs="Times New Roman"/>
        </w:rPr>
        <w:t>6.2.2 II</w:t>
      </w:r>
      <w:r>
        <w:rPr>
          <w:rStyle w:val="41"/>
          <w:rFonts w:hint="eastAsia" w:eastAsia="宋体" w:cs="Times New Roman"/>
        </w:rPr>
        <w:t>级应急响应</w:t>
      </w:r>
      <w:r>
        <w:tab/>
      </w:r>
      <w:r>
        <w:fldChar w:fldCharType="begin"/>
      </w:r>
      <w:r>
        <w:instrText xml:space="preserve"> PAGEREF _Toc132468802 \h </w:instrText>
      </w:r>
      <w:r>
        <w:fldChar w:fldCharType="separate"/>
      </w:r>
      <w:r>
        <w:t>- 37 -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"_Toc132468803" </w:instrText>
      </w:r>
      <w:r>
        <w:fldChar w:fldCharType="separate"/>
      </w:r>
      <w:r>
        <w:rPr>
          <w:rStyle w:val="41"/>
          <w:rFonts w:eastAsia="宋体" w:cs="Times New Roman"/>
        </w:rPr>
        <w:t>6.2.3 I</w:t>
      </w:r>
      <w:r>
        <w:rPr>
          <w:rStyle w:val="41"/>
          <w:rFonts w:hint="eastAsia" w:eastAsia="宋体" w:cs="Times New Roman"/>
        </w:rPr>
        <w:t>级应急响应</w:t>
      </w:r>
      <w:r>
        <w:tab/>
      </w:r>
      <w:r>
        <w:fldChar w:fldCharType="begin"/>
      </w:r>
      <w:r>
        <w:instrText xml:space="preserve"> PAGEREF _Toc132468803 \h </w:instrText>
      </w:r>
      <w:r>
        <w:fldChar w:fldCharType="separate"/>
      </w:r>
      <w:r>
        <w:t>- 37 -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"_Toc132468804" </w:instrText>
      </w:r>
      <w:r>
        <w:fldChar w:fldCharType="separate"/>
      </w:r>
      <w:r>
        <w:rPr>
          <w:rStyle w:val="41"/>
          <w:rFonts w:ascii="Times New Roman" w:hAnsi="Times New Roman" w:eastAsia="宋体" w:cs="Times New Roman"/>
        </w:rPr>
        <w:t>6.3</w:t>
      </w:r>
      <w:r>
        <w:rPr>
          <w:rStyle w:val="41"/>
          <w:rFonts w:hint="eastAsia" w:ascii="Times New Roman" w:hAnsi="Times New Roman" w:eastAsia="宋体" w:cs="Times New Roman"/>
        </w:rPr>
        <w:t>启动预案</w:t>
      </w:r>
      <w:r>
        <w:tab/>
      </w:r>
      <w:r>
        <w:fldChar w:fldCharType="begin"/>
      </w:r>
      <w:r>
        <w:instrText xml:space="preserve"> PAGEREF _Toc132468804 \h </w:instrText>
      </w:r>
      <w:r>
        <w:fldChar w:fldCharType="separate"/>
      </w:r>
      <w:r>
        <w:t>- 38 -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"_Toc132468805" </w:instrText>
      </w:r>
      <w:r>
        <w:fldChar w:fldCharType="separate"/>
      </w:r>
      <w:r>
        <w:rPr>
          <w:rStyle w:val="41"/>
          <w:rFonts w:eastAsia="宋体" w:cs="Times New Roman"/>
        </w:rPr>
        <w:t>6.3.1</w:t>
      </w:r>
      <w:r>
        <w:rPr>
          <w:rStyle w:val="41"/>
          <w:rFonts w:hint="eastAsia" w:eastAsia="宋体" w:cs="Times New Roman"/>
        </w:rPr>
        <w:t>预案分级</w:t>
      </w:r>
      <w:r>
        <w:tab/>
      </w:r>
      <w:r>
        <w:fldChar w:fldCharType="begin"/>
      </w:r>
      <w:r>
        <w:instrText xml:space="preserve"> PAGEREF _Toc132468805 \h </w:instrText>
      </w:r>
      <w:r>
        <w:fldChar w:fldCharType="separate"/>
      </w:r>
      <w:r>
        <w:t>- 38 -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"_Toc132468806" </w:instrText>
      </w:r>
      <w:r>
        <w:fldChar w:fldCharType="separate"/>
      </w:r>
      <w:r>
        <w:rPr>
          <w:rStyle w:val="41"/>
          <w:rFonts w:eastAsia="宋体" w:cs="Times New Roman"/>
        </w:rPr>
        <w:t>6.3.2</w:t>
      </w:r>
      <w:r>
        <w:rPr>
          <w:rStyle w:val="41"/>
          <w:rFonts w:hint="eastAsia" w:eastAsia="宋体" w:cs="Times New Roman"/>
        </w:rPr>
        <w:t>启动条件</w:t>
      </w:r>
      <w:r>
        <w:tab/>
      </w:r>
      <w:r>
        <w:fldChar w:fldCharType="begin"/>
      </w:r>
      <w:r>
        <w:instrText xml:space="preserve"> PAGEREF _Toc132468806 \h </w:instrText>
      </w:r>
      <w:r>
        <w:fldChar w:fldCharType="separate"/>
      </w:r>
      <w:r>
        <w:t>- 38 -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"_Toc132468811" </w:instrText>
      </w:r>
      <w:r>
        <w:fldChar w:fldCharType="separate"/>
      </w:r>
      <w:r>
        <w:rPr>
          <w:rStyle w:val="41"/>
          <w:rFonts w:ascii="Times New Roman" w:hAnsi="Times New Roman" w:eastAsia="宋体" w:cs="Times New Roman"/>
        </w:rPr>
        <w:t>6.4</w:t>
      </w:r>
      <w:r>
        <w:rPr>
          <w:rStyle w:val="41"/>
          <w:rFonts w:hint="eastAsia" w:ascii="Times New Roman" w:hAnsi="Times New Roman" w:eastAsia="宋体" w:cs="Times New Roman"/>
        </w:rPr>
        <w:t>信息报告与处置</w:t>
      </w:r>
      <w:r>
        <w:tab/>
      </w:r>
      <w:r>
        <w:fldChar w:fldCharType="begin"/>
      </w:r>
      <w:r>
        <w:instrText xml:space="preserve"> PAGEREF _Toc132468811 \h </w:instrText>
      </w:r>
      <w:r>
        <w:fldChar w:fldCharType="separate"/>
      </w:r>
      <w:r>
        <w:t>- 39 -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"_Toc132468812" </w:instrText>
      </w:r>
      <w:r>
        <w:fldChar w:fldCharType="separate"/>
      </w:r>
      <w:r>
        <w:rPr>
          <w:rStyle w:val="41"/>
          <w:rFonts w:eastAsia="宋体" w:cs="Times New Roman"/>
        </w:rPr>
        <w:t>6.4.1</w:t>
      </w:r>
      <w:r>
        <w:rPr>
          <w:rStyle w:val="41"/>
          <w:rFonts w:hint="eastAsia" w:eastAsia="宋体" w:cs="Times New Roman"/>
        </w:rPr>
        <w:t>内部报告</w:t>
      </w:r>
      <w:r>
        <w:tab/>
      </w:r>
      <w:r>
        <w:fldChar w:fldCharType="begin"/>
      </w:r>
      <w:r>
        <w:instrText xml:space="preserve"> PAGEREF _Toc132468812 \h </w:instrText>
      </w:r>
      <w:r>
        <w:fldChar w:fldCharType="separate"/>
      </w:r>
      <w:r>
        <w:t>- 39 -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"_Toc132468815" </w:instrText>
      </w:r>
      <w:r>
        <w:fldChar w:fldCharType="separate"/>
      </w:r>
      <w:r>
        <w:rPr>
          <w:rStyle w:val="41"/>
          <w:rFonts w:eastAsia="宋体" w:cs="Times New Roman"/>
        </w:rPr>
        <w:t>6.4.2</w:t>
      </w:r>
      <w:r>
        <w:rPr>
          <w:rStyle w:val="41"/>
          <w:rFonts w:hint="eastAsia" w:eastAsia="宋体" w:cs="Times New Roman"/>
        </w:rPr>
        <w:t>信息通报与上报</w:t>
      </w:r>
      <w:r>
        <w:tab/>
      </w:r>
      <w:r>
        <w:fldChar w:fldCharType="begin"/>
      </w:r>
      <w:r>
        <w:instrText xml:space="preserve"> PAGEREF _Toc132468815 \h </w:instrText>
      </w:r>
      <w:r>
        <w:fldChar w:fldCharType="separate"/>
      </w:r>
      <w:r>
        <w:t>- 40 -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"_Toc132468816" </w:instrText>
      </w:r>
      <w:r>
        <w:fldChar w:fldCharType="separate"/>
      </w:r>
      <w:r>
        <w:rPr>
          <w:rStyle w:val="41"/>
          <w:rFonts w:eastAsia="宋体" w:cs="Times New Roman"/>
        </w:rPr>
        <w:t>6.4.3</w:t>
      </w:r>
      <w:r>
        <w:rPr>
          <w:rStyle w:val="41"/>
          <w:rFonts w:hint="eastAsia" w:eastAsia="宋体" w:cs="Times New Roman"/>
        </w:rPr>
        <w:t>信息通报及请求相关救援单位支持</w:t>
      </w:r>
      <w:r>
        <w:tab/>
      </w:r>
      <w:r>
        <w:fldChar w:fldCharType="begin"/>
      </w:r>
      <w:r>
        <w:instrText xml:space="preserve"> PAGEREF _Toc132468816 \h </w:instrText>
      </w:r>
      <w:r>
        <w:fldChar w:fldCharType="separate"/>
      </w:r>
      <w:r>
        <w:t>- 41 -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"_Toc132468819" </w:instrText>
      </w:r>
      <w:r>
        <w:fldChar w:fldCharType="separate"/>
      </w:r>
      <w:r>
        <w:rPr>
          <w:rStyle w:val="41"/>
          <w:rFonts w:eastAsia="宋体" w:cs="Times New Roman"/>
        </w:rPr>
        <w:t>6.4.4</w:t>
      </w:r>
      <w:r>
        <w:rPr>
          <w:rStyle w:val="41"/>
          <w:rFonts w:hint="eastAsia" w:eastAsia="宋体" w:cs="Times New Roman"/>
        </w:rPr>
        <w:t>信息发布</w:t>
      </w:r>
      <w:r>
        <w:tab/>
      </w:r>
      <w:r>
        <w:fldChar w:fldCharType="begin"/>
      </w:r>
      <w:r>
        <w:instrText xml:space="preserve"> PAGEREF _Toc132468819 \h </w:instrText>
      </w:r>
      <w:r>
        <w:fldChar w:fldCharType="separate"/>
      </w:r>
      <w:r>
        <w:t>- 41 -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"_Toc132468822" </w:instrText>
      </w:r>
      <w:r>
        <w:fldChar w:fldCharType="separate"/>
      </w:r>
      <w:r>
        <w:rPr>
          <w:rStyle w:val="41"/>
          <w:rFonts w:ascii="Times New Roman" w:hAnsi="Times New Roman" w:eastAsia="宋体" w:cs="Times New Roman"/>
        </w:rPr>
        <w:t>6.5</w:t>
      </w:r>
      <w:r>
        <w:rPr>
          <w:rStyle w:val="41"/>
          <w:rFonts w:hint="eastAsia" w:ascii="Times New Roman" w:hAnsi="Times New Roman" w:eastAsia="宋体" w:cs="Times New Roman"/>
        </w:rPr>
        <w:t>应急准备</w:t>
      </w:r>
      <w:r>
        <w:tab/>
      </w:r>
      <w:r>
        <w:fldChar w:fldCharType="begin"/>
      </w:r>
      <w:r>
        <w:instrText xml:space="preserve"> PAGEREF _Toc132468822 \h </w:instrText>
      </w:r>
      <w:r>
        <w:fldChar w:fldCharType="separate"/>
      </w:r>
      <w:r>
        <w:t>- 42 -</w:t>
      </w:r>
      <w:r>
        <w:fldChar w:fldCharType="end"/>
      </w:r>
      <w:r>
        <w:fldChar w:fldCharType="end"/>
      </w:r>
    </w:p>
    <w:p>
      <w:pPr>
        <w:pStyle w:val="26"/>
        <w:tabs>
          <w:tab w:val="right" w:leader="dot" w:pos="10180"/>
        </w:tabs>
        <w:ind w:firstLine="482"/>
        <w:rPr>
          <w:rFonts w:cstheme="minorBidi"/>
          <w:b w:val="0"/>
          <w:bCs w:val="0"/>
          <w:i w:val="0"/>
          <w:iCs w:val="0"/>
          <w:sz w:val="21"/>
          <w:szCs w:val="22"/>
        </w:rPr>
      </w:pPr>
      <w:r>
        <w:fldChar w:fldCharType="begin"/>
      </w:r>
      <w:r>
        <w:instrText xml:space="preserve"> HYPERLINK \l "_Toc132468823" </w:instrText>
      </w:r>
      <w:r>
        <w:fldChar w:fldCharType="separate"/>
      </w:r>
      <w:r>
        <w:rPr>
          <w:rStyle w:val="41"/>
          <w:rFonts w:ascii="Times New Roman" w:hAnsi="Times New Roman" w:eastAsia="宋体" w:cs="Times New Roman"/>
        </w:rPr>
        <w:t>7</w:t>
      </w:r>
      <w:r>
        <w:rPr>
          <w:rStyle w:val="41"/>
          <w:rFonts w:hint="eastAsia" w:ascii="Times New Roman" w:hAnsi="Times New Roman" w:eastAsia="宋体" w:cs="Times New Roman"/>
        </w:rPr>
        <w:t>应急处置</w:t>
      </w:r>
      <w:r>
        <w:tab/>
      </w:r>
      <w:r>
        <w:fldChar w:fldCharType="begin"/>
      </w:r>
      <w:r>
        <w:instrText xml:space="preserve"> PAGEREF _Toc132468823 \h </w:instrText>
      </w:r>
      <w:r>
        <w:fldChar w:fldCharType="separate"/>
      </w:r>
      <w:r>
        <w:t>- 43 -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"_Toc132468824" </w:instrText>
      </w:r>
      <w:r>
        <w:fldChar w:fldCharType="separate"/>
      </w:r>
      <w:r>
        <w:rPr>
          <w:rStyle w:val="41"/>
          <w:rFonts w:ascii="Times New Roman" w:hAnsi="Times New Roman" w:eastAsia="宋体" w:cs="Times New Roman"/>
        </w:rPr>
        <w:t>7.1</w:t>
      </w:r>
      <w:r>
        <w:rPr>
          <w:rStyle w:val="41"/>
          <w:rFonts w:hint="eastAsia" w:ascii="Times New Roman" w:hAnsi="Times New Roman" w:eastAsia="宋体" w:cs="Times New Roman"/>
        </w:rPr>
        <w:t>响应分级</w:t>
      </w:r>
      <w:r>
        <w:tab/>
      </w:r>
      <w:r>
        <w:fldChar w:fldCharType="begin"/>
      </w:r>
      <w:r>
        <w:instrText xml:space="preserve"> PAGEREF _Toc132468824 \h </w:instrText>
      </w:r>
      <w:r>
        <w:fldChar w:fldCharType="separate"/>
      </w:r>
      <w:r>
        <w:t>- 43 -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"_Toc132468825" </w:instrText>
      </w:r>
      <w:r>
        <w:fldChar w:fldCharType="separate"/>
      </w:r>
      <w:r>
        <w:rPr>
          <w:rStyle w:val="41"/>
          <w:rFonts w:ascii="Times New Roman" w:hAnsi="Times New Roman" w:eastAsia="宋体" w:cs="Times New Roman"/>
        </w:rPr>
        <w:t>7.2</w:t>
      </w:r>
      <w:r>
        <w:rPr>
          <w:rStyle w:val="41"/>
          <w:rFonts w:hint="eastAsia" w:ascii="Times New Roman" w:hAnsi="Times New Roman" w:eastAsia="宋体" w:cs="Times New Roman"/>
        </w:rPr>
        <w:t>应急程序</w:t>
      </w:r>
      <w:r>
        <w:tab/>
      </w:r>
      <w:r>
        <w:fldChar w:fldCharType="begin"/>
      </w:r>
      <w:r>
        <w:instrText xml:space="preserve"> PAGEREF _Toc132468825 \h </w:instrText>
      </w:r>
      <w:r>
        <w:fldChar w:fldCharType="separate"/>
      </w:r>
      <w:r>
        <w:t>- 43 -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"_Toc132468826" </w:instrText>
      </w:r>
      <w:r>
        <w:fldChar w:fldCharType="separate"/>
      </w:r>
      <w:r>
        <w:rPr>
          <w:rStyle w:val="41"/>
          <w:rFonts w:eastAsia="宋体" w:cs="Times New Roman"/>
          <w:lang w:val="zh-CN"/>
        </w:rPr>
        <w:t xml:space="preserve">7.2.1 </w:t>
      </w:r>
      <w:r>
        <w:rPr>
          <w:rStyle w:val="41"/>
          <w:rFonts w:hint="eastAsia" w:eastAsia="宋体" w:cs="Times New Roman"/>
          <w:lang w:val="zh-CN"/>
        </w:rPr>
        <w:t>响应程序</w:t>
      </w:r>
      <w:r>
        <w:tab/>
      </w:r>
      <w:r>
        <w:fldChar w:fldCharType="begin"/>
      </w:r>
      <w:r>
        <w:instrText xml:space="preserve"> PAGEREF _Toc132468826 \h </w:instrText>
      </w:r>
      <w:r>
        <w:fldChar w:fldCharType="separate"/>
      </w:r>
      <w:r>
        <w:t>- 43 -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"_Toc132468827" </w:instrText>
      </w:r>
      <w:r>
        <w:fldChar w:fldCharType="separate"/>
      </w:r>
      <w:r>
        <w:rPr>
          <w:rStyle w:val="41"/>
          <w:rFonts w:eastAsia="宋体" w:cs="Times New Roman"/>
          <w:lang w:val="zh-CN"/>
        </w:rPr>
        <w:t xml:space="preserve">7.2.2 </w:t>
      </w:r>
      <w:r>
        <w:rPr>
          <w:rStyle w:val="41"/>
          <w:rFonts w:hint="eastAsia" w:eastAsia="宋体" w:cs="Times New Roman"/>
          <w:lang w:val="zh-CN"/>
        </w:rPr>
        <w:t>应急指挥内容</w:t>
      </w:r>
      <w:r>
        <w:tab/>
      </w:r>
      <w:r>
        <w:fldChar w:fldCharType="begin"/>
      </w:r>
      <w:r>
        <w:instrText xml:space="preserve"> PAGEREF _Toc132468827 \h </w:instrText>
      </w:r>
      <w:r>
        <w:fldChar w:fldCharType="separate"/>
      </w:r>
      <w:r>
        <w:t>- 46 -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"_Toc132468828" </w:instrText>
      </w:r>
      <w:r>
        <w:fldChar w:fldCharType="separate"/>
      </w:r>
      <w:r>
        <w:rPr>
          <w:rStyle w:val="41"/>
          <w:rFonts w:ascii="Times New Roman" w:hAnsi="Times New Roman" w:eastAsia="宋体" w:cs="Times New Roman"/>
        </w:rPr>
        <w:t>7.3</w:t>
      </w:r>
      <w:r>
        <w:rPr>
          <w:rStyle w:val="41"/>
          <w:rFonts w:hint="eastAsia" w:ascii="Times New Roman" w:hAnsi="Times New Roman" w:eastAsia="宋体" w:cs="Times New Roman"/>
        </w:rPr>
        <w:t>现场应急处置措施</w:t>
      </w:r>
      <w:r>
        <w:tab/>
      </w:r>
      <w:r>
        <w:fldChar w:fldCharType="begin"/>
      </w:r>
      <w:r>
        <w:instrText xml:space="preserve"> PAGEREF _Toc132468828 \h </w:instrText>
      </w:r>
      <w:r>
        <w:fldChar w:fldCharType="separate"/>
      </w:r>
      <w:r>
        <w:t>- 46 -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"_Toc132468829" </w:instrText>
      </w:r>
      <w:r>
        <w:fldChar w:fldCharType="separate"/>
      </w:r>
      <w:r>
        <w:rPr>
          <w:rStyle w:val="41"/>
          <w:rFonts w:eastAsia="宋体" w:cs="Times New Roman"/>
          <w:lang w:val="zh-CN"/>
        </w:rPr>
        <w:t>7.3.1</w:t>
      </w:r>
      <w:r>
        <w:rPr>
          <w:rStyle w:val="41"/>
          <w:rFonts w:hint="eastAsia" w:eastAsia="宋体" w:cs="Times New Roman"/>
          <w:lang w:val="zh-CN"/>
        </w:rPr>
        <w:t>应急处置原则</w:t>
      </w:r>
      <w:r>
        <w:tab/>
      </w:r>
      <w:r>
        <w:fldChar w:fldCharType="begin"/>
      </w:r>
      <w:r>
        <w:instrText xml:space="preserve"> PAGEREF _Toc132468829 \h </w:instrText>
      </w:r>
      <w:r>
        <w:fldChar w:fldCharType="separate"/>
      </w:r>
      <w:r>
        <w:t>- 46 -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"_Toc132468830" </w:instrText>
      </w:r>
      <w:r>
        <w:fldChar w:fldCharType="separate"/>
      </w:r>
      <w:r>
        <w:rPr>
          <w:rStyle w:val="41"/>
          <w:rFonts w:eastAsia="宋体" w:cs="Times New Roman"/>
          <w:lang w:val="zh-CN"/>
        </w:rPr>
        <w:t>7.3.2</w:t>
      </w:r>
      <w:r>
        <w:rPr>
          <w:rStyle w:val="41"/>
          <w:rFonts w:hint="eastAsia" w:eastAsia="宋体" w:cs="Times New Roman"/>
          <w:lang w:val="zh-CN"/>
        </w:rPr>
        <w:t>应急联动</w:t>
      </w:r>
      <w:r>
        <w:tab/>
      </w:r>
      <w:r>
        <w:fldChar w:fldCharType="begin"/>
      </w:r>
      <w:r>
        <w:instrText xml:space="preserve"> PAGEREF _Toc132468830 \h </w:instrText>
      </w:r>
      <w:r>
        <w:fldChar w:fldCharType="separate"/>
      </w:r>
      <w:r>
        <w:t>- 47 -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"_Toc132468831" </w:instrText>
      </w:r>
      <w:r>
        <w:fldChar w:fldCharType="separate"/>
      </w:r>
      <w:r>
        <w:rPr>
          <w:rStyle w:val="41"/>
          <w:rFonts w:eastAsia="宋体" w:cs="Times New Roman"/>
          <w:lang w:val="zh-CN"/>
        </w:rPr>
        <w:t xml:space="preserve">7.3.3 </w:t>
      </w:r>
      <w:r>
        <w:rPr>
          <w:rStyle w:val="41"/>
          <w:rFonts w:hint="eastAsia" w:eastAsia="宋体" w:cs="Times New Roman"/>
          <w:lang w:val="zh-CN"/>
        </w:rPr>
        <w:t>水环境突发事件应急处置</w:t>
      </w:r>
      <w:r>
        <w:tab/>
      </w:r>
      <w:r>
        <w:fldChar w:fldCharType="begin"/>
      </w:r>
      <w:r>
        <w:instrText xml:space="preserve"> PAGEREF _Toc132468831 \h </w:instrText>
      </w:r>
      <w:r>
        <w:fldChar w:fldCharType="separate"/>
      </w:r>
      <w:r>
        <w:t>- 48 -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"_Toc132468832" </w:instrText>
      </w:r>
      <w:r>
        <w:fldChar w:fldCharType="separate"/>
      </w:r>
      <w:r>
        <w:rPr>
          <w:rStyle w:val="41"/>
          <w:rFonts w:eastAsia="宋体" w:cs="Times New Roman"/>
          <w:lang w:val="zh-CN"/>
        </w:rPr>
        <w:t xml:space="preserve">7.3.4 </w:t>
      </w:r>
      <w:r>
        <w:rPr>
          <w:rStyle w:val="41"/>
          <w:rFonts w:hint="eastAsia" w:eastAsia="宋体" w:cs="Times New Roman"/>
          <w:lang w:val="zh-CN"/>
        </w:rPr>
        <w:t>大气环境突发事件应急处置</w:t>
      </w:r>
      <w:r>
        <w:tab/>
      </w:r>
      <w:r>
        <w:fldChar w:fldCharType="begin"/>
      </w:r>
      <w:r>
        <w:instrText xml:space="preserve"> PAGEREF _Toc132468832 \h </w:instrText>
      </w:r>
      <w:r>
        <w:fldChar w:fldCharType="separate"/>
      </w:r>
      <w:r>
        <w:t>- 48 -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"_Toc132468833" </w:instrText>
      </w:r>
      <w:r>
        <w:fldChar w:fldCharType="separate"/>
      </w:r>
      <w:r>
        <w:rPr>
          <w:rStyle w:val="41"/>
          <w:rFonts w:eastAsia="宋体" w:cs="Times New Roman"/>
          <w:lang w:val="zh-CN"/>
        </w:rPr>
        <w:t>7.3.</w:t>
      </w:r>
      <w:r>
        <w:rPr>
          <w:rStyle w:val="41"/>
          <w:rFonts w:eastAsia="宋体" w:cs="Times New Roman"/>
        </w:rPr>
        <w:t>5</w:t>
      </w:r>
      <w:r>
        <w:rPr>
          <w:rStyle w:val="41"/>
          <w:rFonts w:hint="eastAsia" w:eastAsia="宋体" w:cs="Times New Roman"/>
          <w:lang w:val="zh-CN"/>
        </w:rPr>
        <w:t>地下水和土壤环境突发事件应急措施</w:t>
      </w:r>
      <w:r>
        <w:tab/>
      </w:r>
      <w:r>
        <w:fldChar w:fldCharType="begin"/>
      </w:r>
      <w:r>
        <w:instrText xml:space="preserve"> PAGEREF _Toc132468833 \h </w:instrText>
      </w:r>
      <w:r>
        <w:fldChar w:fldCharType="separate"/>
      </w:r>
      <w:r>
        <w:t>- 49 -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"_Toc132468834" </w:instrText>
      </w:r>
      <w:r>
        <w:fldChar w:fldCharType="separate"/>
      </w:r>
      <w:r>
        <w:rPr>
          <w:rStyle w:val="41"/>
          <w:rFonts w:eastAsia="宋体" w:cs="Times New Roman"/>
          <w:lang w:val="zh-CN"/>
        </w:rPr>
        <w:t>7.3.</w:t>
      </w:r>
      <w:r>
        <w:rPr>
          <w:rStyle w:val="41"/>
          <w:rFonts w:eastAsia="宋体" w:cs="Times New Roman"/>
        </w:rPr>
        <w:t>6</w:t>
      </w:r>
      <w:r>
        <w:rPr>
          <w:rStyle w:val="41"/>
          <w:rFonts w:eastAsia="宋体" w:cs="Times New Roman"/>
          <w:lang w:val="zh-CN"/>
        </w:rPr>
        <w:t xml:space="preserve"> </w:t>
      </w:r>
      <w:r>
        <w:rPr>
          <w:rStyle w:val="41"/>
          <w:rFonts w:hint="eastAsia" w:eastAsia="宋体" w:cs="Times New Roman"/>
          <w:lang w:val="zh-CN"/>
        </w:rPr>
        <w:t>风险物质泄漏事故应急措施</w:t>
      </w:r>
      <w:r>
        <w:tab/>
      </w:r>
      <w:r>
        <w:fldChar w:fldCharType="begin"/>
      </w:r>
      <w:r>
        <w:instrText xml:space="preserve"> PAGEREF _Toc132468834 \h </w:instrText>
      </w:r>
      <w:r>
        <w:fldChar w:fldCharType="separate"/>
      </w:r>
      <w:r>
        <w:t>- 49 -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"_Toc132468835" </w:instrText>
      </w:r>
      <w:r>
        <w:fldChar w:fldCharType="separate"/>
      </w:r>
      <w:r>
        <w:rPr>
          <w:rStyle w:val="41"/>
          <w:rFonts w:eastAsia="宋体" w:cs="Times New Roman"/>
          <w:lang w:val="zh-CN"/>
        </w:rPr>
        <w:t xml:space="preserve">7.3.7 </w:t>
      </w:r>
      <w:r>
        <w:rPr>
          <w:rStyle w:val="41"/>
          <w:rFonts w:hint="eastAsia" w:eastAsia="宋体" w:cs="Times New Roman"/>
          <w:lang w:val="zh-CN"/>
        </w:rPr>
        <w:t>火灾事故应急措施</w:t>
      </w:r>
      <w:r>
        <w:tab/>
      </w:r>
      <w:r>
        <w:fldChar w:fldCharType="begin"/>
      </w:r>
      <w:r>
        <w:instrText xml:space="preserve"> PAGEREF _Toc132468835 \h </w:instrText>
      </w:r>
      <w:r>
        <w:fldChar w:fldCharType="separate"/>
      </w:r>
      <w:r>
        <w:t>- 51 -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"_Toc132468836" </w:instrText>
      </w:r>
      <w:r>
        <w:fldChar w:fldCharType="separate"/>
      </w:r>
      <w:r>
        <w:rPr>
          <w:rStyle w:val="41"/>
          <w:rFonts w:eastAsia="宋体" w:cs="Times New Roman"/>
          <w:lang w:val="zh-CN"/>
        </w:rPr>
        <w:t xml:space="preserve">7.3.8 </w:t>
      </w:r>
      <w:r>
        <w:rPr>
          <w:rStyle w:val="41"/>
          <w:rFonts w:hint="eastAsia" w:eastAsia="宋体" w:cs="Times New Roman"/>
          <w:lang w:val="zh-CN"/>
        </w:rPr>
        <w:t>防汛应急处理措施</w:t>
      </w:r>
      <w:r>
        <w:tab/>
      </w:r>
      <w:r>
        <w:fldChar w:fldCharType="begin"/>
      </w:r>
      <w:r>
        <w:instrText xml:space="preserve"> PAGEREF _Toc132468836 \h </w:instrText>
      </w:r>
      <w:r>
        <w:fldChar w:fldCharType="separate"/>
      </w:r>
      <w:r>
        <w:t>- 52 -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"_Toc132468837" </w:instrText>
      </w:r>
      <w:r>
        <w:fldChar w:fldCharType="separate"/>
      </w:r>
      <w:r>
        <w:rPr>
          <w:rStyle w:val="41"/>
          <w:rFonts w:eastAsia="宋体" w:cs="Times New Roman"/>
          <w:lang w:val="zh-CN"/>
        </w:rPr>
        <w:t xml:space="preserve">7.3.9 </w:t>
      </w:r>
      <w:r>
        <w:rPr>
          <w:rStyle w:val="41"/>
          <w:rFonts w:hint="eastAsia" w:eastAsia="宋体" w:cs="Times New Roman"/>
          <w:lang w:val="zh-CN"/>
        </w:rPr>
        <w:t>暴雨引发环境事件应急处理措施</w:t>
      </w:r>
      <w:r>
        <w:tab/>
      </w:r>
      <w:r>
        <w:fldChar w:fldCharType="begin"/>
      </w:r>
      <w:r>
        <w:instrText xml:space="preserve"> PAGEREF _Toc132468837 \h </w:instrText>
      </w:r>
      <w:r>
        <w:fldChar w:fldCharType="separate"/>
      </w:r>
      <w:r>
        <w:t>- 54 -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"_Toc132468838" </w:instrText>
      </w:r>
      <w:r>
        <w:fldChar w:fldCharType="separate"/>
      </w:r>
      <w:r>
        <w:rPr>
          <w:rStyle w:val="41"/>
          <w:rFonts w:eastAsia="宋体" w:cs="Times New Roman"/>
          <w:lang w:val="zh-CN"/>
        </w:rPr>
        <w:t xml:space="preserve">7.3.10 </w:t>
      </w:r>
      <w:r>
        <w:rPr>
          <w:rStyle w:val="41"/>
          <w:rFonts w:hint="eastAsia" w:eastAsia="宋体" w:cs="Times New Roman"/>
          <w:lang w:val="zh-CN"/>
        </w:rPr>
        <w:t>人员隔离、疏散措施</w:t>
      </w:r>
      <w:r>
        <w:tab/>
      </w:r>
      <w:r>
        <w:fldChar w:fldCharType="begin"/>
      </w:r>
      <w:r>
        <w:instrText xml:space="preserve"> PAGEREF _Toc132468838 \h </w:instrText>
      </w:r>
      <w:r>
        <w:fldChar w:fldCharType="separate"/>
      </w:r>
      <w:r>
        <w:t>- 54 -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"_Toc132468839" </w:instrText>
      </w:r>
      <w:r>
        <w:fldChar w:fldCharType="separate"/>
      </w:r>
      <w:r>
        <w:rPr>
          <w:rStyle w:val="41"/>
          <w:rFonts w:eastAsia="宋体" w:cs="Times New Roman"/>
          <w:lang w:val="zh-CN"/>
        </w:rPr>
        <w:t xml:space="preserve">7.3.11 </w:t>
      </w:r>
      <w:r>
        <w:rPr>
          <w:rStyle w:val="41"/>
          <w:rFonts w:hint="eastAsia" w:eastAsia="宋体" w:cs="Times New Roman"/>
          <w:lang w:val="zh-CN"/>
        </w:rPr>
        <w:t>消防废水的收集、处理及排放控制措施</w:t>
      </w:r>
      <w:r>
        <w:tab/>
      </w:r>
      <w:r>
        <w:fldChar w:fldCharType="begin"/>
      </w:r>
      <w:r>
        <w:instrText xml:space="preserve"> PAGEREF _Toc132468839 \h </w:instrText>
      </w:r>
      <w:r>
        <w:fldChar w:fldCharType="separate"/>
      </w:r>
      <w:r>
        <w:t>- 55 -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"_Toc132468840" </w:instrText>
      </w:r>
      <w:r>
        <w:fldChar w:fldCharType="separate"/>
      </w:r>
      <w:r>
        <w:rPr>
          <w:rStyle w:val="41"/>
          <w:rFonts w:eastAsia="宋体" w:cs="Times New Roman"/>
          <w:lang w:val="zh-CN"/>
        </w:rPr>
        <w:t>7.3.12</w:t>
      </w:r>
      <w:r>
        <w:rPr>
          <w:rStyle w:val="41"/>
          <w:rFonts w:hint="eastAsia" w:eastAsia="宋体" w:cs="Times New Roman"/>
          <w:lang w:val="zh-CN"/>
        </w:rPr>
        <w:t>应急救援队伍的调度及物资保障</w:t>
      </w:r>
      <w:r>
        <w:tab/>
      </w:r>
      <w:r>
        <w:fldChar w:fldCharType="begin"/>
      </w:r>
      <w:r>
        <w:instrText xml:space="preserve"> PAGEREF _Toc132468840 \h </w:instrText>
      </w:r>
      <w:r>
        <w:fldChar w:fldCharType="separate"/>
      </w:r>
      <w:r>
        <w:t>- 55 -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"_Toc132468841" </w:instrText>
      </w:r>
      <w:r>
        <w:fldChar w:fldCharType="separate"/>
      </w:r>
      <w:r>
        <w:rPr>
          <w:rStyle w:val="41"/>
          <w:rFonts w:eastAsia="宋体" w:cs="Times New Roman"/>
          <w:lang w:val="zh-CN"/>
        </w:rPr>
        <w:t xml:space="preserve">7.3.13 </w:t>
      </w:r>
      <w:r>
        <w:rPr>
          <w:rStyle w:val="41"/>
          <w:rFonts w:hint="eastAsia" w:eastAsia="宋体" w:cs="Times New Roman"/>
          <w:lang w:val="zh-CN"/>
        </w:rPr>
        <w:t>防止控制事件扩大的措施</w:t>
      </w:r>
      <w:r>
        <w:tab/>
      </w:r>
      <w:r>
        <w:fldChar w:fldCharType="begin"/>
      </w:r>
      <w:r>
        <w:instrText xml:space="preserve"> PAGEREF _Toc132468841 \h </w:instrText>
      </w:r>
      <w:r>
        <w:fldChar w:fldCharType="separate"/>
      </w:r>
      <w:r>
        <w:t>- 55 -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"_Toc132468842" </w:instrText>
      </w:r>
      <w:r>
        <w:fldChar w:fldCharType="separate"/>
      </w:r>
      <w:r>
        <w:rPr>
          <w:rStyle w:val="41"/>
          <w:rFonts w:eastAsia="宋体" w:cs="Times New Roman"/>
          <w:lang w:val="zh-CN"/>
        </w:rPr>
        <w:t xml:space="preserve">7.3.14 </w:t>
      </w:r>
      <w:r>
        <w:rPr>
          <w:rStyle w:val="41"/>
          <w:rFonts w:hint="eastAsia" w:eastAsia="宋体" w:cs="Times New Roman"/>
          <w:lang w:val="zh-CN"/>
        </w:rPr>
        <w:t>事件可能扩大后的应急措施</w:t>
      </w:r>
      <w:r>
        <w:tab/>
      </w:r>
      <w:r>
        <w:fldChar w:fldCharType="begin"/>
      </w:r>
      <w:r>
        <w:instrText xml:space="preserve"> PAGEREF _Toc132468842 \h </w:instrText>
      </w:r>
      <w:r>
        <w:fldChar w:fldCharType="separate"/>
      </w:r>
      <w:r>
        <w:t>- 55 -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"_Toc132468843" </w:instrText>
      </w:r>
      <w:r>
        <w:fldChar w:fldCharType="separate"/>
      </w:r>
      <w:r>
        <w:rPr>
          <w:rStyle w:val="41"/>
          <w:rFonts w:ascii="Times New Roman" w:hAnsi="Times New Roman" w:eastAsia="宋体" w:cs="Times New Roman"/>
        </w:rPr>
        <w:t>7.4</w:t>
      </w:r>
      <w:r>
        <w:rPr>
          <w:rStyle w:val="41"/>
          <w:rFonts w:hint="eastAsia" w:ascii="Times New Roman" w:hAnsi="Times New Roman" w:eastAsia="宋体" w:cs="Times New Roman"/>
        </w:rPr>
        <w:t>受伤人员救治方案</w:t>
      </w:r>
      <w:r>
        <w:tab/>
      </w:r>
      <w:r>
        <w:fldChar w:fldCharType="begin"/>
      </w:r>
      <w:r>
        <w:instrText xml:space="preserve"> PAGEREF _Toc132468843 \h </w:instrText>
      </w:r>
      <w:r>
        <w:fldChar w:fldCharType="separate"/>
      </w:r>
      <w:r>
        <w:t>- 56 -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"_Toc132468844" </w:instrText>
      </w:r>
      <w:r>
        <w:fldChar w:fldCharType="separate"/>
      </w:r>
      <w:r>
        <w:rPr>
          <w:rStyle w:val="41"/>
          <w:rFonts w:ascii="Times New Roman" w:hAnsi="Times New Roman" w:eastAsia="宋体" w:cs="Times New Roman"/>
        </w:rPr>
        <w:t>7.5</w:t>
      </w:r>
      <w:r>
        <w:rPr>
          <w:rStyle w:val="41"/>
          <w:rFonts w:hint="eastAsia" w:ascii="Times New Roman" w:hAnsi="Times New Roman" w:eastAsia="宋体" w:cs="Times New Roman"/>
        </w:rPr>
        <w:t>应急监测</w:t>
      </w:r>
      <w:r>
        <w:tab/>
      </w:r>
      <w:r>
        <w:fldChar w:fldCharType="begin"/>
      </w:r>
      <w:r>
        <w:instrText xml:space="preserve"> PAGEREF _Toc132468844 \h </w:instrText>
      </w:r>
      <w:r>
        <w:fldChar w:fldCharType="separate"/>
      </w:r>
      <w:r>
        <w:t>- 57 -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"_Toc132468845" </w:instrText>
      </w:r>
      <w:r>
        <w:fldChar w:fldCharType="separate"/>
      </w:r>
      <w:r>
        <w:rPr>
          <w:rStyle w:val="41"/>
          <w:rFonts w:eastAsia="宋体" w:cs="Times New Roman"/>
          <w:lang w:val="zh-CN"/>
        </w:rPr>
        <w:t>7.5.1</w:t>
      </w:r>
      <w:r>
        <w:rPr>
          <w:rStyle w:val="41"/>
          <w:rFonts w:hint="eastAsia" w:eastAsia="宋体" w:cs="Times New Roman"/>
          <w:lang w:val="zh-CN"/>
        </w:rPr>
        <w:t>应急监测程序</w:t>
      </w:r>
      <w:r>
        <w:tab/>
      </w:r>
      <w:r>
        <w:fldChar w:fldCharType="begin"/>
      </w:r>
      <w:r>
        <w:instrText xml:space="preserve"> PAGEREF _Toc132468845 \h </w:instrText>
      </w:r>
      <w:r>
        <w:fldChar w:fldCharType="separate"/>
      </w:r>
      <w:r>
        <w:t>- 57 -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"_Toc132468846" </w:instrText>
      </w:r>
      <w:r>
        <w:fldChar w:fldCharType="separate"/>
      </w:r>
      <w:r>
        <w:rPr>
          <w:rStyle w:val="41"/>
          <w:rFonts w:eastAsia="宋体" w:cs="Times New Roman"/>
          <w:lang w:val="zh-CN"/>
        </w:rPr>
        <w:t xml:space="preserve">7.5.2 </w:t>
      </w:r>
      <w:r>
        <w:rPr>
          <w:rStyle w:val="41"/>
          <w:rFonts w:hint="eastAsia" w:eastAsia="宋体" w:cs="Times New Roman"/>
          <w:lang w:val="zh-CN"/>
        </w:rPr>
        <w:t>事故状态风险监控点位及监测因子</w:t>
      </w:r>
      <w:r>
        <w:tab/>
      </w:r>
      <w:r>
        <w:fldChar w:fldCharType="begin"/>
      </w:r>
      <w:r>
        <w:instrText xml:space="preserve"> PAGEREF _Toc132468846 \h </w:instrText>
      </w:r>
      <w:r>
        <w:fldChar w:fldCharType="separate"/>
      </w:r>
      <w:r>
        <w:t>- 58 -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"_Toc132468847" </w:instrText>
      </w:r>
      <w:r>
        <w:fldChar w:fldCharType="separate"/>
      </w:r>
      <w:r>
        <w:rPr>
          <w:rStyle w:val="41"/>
          <w:rFonts w:ascii="Times New Roman" w:hAnsi="Times New Roman" w:eastAsia="宋体" w:cs="Times New Roman"/>
          <w:lang w:val="zh-CN"/>
        </w:rPr>
        <w:t>7.6</w:t>
      </w:r>
      <w:r>
        <w:rPr>
          <w:rStyle w:val="41"/>
          <w:rFonts w:hint="eastAsia" w:ascii="Times New Roman" w:hAnsi="Times New Roman" w:eastAsia="宋体" w:cs="Times New Roman"/>
          <w:lang w:val="zh-CN"/>
        </w:rPr>
        <w:t>应急终止</w:t>
      </w:r>
      <w:r>
        <w:tab/>
      </w:r>
      <w:r>
        <w:fldChar w:fldCharType="begin"/>
      </w:r>
      <w:r>
        <w:instrText xml:space="preserve"> PAGEREF _Toc132468847 \h </w:instrText>
      </w:r>
      <w:r>
        <w:fldChar w:fldCharType="separate"/>
      </w:r>
      <w:r>
        <w:t>- 59 -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"_Toc132468848" </w:instrText>
      </w:r>
      <w:r>
        <w:fldChar w:fldCharType="separate"/>
      </w:r>
      <w:r>
        <w:rPr>
          <w:rStyle w:val="41"/>
          <w:rFonts w:eastAsia="宋体" w:cs="Times New Roman"/>
          <w:lang w:val="zh-CN"/>
        </w:rPr>
        <w:t xml:space="preserve">7.6.1 </w:t>
      </w:r>
      <w:r>
        <w:rPr>
          <w:rStyle w:val="41"/>
          <w:rFonts w:hint="eastAsia" w:eastAsia="宋体" w:cs="Times New Roman"/>
          <w:lang w:val="zh-CN"/>
        </w:rPr>
        <w:t>应急终止的条件</w:t>
      </w:r>
      <w:r>
        <w:tab/>
      </w:r>
      <w:r>
        <w:fldChar w:fldCharType="begin"/>
      </w:r>
      <w:r>
        <w:instrText xml:space="preserve"> PAGEREF _Toc132468848 \h </w:instrText>
      </w:r>
      <w:r>
        <w:fldChar w:fldCharType="separate"/>
      </w:r>
      <w:r>
        <w:t>- 59 -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"_Toc132468849" </w:instrText>
      </w:r>
      <w:r>
        <w:fldChar w:fldCharType="separate"/>
      </w:r>
      <w:r>
        <w:rPr>
          <w:rStyle w:val="41"/>
          <w:rFonts w:eastAsia="宋体" w:cs="Times New Roman"/>
          <w:lang w:val="zh-CN"/>
        </w:rPr>
        <w:t xml:space="preserve">7.6.2 </w:t>
      </w:r>
      <w:r>
        <w:rPr>
          <w:rStyle w:val="41"/>
          <w:rFonts w:hint="eastAsia" w:eastAsia="宋体" w:cs="Times New Roman"/>
          <w:lang w:val="zh-CN"/>
        </w:rPr>
        <w:t>应急终止的程序</w:t>
      </w:r>
      <w:r>
        <w:tab/>
      </w:r>
      <w:r>
        <w:fldChar w:fldCharType="begin"/>
      </w:r>
      <w:r>
        <w:instrText xml:space="preserve"> PAGEREF _Toc132468849 \h </w:instrText>
      </w:r>
      <w:r>
        <w:fldChar w:fldCharType="separate"/>
      </w:r>
      <w:r>
        <w:t>- 59 -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"_Toc132468850" </w:instrText>
      </w:r>
      <w:r>
        <w:fldChar w:fldCharType="separate"/>
      </w:r>
      <w:r>
        <w:rPr>
          <w:rStyle w:val="41"/>
          <w:rFonts w:eastAsia="宋体" w:cs="Times New Roman"/>
          <w:lang w:val="zh-CN"/>
        </w:rPr>
        <w:t xml:space="preserve">7.6.3 </w:t>
      </w:r>
      <w:r>
        <w:rPr>
          <w:rStyle w:val="41"/>
          <w:rFonts w:hint="eastAsia" w:eastAsia="宋体" w:cs="Times New Roman"/>
          <w:lang w:val="zh-CN"/>
        </w:rPr>
        <w:t>跟踪监测和评估</w:t>
      </w:r>
      <w:r>
        <w:tab/>
      </w:r>
      <w:r>
        <w:fldChar w:fldCharType="begin"/>
      </w:r>
      <w:r>
        <w:instrText xml:space="preserve"> PAGEREF _Toc132468850 \h </w:instrText>
      </w:r>
      <w:r>
        <w:fldChar w:fldCharType="separate"/>
      </w:r>
      <w:r>
        <w:t>- 60 -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"_Toc132468851" </w:instrText>
      </w:r>
      <w:r>
        <w:fldChar w:fldCharType="separate"/>
      </w:r>
      <w:r>
        <w:rPr>
          <w:rStyle w:val="41"/>
          <w:rFonts w:eastAsia="宋体" w:cs="Times New Roman"/>
          <w:lang w:val="zh-CN"/>
        </w:rPr>
        <w:t xml:space="preserve">7.6.4 </w:t>
      </w:r>
      <w:r>
        <w:rPr>
          <w:rStyle w:val="41"/>
          <w:rFonts w:hint="eastAsia" w:eastAsia="宋体" w:cs="Times New Roman"/>
          <w:lang w:val="zh-CN"/>
        </w:rPr>
        <w:t>应急终止后的行动</w:t>
      </w:r>
      <w:r>
        <w:tab/>
      </w:r>
      <w:r>
        <w:fldChar w:fldCharType="begin"/>
      </w:r>
      <w:r>
        <w:instrText xml:space="preserve"> PAGEREF _Toc132468851 \h </w:instrText>
      </w:r>
      <w:r>
        <w:fldChar w:fldCharType="separate"/>
      </w:r>
      <w:r>
        <w:t>- 60 -</w:t>
      </w:r>
      <w:r>
        <w:fldChar w:fldCharType="end"/>
      </w:r>
      <w:r>
        <w:fldChar w:fldCharType="end"/>
      </w:r>
    </w:p>
    <w:p>
      <w:pPr>
        <w:pStyle w:val="26"/>
        <w:tabs>
          <w:tab w:val="right" w:leader="dot" w:pos="10180"/>
        </w:tabs>
        <w:ind w:firstLine="482"/>
        <w:rPr>
          <w:rFonts w:cstheme="minorBidi"/>
          <w:b w:val="0"/>
          <w:bCs w:val="0"/>
          <w:i w:val="0"/>
          <w:iCs w:val="0"/>
          <w:sz w:val="21"/>
          <w:szCs w:val="22"/>
        </w:rPr>
      </w:pPr>
      <w:r>
        <w:fldChar w:fldCharType="begin"/>
      </w:r>
      <w:r>
        <w:instrText xml:space="preserve"> HYPERLINK \l "_Toc132468852" </w:instrText>
      </w:r>
      <w:r>
        <w:fldChar w:fldCharType="separate"/>
      </w:r>
      <w:r>
        <w:rPr>
          <w:rStyle w:val="41"/>
          <w:rFonts w:ascii="Times New Roman" w:hAnsi="Times New Roman" w:eastAsia="宋体" w:cs="Times New Roman"/>
        </w:rPr>
        <w:t>8</w:t>
      </w:r>
      <w:r>
        <w:rPr>
          <w:rStyle w:val="41"/>
          <w:rFonts w:hint="eastAsia" w:ascii="Times New Roman" w:hAnsi="Times New Roman" w:eastAsia="宋体" w:cs="Times New Roman"/>
        </w:rPr>
        <w:t>后期处置</w:t>
      </w:r>
      <w:r>
        <w:tab/>
      </w:r>
      <w:r>
        <w:fldChar w:fldCharType="begin"/>
      </w:r>
      <w:r>
        <w:instrText xml:space="preserve"> PAGEREF _Toc132468852 \h </w:instrText>
      </w:r>
      <w:r>
        <w:fldChar w:fldCharType="separate"/>
      </w:r>
      <w:r>
        <w:t>- 61 -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"_Toc132468853" </w:instrText>
      </w:r>
      <w:r>
        <w:fldChar w:fldCharType="separate"/>
      </w:r>
      <w:r>
        <w:rPr>
          <w:rStyle w:val="41"/>
          <w:rFonts w:ascii="Times New Roman" w:hAnsi="Times New Roman" w:eastAsia="宋体" w:cs="Times New Roman"/>
        </w:rPr>
        <w:t>8.1</w:t>
      </w:r>
      <w:r>
        <w:rPr>
          <w:rStyle w:val="41"/>
          <w:rFonts w:hint="eastAsia" w:ascii="Times New Roman" w:hAnsi="Times New Roman" w:eastAsia="宋体" w:cs="Times New Roman"/>
        </w:rPr>
        <w:t>善后处置与恢复重建</w:t>
      </w:r>
      <w:r>
        <w:tab/>
      </w:r>
      <w:r>
        <w:fldChar w:fldCharType="begin"/>
      </w:r>
      <w:r>
        <w:instrText xml:space="preserve"> PAGEREF _Toc132468853 \h </w:instrText>
      </w:r>
      <w:r>
        <w:fldChar w:fldCharType="separate"/>
      </w:r>
      <w:r>
        <w:t>- 61 -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"_Toc132468854" </w:instrText>
      </w:r>
      <w:r>
        <w:fldChar w:fldCharType="separate"/>
      </w:r>
      <w:r>
        <w:rPr>
          <w:rStyle w:val="41"/>
          <w:rFonts w:eastAsia="宋体" w:cs="Times New Roman"/>
        </w:rPr>
        <w:t>8.1.1</w:t>
      </w:r>
      <w:r>
        <w:rPr>
          <w:rStyle w:val="41"/>
          <w:rFonts w:hint="eastAsia" w:eastAsia="宋体" w:cs="Times New Roman"/>
        </w:rPr>
        <w:t>善后处理措施</w:t>
      </w:r>
      <w:r>
        <w:tab/>
      </w:r>
      <w:r>
        <w:fldChar w:fldCharType="begin"/>
      </w:r>
      <w:r>
        <w:instrText xml:space="preserve"> PAGEREF _Toc132468854 \h </w:instrText>
      </w:r>
      <w:r>
        <w:fldChar w:fldCharType="separate"/>
      </w:r>
      <w:r>
        <w:t>- 61 -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"_Toc132468855" </w:instrText>
      </w:r>
      <w:r>
        <w:fldChar w:fldCharType="separate"/>
      </w:r>
      <w:r>
        <w:rPr>
          <w:rStyle w:val="41"/>
          <w:rFonts w:eastAsia="宋体" w:cs="Times New Roman"/>
        </w:rPr>
        <w:t>8.1.2</w:t>
      </w:r>
      <w:r>
        <w:rPr>
          <w:rStyle w:val="41"/>
          <w:rFonts w:hint="eastAsia" w:eastAsia="宋体" w:cs="Times New Roman"/>
        </w:rPr>
        <w:t>事件现场保护措施</w:t>
      </w:r>
      <w:r>
        <w:tab/>
      </w:r>
      <w:r>
        <w:fldChar w:fldCharType="begin"/>
      </w:r>
      <w:r>
        <w:instrText xml:space="preserve"> PAGEREF _Toc132468855 \h </w:instrText>
      </w:r>
      <w:r>
        <w:fldChar w:fldCharType="separate"/>
      </w:r>
      <w:r>
        <w:t>- 61 -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"_Toc132468856" </w:instrText>
      </w:r>
      <w:r>
        <w:fldChar w:fldCharType="separate"/>
      </w:r>
      <w:r>
        <w:rPr>
          <w:rStyle w:val="41"/>
          <w:rFonts w:eastAsia="宋体" w:cs="Times New Roman"/>
        </w:rPr>
        <w:t>8.1.3</w:t>
      </w:r>
      <w:r>
        <w:rPr>
          <w:rStyle w:val="41"/>
          <w:rFonts w:hint="eastAsia" w:eastAsia="宋体" w:cs="Times New Roman"/>
        </w:rPr>
        <w:t>事故现场净化</w:t>
      </w:r>
      <w:r>
        <w:tab/>
      </w:r>
      <w:r>
        <w:fldChar w:fldCharType="begin"/>
      </w:r>
      <w:r>
        <w:instrText xml:space="preserve"> PAGEREF _Toc132468856 \h </w:instrText>
      </w:r>
      <w:r>
        <w:fldChar w:fldCharType="separate"/>
      </w:r>
      <w:r>
        <w:t>- 62 -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"_Toc132468857" </w:instrText>
      </w:r>
      <w:r>
        <w:fldChar w:fldCharType="separate"/>
      </w:r>
      <w:r>
        <w:rPr>
          <w:rStyle w:val="41"/>
          <w:rFonts w:eastAsia="宋体" w:cs="Times New Roman"/>
        </w:rPr>
        <w:t>8.1.4</w:t>
      </w:r>
      <w:r>
        <w:rPr>
          <w:rStyle w:val="41"/>
          <w:rFonts w:hint="eastAsia" w:eastAsia="宋体" w:cs="Times New Roman"/>
        </w:rPr>
        <w:t>二次污染处理</w:t>
      </w:r>
      <w:r>
        <w:tab/>
      </w:r>
      <w:r>
        <w:fldChar w:fldCharType="begin"/>
      </w:r>
      <w:r>
        <w:instrText xml:space="preserve"> PAGEREF _Toc132468857 \h </w:instrText>
      </w:r>
      <w:r>
        <w:fldChar w:fldCharType="separate"/>
      </w:r>
      <w:r>
        <w:t>- 62 -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"_Toc132468858" </w:instrText>
      </w:r>
      <w:r>
        <w:fldChar w:fldCharType="separate"/>
      </w:r>
      <w:r>
        <w:rPr>
          <w:rStyle w:val="41"/>
          <w:rFonts w:eastAsia="宋体" w:cs="Times New Roman"/>
        </w:rPr>
        <w:t>8.1.5</w:t>
      </w:r>
      <w:r>
        <w:rPr>
          <w:rStyle w:val="41"/>
          <w:rFonts w:hint="eastAsia" w:eastAsia="宋体" w:cs="Times New Roman"/>
        </w:rPr>
        <w:t>环境恢复与重建工作</w:t>
      </w:r>
      <w:r>
        <w:tab/>
      </w:r>
      <w:r>
        <w:fldChar w:fldCharType="begin"/>
      </w:r>
      <w:r>
        <w:instrText xml:space="preserve"> PAGEREF _Toc132468858 \h </w:instrText>
      </w:r>
      <w:r>
        <w:fldChar w:fldCharType="separate"/>
      </w:r>
      <w:r>
        <w:t>- 62 -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"_Toc132468859" </w:instrText>
      </w:r>
      <w:r>
        <w:fldChar w:fldCharType="separate"/>
      </w:r>
      <w:r>
        <w:rPr>
          <w:rStyle w:val="41"/>
          <w:rFonts w:ascii="Times New Roman" w:hAnsi="Times New Roman" w:eastAsia="宋体" w:cs="Times New Roman"/>
        </w:rPr>
        <w:t>8.2</w:t>
      </w:r>
      <w:r>
        <w:rPr>
          <w:rStyle w:val="41"/>
          <w:rFonts w:hint="eastAsia" w:ascii="Times New Roman" w:hAnsi="Times New Roman" w:eastAsia="宋体" w:cs="Times New Roman"/>
        </w:rPr>
        <w:t>调查与评估</w:t>
      </w:r>
      <w:r>
        <w:tab/>
      </w:r>
      <w:r>
        <w:fldChar w:fldCharType="begin"/>
      </w:r>
      <w:r>
        <w:instrText xml:space="preserve"> PAGEREF _Toc132468859 \h </w:instrText>
      </w:r>
      <w:r>
        <w:fldChar w:fldCharType="separate"/>
      </w:r>
      <w:r>
        <w:t>- 62 -</w:t>
      </w:r>
      <w:r>
        <w:fldChar w:fldCharType="end"/>
      </w:r>
      <w:r>
        <w:fldChar w:fldCharType="end"/>
      </w:r>
    </w:p>
    <w:p>
      <w:pPr>
        <w:pStyle w:val="26"/>
        <w:tabs>
          <w:tab w:val="right" w:leader="dot" w:pos="10180"/>
        </w:tabs>
        <w:ind w:firstLine="482"/>
        <w:rPr>
          <w:rFonts w:cstheme="minorBidi"/>
          <w:b w:val="0"/>
          <w:bCs w:val="0"/>
          <w:i w:val="0"/>
          <w:iCs w:val="0"/>
          <w:sz w:val="21"/>
          <w:szCs w:val="22"/>
        </w:rPr>
      </w:pPr>
      <w:r>
        <w:fldChar w:fldCharType="begin"/>
      </w:r>
      <w:r>
        <w:instrText xml:space="preserve"> HYPERLINK \l "_Toc132468860" </w:instrText>
      </w:r>
      <w:r>
        <w:fldChar w:fldCharType="separate"/>
      </w:r>
      <w:r>
        <w:rPr>
          <w:rStyle w:val="41"/>
          <w:rFonts w:ascii="Times New Roman" w:hAnsi="Times New Roman" w:eastAsia="宋体" w:cs="Times New Roman"/>
        </w:rPr>
        <w:t>9</w:t>
      </w:r>
      <w:r>
        <w:rPr>
          <w:rStyle w:val="41"/>
          <w:rFonts w:hint="eastAsia" w:ascii="Times New Roman" w:hAnsi="Times New Roman" w:eastAsia="宋体" w:cs="Times New Roman"/>
        </w:rPr>
        <w:t>应急保障</w:t>
      </w:r>
      <w:r>
        <w:tab/>
      </w:r>
      <w:r>
        <w:fldChar w:fldCharType="begin"/>
      </w:r>
      <w:r>
        <w:instrText xml:space="preserve"> PAGEREF _Toc132468860 \h </w:instrText>
      </w:r>
      <w:r>
        <w:fldChar w:fldCharType="separate"/>
      </w:r>
      <w:r>
        <w:t>- 64 -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"_Toc132468861" </w:instrText>
      </w:r>
      <w:r>
        <w:fldChar w:fldCharType="separate"/>
      </w:r>
      <w:r>
        <w:rPr>
          <w:rStyle w:val="41"/>
          <w:rFonts w:ascii="Times New Roman" w:hAnsi="Times New Roman" w:eastAsia="宋体" w:cs="Times New Roman"/>
        </w:rPr>
        <w:t>9.1</w:t>
      </w:r>
      <w:r>
        <w:rPr>
          <w:rStyle w:val="41"/>
          <w:rFonts w:hint="eastAsia" w:ascii="Times New Roman" w:hAnsi="Times New Roman" w:eastAsia="宋体" w:cs="Times New Roman"/>
        </w:rPr>
        <w:t>内部保障</w:t>
      </w:r>
      <w:r>
        <w:tab/>
      </w:r>
      <w:r>
        <w:fldChar w:fldCharType="begin"/>
      </w:r>
      <w:r>
        <w:instrText xml:space="preserve"> PAGEREF _Toc132468861 \h </w:instrText>
      </w:r>
      <w:r>
        <w:fldChar w:fldCharType="separate"/>
      </w:r>
      <w:r>
        <w:t>- 64 -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"_Toc132468862" </w:instrText>
      </w:r>
      <w:r>
        <w:fldChar w:fldCharType="separate"/>
      </w:r>
      <w:r>
        <w:rPr>
          <w:rStyle w:val="41"/>
          <w:rFonts w:eastAsia="宋体" w:cs="Times New Roman"/>
        </w:rPr>
        <w:t>9.1.1</w:t>
      </w:r>
      <w:r>
        <w:rPr>
          <w:rStyle w:val="41"/>
          <w:rFonts w:hint="eastAsia" w:eastAsia="宋体" w:cs="Times New Roman"/>
        </w:rPr>
        <w:t>人力资源保障</w:t>
      </w:r>
      <w:r>
        <w:tab/>
      </w:r>
      <w:r>
        <w:fldChar w:fldCharType="begin"/>
      </w:r>
      <w:r>
        <w:instrText xml:space="preserve"> PAGEREF _Toc132468862 \h </w:instrText>
      </w:r>
      <w:r>
        <w:fldChar w:fldCharType="separate"/>
      </w:r>
      <w:r>
        <w:t>- 64 -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"_Toc132468863" </w:instrText>
      </w:r>
      <w:r>
        <w:fldChar w:fldCharType="separate"/>
      </w:r>
      <w:r>
        <w:rPr>
          <w:rStyle w:val="41"/>
          <w:rFonts w:eastAsia="宋体" w:cs="Times New Roman"/>
        </w:rPr>
        <w:t>9.1.2</w:t>
      </w:r>
      <w:r>
        <w:rPr>
          <w:rStyle w:val="41"/>
          <w:rFonts w:hint="eastAsia" w:eastAsia="宋体" w:cs="Times New Roman"/>
        </w:rPr>
        <w:t>财力保障</w:t>
      </w:r>
      <w:r>
        <w:tab/>
      </w:r>
      <w:r>
        <w:fldChar w:fldCharType="begin"/>
      </w:r>
      <w:r>
        <w:instrText xml:space="preserve"> PAGEREF _Toc132468863 \h </w:instrText>
      </w:r>
      <w:r>
        <w:fldChar w:fldCharType="separate"/>
      </w:r>
      <w:r>
        <w:t>- 64 -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"_Toc132468864" </w:instrText>
      </w:r>
      <w:r>
        <w:fldChar w:fldCharType="separate"/>
      </w:r>
      <w:r>
        <w:rPr>
          <w:rStyle w:val="41"/>
          <w:rFonts w:eastAsia="宋体" w:cs="Times New Roman"/>
        </w:rPr>
        <w:t>9.1.3</w:t>
      </w:r>
      <w:r>
        <w:rPr>
          <w:rStyle w:val="41"/>
          <w:rFonts w:hint="eastAsia" w:eastAsia="宋体" w:cs="Times New Roman"/>
        </w:rPr>
        <w:t>物资及应急储存设施保障</w:t>
      </w:r>
      <w:r>
        <w:tab/>
      </w:r>
      <w:r>
        <w:fldChar w:fldCharType="begin"/>
      </w:r>
      <w:r>
        <w:instrText xml:space="preserve"> PAGEREF _Toc132468864 \h </w:instrText>
      </w:r>
      <w:r>
        <w:fldChar w:fldCharType="separate"/>
      </w:r>
      <w:r>
        <w:t>- 64 -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"_Toc132468865" </w:instrText>
      </w:r>
      <w:r>
        <w:fldChar w:fldCharType="separate"/>
      </w:r>
      <w:r>
        <w:rPr>
          <w:rStyle w:val="41"/>
          <w:rFonts w:eastAsia="宋体" w:cs="Times New Roman"/>
        </w:rPr>
        <w:t>9.1.4</w:t>
      </w:r>
      <w:r>
        <w:rPr>
          <w:rStyle w:val="41"/>
          <w:rFonts w:hint="eastAsia" w:eastAsia="宋体" w:cs="Times New Roman"/>
        </w:rPr>
        <w:t>治安维护保障</w:t>
      </w:r>
      <w:r>
        <w:tab/>
      </w:r>
      <w:r>
        <w:fldChar w:fldCharType="begin"/>
      </w:r>
      <w:r>
        <w:instrText xml:space="preserve"> PAGEREF _Toc132468865 \h </w:instrText>
      </w:r>
      <w:r>
        <w:fldChar w:fldCharType="separate"/>
      </w:r>
      <w:r>
        <w:t>- 64 -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"_Toc132468866" </w:instrText>
      </w:r>
      <w:r>
        <w:fldChar w:fldCharType="separate"/>
      </w:r>
      <w:r>
        <w:rPr>
          <w:rStyle w:val="41"/>
          <w:rFonts w:eastAsia="宋体" w:cs="Times New Roman"/>
        </w:rPr>
        <w:t>9.1.5</w:t>
      </w:r>
      <w:r>
        <w:rPr>
          <w:rStyle w:val="41"/>
          <w:rFonts w:hint="eastAsia" w:eastAsia="宋体" w:cs="Times New Roman"/>
        </w:rPr>
        <w:t>应急救援体系保障</w:t>
      </w:r>
      <w:r>
        <w:tab/>
      </w:r>
      <w:r>
        <w:fldChar w:fldCharType="begin"/>
      </w:r>
      <w:r>
        <w:instrText xml:space="preserve"> PAGEREF _Toc132468866 \h </w:instrText>
      </w:r>
      <w:r>
        <w:fldChar w:fldCharType="separate"/>
      </w:r>
      <w:r>
        <w:t>- 64 -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"_Toc132468867" </w:instrText>
      </w:r>
      <w:r>
        <w:fldChar w:fldCharType="separate"/>
      </w:r>
      <w:r>
        <w:rPr>
          <w:rStyle w:val="41"/>
          <w:rFonts w:ascii="Times New Roman" w:hAnsi="Times New Roman" w:eastAsia="宋体" w:cs="Times New Roman"/>
        </w:rPr>
        <w:t>9.2</w:t>
      </w:r>
      <w:r>
        <w:rPr>
          <w:rStyle w:val="41"/>
          <w:rFonts w:hint="eastAsia" w:ascii="Times New Roman" w:hAnsi="Times New Roman" w:eastAsia="宋体" w:cs="Times New Roman"/>
        </w:rPr>
        <w:t>外部保障</w:t>
      </w:r>
      <w:r>
        <w:tab/>
      </w:r>
      <w:r>
        <w:fldChar w:fldCharType="begin"/>
      </w:r>
      <w:r>
        <w:instrText xml:space="preserve"> PAGEREF _Toc132468867 \h </w:instrText>
      </w:r>
      <w:r>
        <w:fldChar w:fldCharType="separate"/>
      </w:r>
      <w:r>
        <w:t>- 65 -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"_Toc132468868" </w:instrText>
      </w:r>
      <w:r>
        <w:fldChar w:fldCharType="separate"/>
      </w:r>
      <w:r>
        <w:rPr>
          <w:rStyle w:val="41"/>
          <w:rFonts w:eastAsia="宋体" w:cs="Times New Roman"/>
        </w:rPr>
        <w:t>9.2.1</w:t>
      </w:r>
      <w:r>
        <w:rPr>
          <w:rStyle w:val="41"/>
          <w:rFonts w:hint="eastAsia" w:eastAsia="宋体" w:cs="Times New Roman"/>
        </w:rPr>
        <w:t>外部救援体系</w:t>
      </w:r>
      <w:r>
        <w:tab/>
      </w:r>
      <w:r>
        <w:fldChar w:fldCharType="begin"/>
      </w:r>
      <w:r>
        <w:instrText xml:space="preserve"> PAGEREF _Toc132468868 \h </w:instrText>
      </w:r>
      <w:r>
        <w:fldChar w:fldCharType="separate"/>
      </w:r>
      <w:r>
        <w:t>- 65 -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"_Toc132468869" </w:instrText>
      </w:r>
      <w:r>
        <w:fldChar w:fldCharType="separate"/>
      </w:r>
      <w:r>
        <w:rPr>
          <w:rStyle w:val="41"/>
          <w:rFonts w:eastAsia="宋体" w:cs="Times New Roman"/>
        </w:rPr>
        <w:t>9.2.2</w:t>
      </w:r>
      <w:r>
        <w:rPr>
          <w:rStyle w:val="41"/>
          <w:rFonts w:hint="eastAsia" w:eastAsia="宋体" w:cs="Times New Roman"/>
        </w:rPr>
        <w:t>应急救援信息咨询</w:t>
      </w:r>
      <w:r>
        <w:tab/>
      </w:r>
      <w:r>
        <w:fldChar w:fldCharType="begin"/>
      </w:r>
      <w:r>
        <w:instrText xml:space="preserve"> PAGEREF _Toc132468869 \h </w:instrText>
      </w:r>
      <w:r>
        <w:fldChar w:fldCharType="separate"/>
      </w:r>
      <w:r>
        <w:t>- 65 -</w:t>
      </w:r>
      <w:r>
        <w:fldChar w:fldCharType="end"/>
      </w:r>
      <w:r>
        <w:fldChar w:fldCharType="end"/>
      </w:r>
    </w:p>
    <w:p>
      <w:pPr>
        <w:pStyle w:val="26"/>
        <w:tabs>
          <w:tab w:val="right" w:leader="dot" w:pos="10180"/>
        </w:tabs>
        <w:ind w:firstLine="482"/>
        <w:rPr>
          <w:rFonts w:cstheme="minorBidi"/>
          <w:b w:val="0"/>
          <w:bCs w:val="0"/>
          <w:i w:val="0"/>
          <w:iCs w:val="0"/>
          <w:sz w:val="21"/>
          <w:szCs w:val="22"/>
        </w:rPr>
      </w:pPr>
      <w:r>
        <w:fldChar w:fldCharType="begin"/>
      </w:r>
      <w:r>
        <w:instrText xml:space="preserve"> HYPERLINK \l "_Toc132468870" </w:instrText>
      </w:r>
      <w:r>
        <w:fldChar w:fldCharType="separate"/>
      </w:r>
      <w:r>
        <w:rPr>
          <w:rStyle w:val="41"/>
          <w:rFonts w:ascii="Times New Roman" w:hAnsi="Times New Roman" w:eastAsia="宋体" w:cs="Times New Roman"/>
        </w:rPr>
        <w:t>10</w:t>
      </w:r>
      <w:r>
        <w:rPr>
          <w:rStyle w:val="41"/>
          <w:rFonts w:hint="eastAsia" w:ascii="Times New Roman" w:hAnsi="Times New Roman" w:eastAsia="宋体" w:cs="Times New Roman"/>
        </w:rPr>
        <w:t>应急预案监督管理</w:t>
      </w:r>
      <w:r>
        <w:tab/>
      </w:r>
      <w:r>
        <w:fldChar w:fldCharType="begin"/>
      </w:r>
      <w:r>
        <w:instrText xml:space="preserve"> PAGEREF _Toc132468870 \h </w:instrText>
      </w:r>
      <w:r>
        <w:fldChar w:fldCharType="separate"/>
      </w:r>
      <w:r>
        <w:t>- 66 -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"_Toc132468871" </w:instrText>
      </w:r>
      <w:r>
        <w:fldChar w:fldCharType="separate"/>
      </w:r>
      <w:r>
        <w:rPr>
          <w:rStyle w:val="41"/>
          <w:rFonts w:ascii="Times New Roman" w:hAnsi="Times New Roman" w:eastAsia="宋体" w:cs="Times New Roman"/>
        </w:rPr>
        <w:t>10.1</w:t>
      </w:r>
      <w:r>
        <w:rPr>
          <w:rStyle w:val="41"/>
          <w:rFonts w:hint="eastAsia" w:ascii="Times New Roman" w:hAnsi="Times New Roman" w:eastAsia="宋体" w:cs="Times New Roman"/>
        </w:rPr>
        <w:t>培训</w:t>
      </w:r>
      <w:r>
        <w:tab/>
      </w:r>
      <w:r>
        <w:fldChar w:fldCharType="begin"/>
      </w:r>
      <w:r>
        <w:instrText xml:space="preserve"> PAGEREF _Toc132468871 \h </w:instrText>
      </w:r>
      <w:r>
        <w:fldChar w:fldCharType="separate"/>
      </w:r>
      <w:r>
        <w:t>- 66 -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"_Toc132468872" </w:instrText>
      </w:r>
      <w:r>
        <w:fldChar w:fldCharType="separate"/>
      </w:r>
      <w:r>
        <w:rPr>
          <w:rStyle w:val="41"/>
          <w:rFonts w:eastAsia="宋体" w:cs="Times New Roman"/>
        </w:rPr>
        <w:t>10.1.1</w:t>
      </w:r>
      <w:r>
        <w:rPr>
          <w:rStyle w:val="41"/>
          <w:rFonts w:hint="eastAsia" w:eastAsia="宋体" w:cs="Times New Roman"/>
        </w:rPr>
        <w:t>应急人员的培训内容</w:t>
      </w:r>
      <w:r>
        <w:tab/>
      </w:r>
      <w:r>
        <w:fldChar w:fldCharType="begin"/>
      </w:r>
      <w:r>
        <w:instrText xml:space="preserve"> PAGEREF _Toc132468872 \h </w:instrText>
      </w:r>
      <w:r>
        <w:fldChar w:fldCharType="separate"/>
      </w:r>
      <w:r>
        <w:t>- 66 -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"_Toc132468873" </w:instrText>
      </w:r>
      <w:r>
        <w:fldChar w:fldCharType="separate"/>
      </w:r>
      <w:r>
        <w:rPr>
          <w:rStyle w:val="41"/>
          <w:rFonts w:eastAsia="宋体" w:cs="Times New Roman"/>
        </w:rPr>
        <w:t>10.1.2</w:t>
      </w:r>
      <w:r>
        <w:rPr>
          <w:rStyle w:val="41"/>
          <w:rFonts w:hint="eastAsia" w:eastAsia="宋体" w:cs="Times New Roman"/>
        </w:rPr>
        <w:t>员工与公众的培训</w:t>
      </w:r>
      <w:r>
        <w:tab/>
      </w:r>
      <w:r>
        <w:fldChar w:fldCharType="begin"/>
      </w:r>
      <w:r>
        <w:instrText xml:space="preserve"> PAGEREF _Toc132468873 \h </w:instrText>
      </w:r>
      <w:r>
        <w:fldChar w:fldCharType="separate"/>
      </w:r>
      <w:r>
        <w:t>- 66 -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"_Toc132468874" </w:instrText>
      </w:r>
      <w:r>
        <w:fldChar w:fldCharType="separate"/>
      </w:r>
      <w:r>
        <w:rPr>
          <w:rStyle w:val="41"/>
          <w:rFonts w:eastAsia="宋体" w:cs="Times New Roman"/>
        </w:rPr>
        <w:t>10.1.3</w:t>
      </w:r>
      <w:r>
        <w:rPr>
          <w:rStyle w:val="41"/>
          <w:rFonts w:hint="eastAsia" w:eastAsia="宋体" w:cs="Times New Roman"/>
        </w:rPr>
        <w:t>应急培训要求</w:t>
      </w:r>
      <w:r>
        <w:tab/>
      </w:r>
      <w:r>
        <w:fldChar w:fldCharType="begin"/>
      </w:r>
      <w:r>
        <w:instrText xml:space="preserve"> PAGEREF _Toc132468874 \h </w:instrText>
      </w:r>
      <w:r>
        <w:fldChar w:fldCharType="separate"/>
      </w:r>
      <w:r>
        <w:t>- 66 -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"_Toc132468875" </w:instrText>
      </w:r>
      <w:r>
        <w:fldChar w:fldCharType="separate"/>
      </w:r>
      <w:r>
        <w:rPr>
          <w:rStyle w:val="41"/>
          <w:rFonts w:ascii="Times New Roman" w:hAnsi="Times New Roman" w:eastAsia="宋体" w:cs="Times New Roman"/>
        </w:rPr>
        <w:t>10.2</w:t>
      </w:r>
      <w:r>
        <w:rPr>
          <w:rStyle w:val="41"/>
          <w:rFonts w:hint="eastAsia" w:ascii="Times New Roman" w:hAnsi="Times New Roman" w:eastAsia="宋体" w:cs="Times New Roman"/>
        </w:rPr>
        <w:t>演练</w:t>
      </w:r>
      <w:r>
        <w:tab/>
      </w:r>
      <w:r>
        <w:fldChar w:fldCharType="begin"/>
      </w:r>
      <w:r>
        <w:instrText xml:space="preserve"> PAGEREF _Toc132468875 \h </w:instrText>
      </w:r>
      <w:r>
        <w:fldChar w:fldCharType="separate"/>
      </w:r>
      <w:r>
        <w:t>- 67 -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"_Toc132468876" </w:instrText>
      </w:r>
      <w:r>
        <w:fldChar w:fldCharType="separate"/>
      </w:r>
      <w:r>
        <w:rPr>
          <w:rStyle w:val="41"/>
          <w:rFonts w:eastAsia="宋体" w:cs="Times New Roman"/>
        </w:rPr>
        <w:t>10.2.1</w:t>
      </w:r>
      <w:r>
        <w:rPr>
          <w:rStyle w:val="41"/>
          <w:rFonts w:hint="eastAsia" w:eastAsia="宋体" w:cs="Times New Roman"/>
        </w:rPr>
        <w:t>演练方式</w:t>
      </w:r>
      <w:r>
        <w:tab/>
      </w:r>
      <w:r>
        <w:fldChar w:fldCharType="begin"/>
      </w:r>
      <w:r>
        <w:instrText xml:space="preserve"> PAGEREF _Toc132468876 \h </w:instrText>
      </w:r>
      <w:r>
        <w:fldChar w:fldCharType="separate"/>
      </w:r>
      <w:r>
        <w:t>- 67 -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"_Toc132468877" </w:instrText>
      </w:r>
      <w:r>
        <w:fldChar w:fldCharType="separate"/>
      </w:r>
      <w:r>
        <w:rPr>
          <w:rStyle w:val="41"/>
          <w:rFonts w:eastAsia="宋体" w:cs="Times New Roman"/>
        </w:rPr>
        <w:t>10.2.2</w:t>
      </w:r>
      <w:r>
        <w:rPr>
          <w:rStyle w:val="41"/>
          <w:rFonts w:hint="eastAsia" w:eastAsia="宋体" w:cs="Times New Roman"/>
        </w:rPr>
        <w:t>演练组织与级别</w:t>
      </w:r>
      <w:r>
        <w:tab/>
      </w:r>
      <w:r>
        <w:fldChar w:fldCharType="begin"/>
      </w:r>
      <w:r>
        <w:instrText xml:space="preserve"> PAGEREF _Toc132468877 \h </w:instrText>
      </w:r>
      <w:r>
        <w:fldChar w:fldCharType="separate"/>
      </w:r>
      <w:r>
        <w:t>- 67 -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"_Toc132468878" </w:instrText>
      </w:r>
      <w:r>
        <w:fldChar w:fldCharType="separate"/>
      </w:r>
      <w:r>
        <w:rPr>
          <w:rStyle w:val="41"/>
          <w:rFonts w:eastAsia="宋体" w:cs="Times New Roman"/>
        </w:rPr>
        <w:t>10.2.3</w:t>
      </w:r>
      <w:r>
        <w:rPr>
          <w:rStyle w:val="41"/>
          <w:rFonts w:hint="eastAsia" w:eastAsia="宋体" w:cs="Times New Roman"/>
        </w:rPr>
        <w:t>演练准备</w:t>
      </w:r>
      <w:r>
        <w:tab/>
      </w:r>
      <w:r>
        <w:fldChar w:fldCharType="begin"/>
      </w:r>
      <w:r>
        <w:instrText xml:space="preserve"> PAGEREF _Toc132468878 \h </w:instrText>
      </w:r>
      <w:r>
        <w:fldChar w:fldCharType="separate"/>
      </w:r>
      <w:r>
        <w:t>- 67 -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"_Toc132468879" </w:instrText>
      </w:r>
      <w:r>
        <w:fldChar w:fldCharType="separate"/>
      </w:r>
      <w:r>
        <w:rPr>
          <w:rStyle w:val="41"/>
          <w:rFonts w:eastAsia="宋体" w:cs="Times New Roman"/>
        </w:rPr>
        <w:t>10.2.4</w:t>
      </w:r>
      <w:r>
        <w:rPr>
          <w:rStyle w:val="41"/>
          <w:rFonts w:hint="eastAsia" w:eastAsia="宋体" w:cs="Times New Roman"/>
        </w:rPr>
        <w:t>演练频次与范围</w:t>
      </w:r>
      <w:r>
        <w:tab/>
      </w:r>
      <w:r>
        <w:fldChar w:fldCharType="begin"/>
      </w:r>
      <w:r>
        <w:instrText xml:space="preserve"> PAGEREF _Toc132468879 \h </w:instrText>
      </w:r>
      <w:r>
        <w:fldChar w:fldCharType="separate"/>
      </w:r>
      <w:r>
        <w:t>- 67 -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"_Toc132468880" </w:instrText>
      </w:r>
      <w:r>
        <w:fldChar w:fldCharType="separate"/>
      </w:r>
      <w:r>
        <w:rPr>
          <w:rStyle w:val="41"/>
          <w:rFonts w:ascii="Times New Roman" w:hAnsi="Times New Roman" w:eastAsia="宋体" w:cs="Times New Roman"/>
        </w:rPr>
        <w:t>10.3</w:t>
      </w:r>
      <w:r>
        <w:rPr>
          <w:rStyle w:val="41"/>
          <w:rFonts w:hint="eastAsia" w:ascii="Times New Roman" w:hAnsi="Times New Roman" w:eastAsia="宋体" w:cs="Times New Roman"/>
        </w:rPr>
        <w:t>奖励与责任追究</w:t>
      </w:r>
      <w:r>
        <w:tab/>
      </w:r>
      <w:r>
        <w:fldChar w:fldCharType="begin"/>
      </w:r>
      <w:r>
        <w:instrText xml:space="preserve"> PAGEREF _Toc132468880 \h </w:instrText>
      </w:r>
      <w:r>
        <w:fldChar w:fldCharType="separate"/>
      </w:r>
      <w:r>
        <w:t>- 68 -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"_Toc132468881" </w:instrText>
      </w:r>
      <w:r>
        <w:fldChar w:fldCharType="separate"/>
      </w:r>
      <w:r>
        <w:rPr>
          <w:rStyle w:val="41"/>
          <w:rFonts w:eastAsia="宋体" w:cs="Times New Roman"/>
        </w:rPr>
        <w:t>10.3.1</w:t>
      </w:r>
      <w:r>
        <w:rPr>
          <w:rStyle w:val="41"/>
          <w:rFonts w:hint="eastAsia" w:eastAsia="宋体" w:cs="Times New Roman"/>
        </w:rPr>
        <w:t>奖励</w:t>
      </w:r>
      <w:r>
        <w:tab/>
      </w:r>
      <w:r>
        <w:fldChar w:fldCharType="begin"/>
      </w:r>
      <w:r>
        <w:instrText xml:space="preserve"> PAGEREF _Toc132468881 \h </w:instrText>
      </w:r>
      <w:r>
        <w:fldChar w:fldCharType="separate"/>
      </w:r>
      <w:r>
        <w:t>- 68 -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"_Toc132468882" </w:instrText>
      </w:r>
      <w:r>
        <w:fldChar w:fldCharType="separate"/>
      </w:r>
      <w:r>
        <w:rPr>
          <w:rStyle w:val="41"/>
          <w:rFonts w:eastAsia="宋体" w:cs="Times New Roman"/>
        </w:rPr>
        <w:t>10.3.2</w:t>
      </w:r>
      <w:r>
        <w:rPr>
          <w:rStyle w:val="41"/>
          <w:rFonts w:hint="eastAsia" w:eastAsia="宋体" w:cs="Times New Roman"/>
        </w:rPr>
        <w:t>责任追究</w:t>
      </w:r>
      <w:r>
        <w:tab/>
      </w:r>
      <w:r>
        <w:fldChar w:fldCharType="begin"/>
      </w:r>
      <w:r>
        <w:instrText xml:space="preserve"> PAGEREF _Toc132468882 \h </w:instrText>
      </w:r>
      <w:r>
        <w:fldChar w:fldCharType="separate"/>
      </w:r>
      <w:r>
        <w:t>- 68 -</w:t>
      </w:r>
      <w:r>
        <w:fldChar w:fldCharType="end"/>
      </w:r>
      <w:r>
        <w:fldChar w:fldCharType="end"/>
      </w:r>
    </w:p>
    <w:p>
      <w:pPr>
        <w:pStyle w:val="29"/>
        <w:tabs>
          <w:tab w:val="right" w:leader="dot" w:pos="10180"/>
        </w:tabs>
        <w:ind w:firstLine="442"/>
        <w:rPr>
          <w:rFonts w:cstheme="minorBidi"/>
          <w:b w:val="0"/>
          <w:bCs w:val="0"/>
          <w:sz w:val="21"/>
        </w:rPr>
      </w:pPr>
      <w:r>
        <w:fldChar w:fldCharType="begin"/>
      </w:r>
      <w:r>
        <w:instrText xml:space="preserve"> HYPERLINK \l "_Toc132468883" </w:instrText>
      </w:r>
      <w:r>
        <w:fldChar w:fldCharType="separate"/>
      </w:r>
      <w:r>
        <w:rPr>
          <w:rStyle w:val="41"/>
          <w:rFonts w:ascii="Times New Roman" w:hAnsi="Times New Roman" w:eastAsia="宋体" w:cs="Times New Roman"/>
        </w:rPr>
        <w:t>10.4</w:t>
      </w:r>
      <w:r>
        <w:rPr>
          <w:rStyle w:val="41"/>
          <w:rFonts w:hint="eastAsia" w:ascii="Times New Roman" w:hAnsi="Times New Roman" w:eastAsia="宋体" w:cs="Times New Roman"/>
        </w:rPr>
        <w:t>预案的备案、发布和更新</w:t>
      </w:r>
      <w:r>
        <w:tab/>
      </w:r>
      <w:r>
        <w:fldChar w:fldCharType="begin"/>
      </w:r>
      <w:r>
        <w:instrText xml:space="preserve"> PAGEREF _Toc132468883 \h </w:instrText>
      </w:r>
      <w:r>
        <w:fldChar w:fldCharType="separate"/>
      </w:r>
      <w:r>
        <w:t>- 69 -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"_Toc132468884" </w:instrText>
      </w:r>
      <w:r>
        <w:fldChar w:fldCharType="separate"/>
      </w:r>
      <w:r>
        <w:rPr>
          <w:rStyle w:val="41"/>
          <w:rFonts w:eastAsia="宋体" w:cs="Times New Roman"/>
        </w:rPr>
        <w:t>10.4.1</w:t>
      </w:r>
      <w:r>
        <w:rPr>
          <w:rStyle w:val="41"/>
          <w:rFonts w:hint="eastAsia" w:eastAsia="宋体" w:cs="Times New Roman"/>
        </w:rPr>
        <w:t>预案备案</w:t>
      </w:r>
      <w:r>
        <w:tab/>
      </w:r>
      <w:r>
        <w:fldChar w:fldCharType="begin"/>
      </w:r>
      <w:r>
        <w:instrText xml:space="preserve"> PAGEREF _Toc132468884 \h </w:instrText>
      </w:r>
      <w:r>
        <w:fldChar w:fldCharType="separate"/>
      </w:r>
      <w:r>
        <w:t>- 69 -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"_Toc132468885" </w:instrText>
      </w:r>
      <w:r>
        <w:fldChar w:fldCharType="separate"/>
      </w:r>
      <w:r>
        <w:rPr>
          <w:rStyle w:val="41"/>
          <w:rFonts w:eastAsia="宋体" w:cs="Times New Roman"/>
        </w:rPr>
        <w:t>10.4.2</w:t>
      </w:r>
      <w:r>
        <w:rPr>
          <w:rStyle w:val="41"/>
          <w:rFonts w:hint="eastAsia" w:eastAsia="宋体" w:cs="Times New Roman"/>
        </w:rPr>
        <w:t>预案分布与发放</w:t>
      </w:r>
      <w:r>
        <w:tab/>
      </w:r>
      <w:r>
        <w:fldChar w:fldCharType="begin"/>
      </w:r>
      <w:r>
        <w:instrText xml:space="preserve"> PAGEREF _Toc132468885 \h </w:instrText>
      </w:r>
      <w:r>
        <w:fldChar w:fldCharType="separate"/>
      </w:r>
      <w:r>
        <w:t>- 69 -</w:t>
      </w:r>
      <w:r>
        <w:fldChar w:fldCharType="end"/>
      </w:r>
      <w:r>
        <w:fldChar w:fldCharType="end"/>
      </w:r>
    </w:p>
    <w:p>
      <w:pPr>
        <w:pStyle w:val="20"/>
        <w:tabs>
          <w:tab w:val="right" w:leader="dot" w:pos="10180"/>
        </w:tabs>
        <w:ind w:firstLine="400"/>
        <w:rPr>
          <w:rFonts w:cstheme="minorBidi"/>
          <w:sz w:val="21"/>
          <w:szCs w:val="22"/>
        </w:rPr>
      </w:pPr>
      <w:r>
        <w:fldChar w:fldCharType="begin"/>
      </w:r>
      <w:r>
        <w:instrText xml:space="preserve"> HYPERLINK \l "_Toc132468886" </w:instrText>
      </w:r>
      <w:r>
        <w:fldChar w:fldCharType="separate"/>
      </w:r>
      <w:r>
        <w:rPr>
          <w:rStyle w:val="41"/>
          <w:rFonts w:eastAsia="宋体" w:cs="Times New Roman"/>
        </w:rPr>
        <w:t>10.4.3</w:t>
      </w:r>
      <w:r>
        <w:rPr>
          <w:rStyle w:val="41"/>
          <w:rFonts w:hint="eastAsia" w:eastAsia="宋体" w:cs="Times New Roman"/>
        </w:rPr>
        <w:t>应急预案的修订</w:t>
      </w:r>
      <w:r>
        <w:tab/>
      </w:r>
      <w:r>
        <w:fldChar w:fldCharType="begin"/>
      </w:r>
      <w:r>
        <w:instrText xml:space="preserve"> PAGEREF _Toc132468886 \h </w:instrText>
      </w:r>
      <w:r>
        <w:fldChar w:fldCharType="separate"/>
      </w:r>
      <w:r>
        <w:t>- 69 -</w:t>
      </w:r>
      <w:r>
        <w:fldChar w:fldCharType="end"/>
      </w:r>
      <w:r>
        <w:fldChar w:fldCharType="end"/>
      </w:r>
    </w:p>
    <w:p>
      <w:pPr>
        <w:pStyle w:val="26"/>
        <w:tabs>
          <w:tab w:val="right" w:leader="dot" w:pos="10180"/>
        </w:tabs>
        <w:ind w:firstLine="482"/>
        <w:rPr>
          <w:rFonts w:cstheme="minorBidi"/>
          <w:b w:val="0"/>
          <w:bCs w:val="0"/>
          <w:i w:val="0"/>
          <w:iCs w:val="0"/>
          <w:sz w:val="21"/>
          <w:szCs w:val="22"/>
        </w:rPr>
      </w:pPr>
      <w:r>
        <w:fldChar w:fldCharType="begin"/>
      </w:r>
      <w:r>
        <w:instrText xml:space="preserve"> HYPERLINK \l "_Toc132468887" </w:instrText>
      </w:r>
      <w:r>
        <w:fldChar w:fldCharType="separate"/>
      </w:r>
      <w:r>
        <w:rPr>
          <w:rStyle w:val="41"/>
          <w:rFonts w:ascii="Times New Roman" w:hAnsi="Times New Roman" w:eastAsia="宋体" w:cs="Times New Roman"/>
        </w:rPr>
        <w:t>11</w:t>
      </w:r>
      <w:r>
        <w:rPr>
          <w:rStyle w:val="41"/>
          <w:rFonts w:hint="eastAsia" w:ascii="Times New Roman" w:hAnsi="Times New Roman" w:eastAsia="宋体" w:cs="Times New Roman"/>
        </w:rPr>
        <w:t>附则</w:t>
      </w:r>
      <w:r>
        <w:tab/>
      </w:r>
      <w:r>
        <w:fldChar w:fldCharType="begin"/>
      </w:r>
      <w:r>
        <w:instrText xml:space="preserve"> PAGEREF _Toc132468887 \h </w:instrText>
      </w:r>
      <w:r>
        <w:fldChar w:fldCharType="separate"/>
      </w:r>
      <w:r>
        <w:t>- 71 -</w:t>
      </w:r>
      <w:r>
        <w:fldChar w:fldCharType="end"/>
      </w:r>
      <w:r>
        <w:fldChar w:fldCharType="end"/>
      </w:r>
    </w:p>
    <w:p>
      <w:pPr>
        <w:pStyle w:val="26"/>
        <w:tabs>
          <w:tab w:val="right" w:leader="dot" w:pos="10180"/>
        </w:tabs>
        <w:ind w:firstLine="482"/>
        <w:rPr>
          <w:rFonts w:cstheme="minorBidi"/>
          <w:b w:val="0"/>
          <w:bCs w:val="0"/>
          <w:i w:val="0"/>
          <w:iCs w:val="0"/>
          <w:sz w:val="21"/>
          <w:szCs w:val="22"/>
        </w:rPr>
      </w:pPr>
      <w:r>
        <w:fldChar w:fldCharType="begin"/>
      </w:r>
      <w:r>
        <w:instrText xml:space="preserve"> HYPERLINK \l "_Toc132468888" </w:instrText>
      </w:r>
      <w:r>
        <w:fldChar w:fldCharType="separate"/>
      </w:r>
      <w:r>
        <w:rPr>
          <w:rStyle w:val="41"/>
          <w:rFonts w:hint="eastAsia" w:ascii="Times New Roman" w:hAnsi="Times New Roman" w:eastAsia="宋体" w:cs="Times New Roman"/>
        </w:rPr>
        <w:t>赤壁恒瑞非织造材料有限公司危险废物专项环境应急预案</w:t>
      </w:r>
      <w:r>
        <w:tab/>
      </w:r>
      <w:r>
        <w:fldChar w:fldCharType="begin"/>
      </w:r>
      <w:r>
        <w:instrText xml:space="preserve"> PAGEREF _Toc132468888 \h </w:instrText>
      </w:r>
      <w:r>
        <w:fldChar w:fldCharType="separate"/>
      </w:r>
      <w:r>
        <w:t>- 73 -</w:t>
      </w:r>
      <w:r>
        <w:fldChar w:fldCharType="end"/>
      </w:r>
      <w:r>
        <w:fldChar w:fldCharType="end"/>
      </w:r>
    </w:p>
    <w:p>
      <w:pPr>
        <w:pStyle w:val="26"/>
        <w:tabs>
          <w:tab w:val="right" w:leader="dot" w:pos="10180"/>
        </w:tabs>
        <w:ind w:firstLine="482"/>
        <w:rPr>
          <w:rFonts w:cstheme="minorBidi"/>
          <w:b w:val="0"/>
          <w:bCs w:val="0"/>
          <w:i w:val="0"/>
          <w:iCs w:val="0"/>
          <w:sz w:val="21"/>
          <w:szCs w:val="22"/>
        </w:rPr>
      </w:pPr>
      <w:r>
        <w:fldChar w:fldCharType="begin"/>
      </w:r>
      <w:r>
        <w:instrText xml:space="preserve"> HYPERLINK \l "_Toc132468889" </w:instrText>
      </w:r>
      <w:r>
        <w:fldChar w:fldCharType="separate"/>
      </w:r>
      <w:r>
        <w:rPr>
          <w:rStyle w:val="41"/>
          <w:rFonts w:hint="eastAsia" w:ascii="Times New Roman" w:hAnsi="Times New Roman" w:eastAsia="宋体" w:cs="Times New Roman"/>
        </w:rPr>
        <w:t>赤壁恒瑞非织造材料有限公司突发环境事件现场应急处置预案</w:t>
      </w:r>
      <w:r>
        <w:tab/>
      </w:r>
      <w:r>
        <w:fldChar w:fldCharType="begin"/>
      </w:r>
      <w:r>
        <w:instrText xml:space="preserve"> PAGEREF _Toc132468889 \h </w:instrText>
      </w:r>
      <w:r>
        <w:fldChar w:fldCharType="separate"/>
      </w:r>
      <w:r>
        <w:t>- 80 -</w:t>
      </w:r>
      <w:r>
        <w:fldChar w:fldCharType="end"/>
      </w:r>
      <w:r>
        <w:fldChar w:fldCharType="end"/>
      </w:r>
    </w:p>
    <w:p>
      <w:pPr>
        <w:pStyle w:val="26"/>
        <w:tabs>
          <w:tab w:val="right" w:leader="dot" w:pos="10180"/>
        </w:tabs>
        <w:ind w:firstLine="482"/>
        <w:rPr>
          <w:rFonts w:cstheme="minorBidi"/>
          <w:b w:val="0"/>
          <w:bCs w:val="0"/>
          <w:i w:val="0"/>
          <w:iCs w:val="0"/>
          <w:sz w:val="21"/>
          <w:szCs w:val="22"/>
        </w:rPr>
      </w:pPr>
      <w:r>
        <w:fldChar w:fldCharType="begin"/>
      </w:r>
      <w:r>
        <w:instrText xml:space="preserve"> HYPERLINK \l "_Toc132468890" </w:instrText>
      </w:r>
      <w:r>
        <w:fldChar w:fldCharType="separate"/>
      </w:r>
      <w:r>
        <w:rPr>
          <w:rStyle w:val="41"/>
          <w:rFonts w:hint="eastAsia" w:ascii="Times New Roman" w:hAnsi="Times New Roman" w:eastAsia="宋体" w:cs="Times New Roman"/>
        </w:rPr>
        <w:t>附图附件</w:t>
      </w:r>
      <w:r>
        <w:tab/>
      </w:r>
      <w:r>
        <w:fldChar w:fldCharType="begin"/>
      </w:r>
      <w:r>
        <w:instrText xml:space="preserve"> PAGEREF _Toc132468890 \h </w:instrText>
      </w:r>
      <w:r>
        <w:fldChar w:fldCharType="separate"/>
      </w:r>
      <w:r>
        <w:t>- 88 -</w:t>
      </w:r>
      <w:r>
        <w:fldChar w:fldCharType="end"/>
      </w:r>
      <w:r>
        <w:fldChar w:fldCharType="end"/>
      </w:r>
    </w:p>
    <w:p>
      <w:pPr>
        <w:ind w:firstLine="560"/>
        <w:rPr>
          <w:rFonts w:ascii="Times New Roman" w:hAnsi="Times New Roman" w:eastAsia="宋体" w:cs="Times New Roman"/>
          <w:sz w:val="28"/>
          <w:szCs w:val="28"/>
        </w:rPr>
      </w:pPr>
      <w:r>
        <w:rPr>
          <w:rFonts w:ascii="Times New Roman" w:hAnsi="Times New Roman" w:eastAsia="宋体" w:cs="Times New Roman"/>
          <w:sz w:val="28"/>
          <w:szCs w:val="28"/>
        </w:rPr>
        <w:fldChar w:fldCharType="end"/>
      </w:r>
    </w:p>
    <w:p>
      <w:pPr>
        <w:ind w:right="1260" w:firstLine="480"/>
        <w:jc w:val="center"/>
        <w:rPr>
          <w:rFonts w:ascii="Times New Roman" w:hAnsi="Times New Roman" w:eastAsia="宋体" w:cs="Times New Roman"/>
          <w:caps/>
          <w:szCs w:val="24"/>
        </w:rPr>
      </w:pPr>
    </w:p>
    <w:p>
      <w:pPr>
        <w:pStyle w:val="6"/>
        <w:spacing w:before="320" w:after="320"/>
        <w:rPr>
          <w:rFonts w:ascii="Times New Roman" w:hAnsi="Times New Roman" w:eastAsia="宋体" w:cs="Times New Roman"/>
          <w:sz w:val="32"/>
          <w:szCs w:val="32"/>
        </w:rPr>
        <w:sectPr>
          <w:headerReference r:id="rId14" w:type="default"/>
          <w:footerReference r:id="rId15" w:type="default"/>
          <w:pgSz w:w="11910" w:h="16840"/>
          <w:pgMar w:top="1040" w:right="820" w:bottom="1200" w:left="900" w:header="858" w:footer="991" w:gutter="0"/>
          <w:pgNumType w:fmt="numberInDash" w:start="1"/>
          <w:cols w:space="720" w:num="1"/>
        </w:sectPr>
      </w:pPr>
      <w:bookmarkStart w:id="0" w:name="_Toc523160275"/>
      <w:bookmarkStart w:id="1" w:name="_Toc529542525"/>
      <w:bookmarkStart w:id="2" w:name="_Toc510164011"/>
      <w:bookmarkStart w:id="3" w:name="_Toc19680"/>
      <w:bookmarkStart w:id="4" w:name="_Toc523160132"/>
      <w:bookmarkStart w:id="5" w:name="_Toc510164458"/>
      <w:bookmarkStart w:id="6" w:name="_Toc510164295"/>
      <w:bookmarkStart w:id="7" w:name="_Toc11733"/>
    </w:p>
    <w:p>
      <w:pPr>
        <w:pStyle w:val="6"/>
        <w:spacing w:before="320" w:after="320"/>
        <w:rPr>
          <w:rFonts w:ascii="Times New Roman" w:hAnsi="Times New Roman" w:eastAsia="宋体" w:cs="Times New Roman"/>
          <w:sz w:val="32"/>
          <w:szCs w:val="32"/>
        </w:rPr>
      </w:pPr>
      <w:bookmarkStart w:id="8" w:name="_Toc132468731"/>
      <w:r>
        <w:rPr>
          <w:rFonts w:ascii="Times New Roman" w:hAnsi="Times New Roman" w:eastAsia="宋体" w:cs="Times New Roman"/>
          <w:sz w:val="32"/>
          <w:szCs w:val="32"/>
        </w:rPr>
        <w:t>1总则</w:t>
      </w:r>
      <w:bookmarkEnd w:id="0"/>
      <w:bookmarkEnd w:id="1"/>
      <w:bookmarkEnd w:id="2"/>
      <w:bookmarkEnd w:id="3"/>
      <w:bookmarkEnd w:id="4"/>
      <w:bookmarkEnd w:id="5"/>
      <w:bookmarkEnd w:id="6"/>
      <w:bookmarkEnd w:id="7"/>
      <w:bookmarkEnd w:id="8"/>
    </w:p>
    <w:p>
      <w:pPr>
        <w:pStyle w:val="7"/>
        <w:spacing w:before="260" w:after="260"/>
        <w:rPr>
          <w:rFonts w:ascii="Times New Roman" w:hAnsi="Times New Roman" w:eastAsia="宋体" w:cs="Times New Roman"/>
          <w:sz w:val="30"/>
          <w:szCs w:val="30"/>
        </w:rPr>
      </w:pPr>
      <w:bookmarkStart w:id="9" w:name="_Toc510164012"/>
      <w:bookmarkStart w:id="10" w:name="_Toc510164296"/>
      <w:bookmarkStart w:id="11" w:name="_Toc523160133"/>
      <w:bookmarkStart w:id="12" w:name="_Toc132468732"/>
      <w:bookmarkStart w:id="13" w:name="_Toc510164459"/>
      <w:bookmarkStart w:id="14" w:name="_Toc523160276"/>
      <w:bookmarkStart w:id="15" w:name="_Toc529542526"/>
      <w:bookmarkStart w:id="16" w:name="_Toc8467"/>
      <w:bookmarkStart w:id="17" w:name="_Toc20162"/>
      <w:r>
        <w:rPr>
          <w:rFonts w:ascii="Times New Roman" w:hAnsi="Times New Roman" w:eastAsia="宋体" w:cs="Times New Roman"/>
          <w:sz w:val="30"/>
          <w:szCs w:val="30"/>
        </w:rPr>
        <w:t>1.1编制目的</w:t>
      </w:r>
      <w:bookmarkEnd w:id="9"/>
      <w:bookmarkEnd w:id="10"/>
      <w:bookmarkEnd w:id="11"/>
      <w:bookmarkEnd w:id="12"/>
      <w:bookmarkEnd w:id="13"/>
      <w:bookmarkEnd w:id="14"/>
      <w:bookmarkEnd w:id="15"/>
      <w:bookmarkEnd w:id="16"/>
      <w:bookmarkEnd w:id="17"/>
    </w:p>
    <w:p>
      <w:pPr>
        <w:ind w:firstLine="480"/>
        <w:rPr>
          <w:rFonts w:ascii="Times New Roman" w:hAnsi="Times New Roman" w:eastAsia="宋体" w:cs="Times New Roman"/>
          <w:szCs w:val="24"/>
        </w:rPr>
      </w:pPr>
      <w:r>
        <w:rPr>
          <w:rFonts w:ascii="Times New Roman" w:hAnsi="Times New Roman" w:eastAsia="宋体" w:cs="Times New Roman"/>
          <w:szCs w:val="24"/>
        </w:rPr>
        <w:t>为了认真贯彻落实《中华人民共和国环境保护法》、《中华人民共和国安全生产法》、《中华人民共和国水污染防治法》、《中华人民共和国大气污染防治法》、</w:t>
      </w:r>
      <w:r>
        <w:rPr>
          <w:rFonts w:hint="eastAsia" w:ascii="Times New Roman" w:hAnsi="Times New Roman" w:eastAsia="宋体" w:cs="Times New Roman"/>
          <w:szCs w:val="24"/>
        </w:rPr>
        <w:t>《中华人民共和国固体废物污染环境防治法》</w:t>
      </w:r>
      <w:r>
        <w:rPr>
          <w:rFonts w:ascii="Times New Roman" w:hAnsi="Times New Roman" w:eastAsia="宋体" w:cs="Times New Roman"/>
          <w:szCs w:val="24"/>
        </w:rPr>
        <w:t>、</w:t>
      </w:r>
      <w:r>
        <w:rPr>
          <w:rFonts w:hint="eastAsia" w:ascii="Times New Roman" w:hAnsi="Times New Roman" w:eastAsia="宋体" w:cs="Times New Roman"/>
          <w:szCs w:val="24"/>
        </w:rPr>
        <w:t>《危险化学品安全管理条例》</w:t>
      </w:r>
      <w:r>
        <w:rPr>
          <w:rFonts w:ascii="Times New Roman" w:hAnsi="Times New Roman" w:eastAsia="宋体" w:cs="Times New Roman"/>
          <w:szCs w:val="24"/>
        </w:rPr>
        <w:t>和《国务院关于全面加强应急管理工作的意见》等有关法律、法规的要求，建立健全环境污染事故应急机制，提高企业应对环境污染事故能力，能够确保迅速做出响应，有领导、有组织、有计划、有步骤的按事先制定的抢险救援工作方案，有条不紊地进行抢险救援工作，采取及时有效的措施，将事故影响降到最低限度，增强突发性环境事件的防范能力，减少风险，有效的预防和控制突发性环境污染事故的发生，减轻和消除突发事件引起的严重社会危害，以保障企业员工和周围居民的人身安全与健康，使国家、集体和个人利益免受侵害，特制订本预案。规范突发事件应对活动，保护人民生命财产安全，维护国家安全、公共安全、环境安全和社会秩序，特制定本预案。</w:t>
      </w:r>
    </w:p>
    <w:p>
      <w:pPr>
        <w:pStyle w:val="7"/>
        <w:spacing w:before="260" w:after="260"/>
        <w:rPr>
          <w:rFonts w:ascii="Times New Roman" w:hAnsi="Times New Roman" w:eastAsia="宋体" w:cs="Times New Roman"/>
          <w:sz w:val="30"/>
          <w:szCs w:val="30"/>
        </w:rPr>
      </w:pPr>
      <w:bookmarkStart w:id="18" w:name="_Toc523160134"/>
      <w:bookmarkStart w:id="19" w:name="_Toc510164013"/>
      <w:bookmarkStart w:id="20" w:name="_Toc523160277"/>
      <w:bookmarkStart w:id="21" w:name="_Toc529542527"/>
      <w:bookmarkStart w:id="22" w:name="_Toc132468733"/>
      <w:bookmarkStart w:id="23" w:name="_Toc510164297"/>
      <w:bookmarkStart w:id="24" w:name="_Toc510164460"/>
      <w:bookmarkStart w:id="25" w:name="_Toc10387"/>
      <w:bookmarkStart w:id="26" w:name="_Toc509234739"/>
      <w:bookmarkStart w:id="27" w:name="_Toc1311"/>
      <w:r>
        <w:rPr>
          <w:rFonts w:ascii="Times New Roman" w:hAnsi="Times New Roman" w:eastAsia="宋体" w:cs="Times New Roman"/>
          <w:sz w:val="30"/>
          <w:szCs w:val="30"/>
        </w:rPr>
        <w:t>1.2编制依据</w:t>
      </w:r>
      <w:bookmarkEnd w:id="18"/>
      <w:bookmarkEnd w:id="19"/>
      <w:bookmarkEnd w:id="20"/>
      <w:bookmarkEnd w:id="21"/>
      <w:bookmarkEnd w:id="22"/>
      <w:bookmarkEnd w:id="23"/>
      <w:bookmarkEnd w:id="24"/>
      <w:bookmarkEnd w:id="25"/>
      <w:bookmarkEnd w:id="26"/>
      <w:bookmarkEnd w:id="27"/>
    </w:p>
    <w:p>
      <w:pPr>
        <w:pStyle w:val="8"/>
        <w:spacing w:before="180" w:after="180"/>
        <w:rPr>
          <w:rFonts w:eastAsia="宋体" w:cs="Times New Roman"/>
          <w:sz w:val="28"/>
          <w:szCs w:val="28"/>
        </w:rPr>
      </w:pPr>
      <w:bookmarkStart w:id="28" w:name="_Toc5196"/>
      <w:bookmarkStart w:id="29" w:name="_Toc132468734"/>
      <w:bookmarkStart w:id="30" w:name="_Toc24702"/>
      <w:bookmarkStart w:id="31" w:name="_Toc510164014"/>
      <w:bookmarkStart w:id="32" w:name="_Toc523160278"/>
      <w:bookmarkStart w:id="33" w:name="_Toc509234740"/>
      <w:bookmarkStart w:id="34" w:name="_Toc529542528"/>
      <w:r>
        <w:rPr>
          <w:rFonts w:eastAsia="宋体" w:cs="Times New Roman"/>
          <w:sz w:val="28"/>
          <w:szCs w:val="28"/>
        </w:rPr>
        <w:t>1.2.1法律法规</w:t>
      </w:r>
      <w:bookmarkEnd w:id="28"/>
      <w:bookmarkEnd w:id="29"/>
      <w:bookmarkEnd w:id="30"/>
      <w:bookmarkEnd w:id="31"/>
      <w:bookmarkEnd w:id="32"/>
      <w:bookmarkEnd w:id="33"/>
      <w:bookmarkEnd w:id="34"/>
    </w:p>
    <w:p>
      <w:pPr>
        <w:ind w:firstLine="480"/>
        <w:rPr>
          <w:rFonts w:ascii="Times New Roman" w:hAnsi="Times New Roman" w:eastAsia="宋体" w:cs="Times New Roman"/>
        </w:rPr>
      </w:pPr>
      <w:r>
        <w:rPr>
          <w:rFonts w:ascii="Times New Roman" w:hAnsi="Times New Roman" w:eastAsia="宋体" w:cs="Times New Roman"/>
        </w:rPr>
        <w:t>（1）《中华人民共和国环境保护法》（2015年1月1日实施）；</w:t>
      </w:r>
    </w:p>
    <w:p>
      <w:pPr>
        <w:ind w:firstLine="480"/>
        <w:rPr>
          <w:rFonts w:ascii="Times New Roman" w:hAnsi="Times New Roman" w:eastAsia="宋体" w:cs="Times New Roman"/>
        </w:rPr>
      </w:pPr>
      <w:r>
        <w:rPr>
          <w:rFonts w:ascii="Times New Roman" w:hAnsi="Times New Roman" w:eastAsia="宋体" w:cs="Times New Roman"/>
        </w:rPr>
        <w:t>（2）《中华人民共和国固体废物污染环境防治法》</w:t>
      </w:r>
      <w:r>
        <w:rPr>
          <w:rFonts w:ascii="Times New Roman" w:hAnsi="Times New Roman" w:eastAsia="宋体" w:cs="Times New Roman"/>
          <w:szCs w:val="24"/>
        </w:rPr>
        <w:t>（</w:t>
      </w:r>
      <w:r>
        <w:rPr>
          <w:rFonts w:ascii="Times New Roman" w:hAnsi="Times New Roman" w:eastAsia="宋体" w:cs="Times New Roman"/>
        </w:rPr>
        <w:t>2020年4月29日日修订，2020年9月1日起实行）；</w:t>
      </w:r>
    </w:p>
    <w:p>
      <w:pPr>
        <w:ind w:firstLine="480"/>
        <w:rPr>
          <w:rFonts w:ascii="Times New Roman" w:hAnsi="Times New Roman" w:eastAsia="宋体" w:cs="Times New Roman"/>
        </w:rPr>
      </w:pPr>
      <w:r>
        <w:rPr>
          <w:rFonts w:ascii="Times New Roman" w:hAnsi="Times New Roman" w:eastAsia="宋体" w:cs="Times New Roman"/>
        </w:rPr>
        <w:t>（3）《中华人民共和国大气污染防治法》（2018年10月26日修订）；</w:t>
      </w:r>
    </w:p>
    <w:p>
      <w:pPr>
        <w:ind w:firstLine="480"/>
        <w:rPr>
          <w:rFonts w:ascii="Times New Roman" w:hAnsi="Times New Roman" w:eastAsia="宋体" w:cs="Times New Roman"/>
        </w:rPr>
      </w:pPr>
      <w:r>
        <w:rPr>
          <w:rFonts w:ascii="Times New Roman" w:hAnsi="Times New Roman" w:eastAsia="宋体" w:cs="Times New Roman"/>
        </w:rPr>
        <w:t>（4）《中华人民共和国突发事件应对法》（2007年11月1日实施）；</w:t>
      </w:r>
    </w:p>
    <w:p>
      <w:pPr>
        <w:ind w:firstLine="480"/>
        <w:rPr>
          <w:rFonts w:ascii="Times New Roman" w:hAnsi="Times New Roman" w:eastAsia="宋体" w:cs="Times New Roman"/>
        </w:rPr>
      </w:pPr>
      <w:r>
        <w:rPr>
          <w:rFonts w:ascii="Times New Roman" w:hAnsi="Times New Roman" w:eastAsia="宋体" w:cs="Times New Roman"/>
        </w:rPr>
        <w:t>（5）《中华人民共和国安全生产法》</w:t>
      </w:r>
      <w:r>
        <w:rPr>
          <w:rFonts w:ascii="Times New Roman" w:hAnsi="Times New Roman" w:cs="Times New Roman"/>
          <w:szCs w:val="24"/>
        </w:rPr>
        <w:t>（2021年9月1日实施）</w:t>
      </w:r>
      <w:r>
        <w:rPr>
          <w:rFonts w:ascii="Times New Roman" w:hAnsi="Times New Roman" w:eastAsia="宋体" w:cs="Times New Roman"/>
        </w:rPr>
        <w:t>；</w:t>
      </w:r>
    </w:p>
    <w:p>
      <w:pPr>
        <w:ind w:firstLine="480"/>
        <w:rPr>
          <w:rFonts w:ascii="Times New Roman" w:hAnsi="Times New Roman" w:eastAsia="宋体" w:cs="Times New Roman"/>
        </w:rPr>
      </w:pPr>
      <w:r>
        <w:rPr>
          <w:rFonts w:ascii="Times New Roman" w:hAnsi="Times New Roman" w:eastAsia="宋体" w:cs="Times New Roman"/>
        </w:rPr>
        <w:t>（6）《中华人民共和国水污染防治法》（2018年1月1日实施）；</w:t>
      </w:r>
    </w:p>
    <w:p>
      <w:pPr>
        <w:ind w:firstLine="480"/>
        <w:rPr>
          <w:rFonts w:ascii="Times New Roman" w:hAnsi="Times New Roman" w:eastAsia="宋体" w:cs="Times New Roman"/>
        </w:rPr>
      </w:pPr>
      <w:r>
        <w:rPr>
          <w:rFonts w:ascii="Times New Roman" w:hAnsi="Times New Roman" w:eastAsia="宋体" w:cs="Times New Roman"/>
        </w:rPr>
        <w:t>（7）《中华人民共和国消防法》</w:t>
      </w:r>
      <w:r>
        <w:rPr>
          <w:rFonts w:ascii="Times New Roman" w:hAnsi="Times New Roman" w:cs="Times New Roman"/>
          <w:szCs w:val="24"/>
        </w:rPr>
        <w:t>（2019年4月23日起施行）</w:t>
      </w:r>
      <w:r>
        <w:rPr>
          <w:rFonts w:ascii="Times New Roman" w:hAnsi="Times New Roman" w:eastAsia="宋体" w:cs="Times New Roman"/>
        </w:rPr>
        <w:t>；</w:t>
      </w:r>
    </w:p>
    <w:p>
      <w:pPr>
        <w:ind w:firstLine="480"/>
        <w:rPr>
          <w:rFonts w:ascii="Times New Roman" w:hAnsi="Times New Roman" w:eastAsia="宋体" w:cs="Times New Roman"/>
        </w:rPr>
      </w:pPr>
      <w:r>
        <w:rPr>
          <w:rFonts w:ascii="Times New Roman" w:hAnsi="Times New Roman" w:eastAsia="宋体" w:cs="Times New Roman"/>
        </w:rPr>
        <w:t>（8）《国家突发公共事件总体应急预案》（2006年1月8日实施）；</w:t>
      </w:r>
    </w:p>
    <w:p>
      <w:pPr>
        <w:ind w:firstLine="480"/>
        <w:rPr>
          <w:rFonts w:ascii="Times New Roman" w:hAnsi="Times New Roman" w:eastAsia="宋体" w:cs="Times New Roman"/>
        </w:rPr>
      </w:pPr>
      <w:r>
        <w:rPr>
          <w:rFonts w:ascii="Times New Roman" w:hAnsi="Times New Roman" w:eastAsia="宋体" w:cs="Times New Roman"/>
        </w:rPr>
        <w:t>（9）《国家突发环境事件应急预案》（国办函[2014]119号、2014年12月29日实施）；</w:t>
      </w:r>
    </w:p>
    <w:p>
      <w:pPr>
        <w:ind w:firstLine="480"/>
        <w:rPr>
          <w:rFonts w:ascii="Times New Roman" w:hAnsi="Times New Roman" w:eastAsia="宋体" w:cs="Times New Roman"/>
        </w:rPr>
      </w:pPr>
      <w:r>
        <w:rPr>
          <w:rFonts w:ascii="Times New Roman" w:hAnsi="Times New Roman" w:eastAsia="宋体" w:cs="Times New Roman"/>
        </w:rPr>
        <w:t>（10）《国务院关于加强环境保护重点工作的意见》（国发[2011]35号）；</w:t>
      </w:r>
    </w:p>
    <w:p>
      <w:pPr>
        <w:ind w:firstLine="480"/>
        <w:rPr>
          <w:rFonts w:ascii="Times New Roman" w:hAnsi="Times New Roman" w:eastAsia="宋体" w:cs="Times New Roman"/>
        </w:rPr>
      </w:pPr>
      <w:r>
        <w:rPr>
          <w:rFonts w:ascii="Times New Roman" w:hAnsi="Times New Roman" w:eastAsia="宋体" w:cs="Times New Roman"/>
        </w:rPr>
        <w:t>（11）《危险化学品安全管理条例》（2016年修订）；</w:t>
      </w:r>
    </w:p>
    <w:p>
      <w:pPr>
        <w:ind w:firstLine="480"/>
        <w:rPr>
          <w:rFonts w:ascii="Times New Roman" w:hAnsi="Times New Roman" w:eastAsia="宋体" w:cs="Times New Roman"/>
        </w:rPr>
      </w:pPr>
      <w:r>
        <w:rPr>
          <w:rFonts w:ascii="Times New Roman" w:hAnsi="Times New Roman" w:eastAsia="宋体" w:cs="Times New Roman"/>
        </w:rPr>
        <w:t>（12）《突发环境事件信息报告办法》（环境保护部令第17号）；</w:t>
      </w:r>
    </w:p>
    <w:p>
      <w:pPr>
        <w:ind w:firstLine="480"/>
        <w:rPr>
          <w:rFonts w:ascii="Times New Roman" w:hAnsi="Times New Roman" w:eastAsia="宋体" w:cs="Times New Roman"/>
        </w:rPr>
      </w:pPr>
      <w:r>
        <w:rPr>
          <w:rFonts w:ascii="Times New Roman" w:hAnsi="Times New Roman" w:eastAsia="宋体" w:cs="Times New Roman"/>
        </w:rPr>
        <w:t>（13）《湖北省环境保护条例》，湖北省人民政府，1994年12月2日起施；</w:t>
      </w:r>
    </w:p>
    <w:p>
      <w:pPr>
        <w:ind w:firstLine="480"/>
        <w:rPr>
          <w:rFonts w:ascii="Times New Roman" w:hAnsi="Times New Roman" w:eastAsia="宋体" w:cs="Times New Roman"/>
        </w:rPr>
      </w:pPr>
      <w:r>
        <w:rPr>
          <w:rFonts w:ascii="Times New Roman" w:hAnsi="Times New Roman" w:eastAsia="宋体" w:cs="Times New Roman"/>
        </w:rPr>
        <w:t>（14）《湖北省水污染防治条例》，湖北省人民政府，2013年年9月24日提交审议；</w:t>
      </w:r>
    </w:p>
    <w:p>
      <w:pPr>
        <w:ind w:firstLine="480"/>
        <w:rPr>
          <w:rFonts w:ascii="Times New Roman" w:hAnsi="Times New Roman" w:eastAsia="宋体" w:cs="Times New Roman"/>
        </w:rPr>
      </w:pPr>
      <w:r>
        <w:rPr>
          <w:rFonts w:ascii="Times New Roman" w:hAnsi="Times New Roman" w:eastAsia="宋体" w:cs="Times New Roman"/>
        </w:rPr>
        <w:t>（15）《湖北省突发公共事件总体应急预案》，湖北省人民政府，2006 年5月31日；</w:t>
      </w:r>
    </w:p>
    <w:p>
      <w:pPr>
        <w:ind w:firstLine="480"/>
        <w:rPr>
          <w:rFonts w:ascii="Times New Roman" w:hAnsi="Times New Roman" w:eastAsia="宋体" w:cs="Times New Roman"/>
        </w:rPr>
      </w:pPr>
      <w:r>
        <w:rPr>
          <w:rFonts w:ascii="Times New Roman" w:hAnsi="Times New Roman" w:eastAsia="宋体" w:cs="Times New Roman"/>
        </w:rPr>
        <w:t>（16）关于印发《突发环境事件应急处置阶段污染损害评估工作程序规定》的通知（环发【2013】85号文）；</w:t>
      </w:r>
    </w:p>
    <w:p>
      <w:pPr>
        <w:ind w:firstLine="480"/>
        <w:rPr>
          <w:rFonts w:ascii="Times New Roman" w:hAnsi="Times New Roman" w:eastAsia="宋体" w:cs="Times New Roman"/>
        </w:rPr>
      </w:pPr>
      <w:r>
        <w:rPr>
          <w:rFonts w:ascii="Times New Roman" w:hAnsi="Times New Roman" w:eastAsia="宋体" w:cs="Times New Roman"/>
        </w:rPr>
        <w:t>（17）《突发环境事件应急预案管理办法》（环保部令第34号）；</w:t>
      </w:r>
    </w:p>
    <w:p>
      <w:pPr>
        <w:ind w:firstLine="480"/>
        <w:rPr>
          <w:rFonts w:ascii="Times New Roman" w:hAnsi="Times New Roman" w:eastAsia="宋体" w:cs="Times New Roman"/>
        </w:rPr>
      </w:pPr>
      <w:r>
        <w:rPr>
          <w:rFonts w:ascii="Times New Roman" w:hAnsi="Times New Roman" w:eastAsia="宋体" w:cs="Times New Roman"/>
        </w:rPr>
        <w:t>（18）《关于进一步加强环境影响评价管理防范环境风险的通知》（环发〔2012〕77号）；</w:t>
      </w:r>
    </w:p>
    <w:p>
      <w:pPr>
        <w:ind w:firstLine="480"/>
        <w:rPr>
          <w:rFonts w:ascii="Times New Roman" w:hAnsi="Times New Roman" w:eastAsia="宋体" w:cs="Times New Roman"/>
        </w:rPr>
      </w:pPr>
      <w:r>
        <w:rPr>
          <w:rFonts w:ascii="Times New Roman" w:hAnsi="Times New Roman" w:eastAsia="宋体" w:cs="Times New Roman"/>
        </w:rPr>
        <w:t>（19）《关于加强长江黄金水道环境污染防控治理的指导意见》（发改环资[2016]370号）；</w:t>
      </w:r>
    </w:p>
    <w:p>
      <w:pPr>
        <w:ind w:firstLine="480"/>
        <w:rPr>
          <w:rFonts w:ascii="Times New Roman" w:hAnsi="Times New Roman" w:eastAsia="宋体" w:cs="Times New Roman"/>
        </w:rPr>
      </w:pPr>
      <w:r>
        <w:rPr>
          <w:rFonts w:ascii="Times New Roman" w:hAnsi="Times New Roman" w:eastAsia="宋体" w:cs="Times New Roman"/>
        </w:rPr>
        <w:t>（20）《典型行业企业突发环境事件应急预案编制指南（征求意见稿）》；</w:t>
      </w:r>
    </w:p>
    <w:p>
      <w:pPr>
        <w:pStyle w:val="17"/>
        <w:ind w:firstLine="480"/>
        <w:rPr>
          <w:rFonts w:ascii="Times New Roman" w:hAnsi="Times New Roman" w:cs="Times New Roman"/>
          <w:szCs w:val="24"/>
        </w:rPr>
      </w:pPr>
      <w:r>
        <w:rPr>
          <w:rFonts w:ascii="Times New Roman" w:hAnsi="Times New Roman" w:cs="Times New Roman"/>
          <w:szCs w:val="24"/>
        </w:rPr>
        <w:t>（21）《企业事业单位突发环境事件应急预案备案管理办法（试行）》（环法[2015]4号）。</w:t>
      </w:r>
    </w:p>
    <w:p>
      <w:pPr>
        <w:pStyle w:val="2"/>
        <w:spacing w:line="360" w:lineRule="auto"/>
        <w:ind w:firstLine="480" w:firstLineChars="200"/>
        <w:rPr>
          <w:rStyle w:val="39"/>
          <w:rFonts w:ascii="Times New Roman" w:hAnsi="Times New Roman" w:eastAsia="宋体" w:cs="Times New Roman"/>
          <w:b w:val="0"/>
          <w:bCs w:val="0"/>
          <w:color w:val="333333"/>
          <w:shd w:val="clear" w:color="auto" w:fill="FFFFFF"/>
        </w:rPr>
      </w:pPr>
      <w:r>
        <w:rPr>
          <w:rStyle w:val="39"/>
          <w:rFonts w:ascii="Times New Roman" w:hAnsi="Times New Roman" w:eastAsia="宋体" w:cs="Times New Roman"/>
          <w:b w:val="0"/>
          <w:bCs w:val="0"/>
          <w:color w:val="333333"/>
          <w:shd w:val="clear" w:color="auto" w:fill="FFFFFF"/>
        </w:rPr>
        <w:t>（</w:t>
      </w:r>
      <w:r>
        <w:rPr>
          <w:rStyle w:val="39"/>
          <w:rFonts w:hint="eastAsia" w:ascii="Times New Roman" w:hAnsi="Times New Roman" w:eastAsia="宋体" w:cs="Times New Roman"/>
          <w:b w:val="0"/>
          <w:bCs w:val="0"/>
          <w:color w:val="333333"/>
          <w:shd w:val="clear" w:color="auto" w:fill="FFFFFF"/>
        </w:rPr>
        <w:t>22</w:t>
      </w:r>
      <w:r>
        <w:rPr>
          <w:rStyle w:val="39"/>
          <w:rFonts w:ascii="Times New Roman" w:hAnsi="Times New Roman" w:eastAsia="宋体" w:cs="Times New Roman"/>
          <w:b w:val="0"/>
          <w:bCs w:val="0"/>
          <w:color w:val="333333"/>
          <w:shd w:val="clear" w:color="auto" w:fill="FFFFFF"/>
        </w:rPr>
        <w:t>）《突发环境事件调查处理办法》（部令第32号）；</w:t>
      </w:r>
    </w:p>
    <w:p>
      <w:pPr>
        <w:pStyle w:val="2"/>
        <w:spacing w:line="360" w:lineRule="auto"/>
        <w:ind w:firstLine="480" w:firstLineChars="200"/>
        <w:rPr>
          <w:rStyle w:val="39"/>
          <w:rFonts w:ascii="Times New Roman" w:hAnsi="Times New Roman" w:eastAsia="宋体" w:cs="Times New Roman"/>
          <w:b w:val="0"/>
          <w:bCs w:val="0"/>
          <w:color w:val="333333"/>
          <w:shd w:val="clear" w:color="auto" w:fill="FFFFFF"/>
        </w:rPr>
      </w:pPr>
      <w:r>
        <w:rPr>
          <w:rStyle w:val="39"/>
          <w:rFonts w:ascii="Times New Roman" w:hAnsi="Times New Roman" w:eastAsia="宋体" w:cs="Times New Roman"/>
          <w:b w:val="0"/>
          <w:bCs w:val="0"/>
          <w:color w:val="333333"/>
          <w:shd w:val="clear" w:color="auto" w:fill="FFFFFF"/>
        </w:rPr>
        <w:t>（2</w:t>
      </w:r>
      <w:r>
        <w:rPr>
          <w:rStyle w:val="39"/>
          <w:rFonts w:hint="eastAsia" w:ascii="Times New Roman" w:hAnsi="Times New Roman" w:eastAsia="宋体" w:cs="Times New Roman"/>
          <w:b w:val="0"/>
          <w:bCs w:val="0"/>
          <w:color w:val="333333"/>
          <w:shd w:val="clear" w:color="auto" w:fill="FFFFFF"/>
        </w:rPr>
        <w:t>3</w:t>
      </w:r>
      <w:r>
        <w:rPr>
          <w:rStyle w:val="39"/>
          <w:rFonts w:ascii="Times New Roman" w:hAnsi="Times New Roman" w:eastAsia="宋体" w:cs="Times New Roman"/>
          <w:b w:val="0"/>
          <w:bCs w:val="0"/>
          <w:color w:val="333333"/>
          <w:shd w:val="clear" w:color="auto" w:fill="FFFFFF"/>
        </w:rPr>
        <w:t>）《突发环境事件应急管理办法》（部令第34号）；</w:t>
      </w:r>
    </w:p>
    <w:p>
      <w:pPr>
        <w:pStyle w:val="2"/>
        <w:spacing w:line="360" w:lineRule="auto"/>
        <w:ind w:firstLine="480" w:firstLineChars="200"/>
        <w:rPr>
          <w:rStyle w:val="39"/>
          <w:rFonts w:ascii="Times New Roman" w:hAnsi="Times New Roman" w:eastAsia="宋体" w:cs="Times New Roman"/>
          <w:b w:val="0"/>
          <w:bCs w:val="0"/>
          <w:color w:val="333333"/>
          <w:shd w:val="clear" w:color="auto" w:fill="FFFFFF"/>
        </w:rPr>
      </w:pPr>
      <w:r>
        <w:rPr>
          <w:rStyle w:val="39"/>
          <w:rFonts w:ascii="Times New Roman" w:hAnsi="Times New Roman" w:eastAsia="宋体" w:cs="Times New Roman"/>
          <w:b w:val="0"/>
          <w:bCs w:val="0"/>
          <w:color w:val="333333"/>
          <w:shd w:val="clear" w:color="auto" w:fill="FFFFFF"/>
        </w:rPr>
        <w:t>（2</w:t>
      </w:r>
      <w:r>
        <w:rPr>
          <w:rStyle w:val="39"/>
          <w:rFonts w:hint="eastAsia" w:ascii="Times New Roman" w:hAnsi="Times New Roman" w:eastAsia="宋体" w:cs="Times New Roman"/>
          <w:b w:val="0"/>
          <w:bCs w:val="0"/>
          <w:color w:val="333333"/>
          <w:shd w:val="clear" w:color="auto" w:fill="FFFFFF"/>
        </w:rPr>
        <w:t>4</w:t>
      </w:r>
      <w:r>
        <w:rPr>
          <w:rStyle w:val="39"/>
          <w:rFonts w:ascii="Times New Roman" w:hAnsi="Times New Roman" w:eastAsia="宋体" w:cs="Times New Roman"/>
          <w:b w:val="0"/>
          <w:bCs w:val="0"/>
          <w:color w:val="333333"/>
          <w:shd w:val="clear" w:color="auto" w:fill="FFFFFF"/>
        </w:rPr>
        <w:t>）《湖北省突发环境事件信息报送规定》（鄂环办〔2020〕45号）；</w:t>
      </w:r>
    </w:p>
    <w:p>
      <w:pPr>
        <w:pStyle w:val="18"/>
        <w:numPr>
          <w:ilvl w:val="0"/>
          <w:numId w:val="0"/>
        </w:numPr>
        <w:tabs>
          <w:tab w:val="clear" w:pos="2040"/>
        </w:tabs>
        <w:ind w:left="480" w:leftChars="200"/>
      </w:pPr>
      <w:r>
        <w:rPr>
          <w:rStyle w:val="39"/>
          <w:rFonts w:ascii="Times New Roman" w:hAnsi="Times New Roman" w:eastAsia="宋体" w:cs="Times New Roman"/>
          <w:b w:val="0"/>
          <w:bCs w:val="0"/>
          <w:color w:val="333333"/>
          <w:szCs w:val="24"/>
          <w:shd w:val="clear" w:color="auto" w:fill="FFFFFF"/>
        </w:rPr>
        <w:t>（2</w:t>
      </w:r>
      <w:r>
        <w:rPr>
          <w:rStyle w:val="39"/>
          <w:rFonts w:hint="eastAsia" w:ascii="Times New Roman" w:hAnsi="Times New Roman" w:eastAsia="宋体" w:cs="Times New Roman"/>
          <w:b w:val="0"/>
          <w:bCs w:val="0"/>
          <w:color w:val="333333"/>
          <w:szCs w:val="24"/>
          <w:shd w:val="clear" w:color="auto" w:fill="FFFFFF"/>
        </w:rPr>
        <w:t>5</w:t>
      </w:r>
      <w:r>
        <w:rPr>
          <w:rStyle w:val="39"/>
          <w:rFonts w:ascii="Times New Roman" w:hAnsi="Times New Roman" w:eastAsia="宋体" w:cs="Times New Roman"/>
          <w:b w:val="0"/>
          <w:bCs w:val="0"/>
          <w:color w:val="333333"/>
          <w:szCs w:val="24"/>
          <w:shd w:val="clear" w:color="auto" w:fill="FFFFFF"/>
        </w:rPr>
        <w:t>）《国家突发环境事件应急预案》（国办函[2014]119号）</w:t>
      </w:r>
      <w:r>
        <w:rPr>
          <w:rStyle w:val="39"/>
          <w:rFonts w:hint="eastAsia" w:ascii="Times New Roman" w:hAnsi="Times New Roman" w:eastAsia="宋体" w:cs="Times New Roman"/>
          <w:b w:val="0"/>
          <w:bCs w:val="0"/>
          <w:color w:val="333333"/>
          <w:szCs w:val="24"/>
          <w:shd w:val="clear" w:color="auto" w:fill="FFFFFF"/>
        </w:rPr>
        <w:t>。</w:t>
      </w:r>
    </w:p>
    <w:p>
      <w:pPr>
        <w:pStyle w:val="8"/>
        <w:spacing w:before="180" w:after="180"/>
        <w:rPr>
          <w:rFonts w:eastAsia="宋体" w:cs="Times New Roman"/>
          <w:sz w:val="28"/>
          <w:szCs w:val="28"/>
        </w:rPr>
      </w:pPr>
      <w:bookmarkStart w:id="35" w:name="_Toc509234741"/>
      <w:bookmarkStart w:id="36" w:name="_Toc529542529"/>
      <w:bookmarkStart w:id="37" w:name="_Toc32105"/>
      <w:bookmarkStart w:id="38" w:name="_Toc510164015"/>
      <w:bookmarkStart w:id="39" w:name="_Toc523160279"/>
      <w:bookmarkStart w:id="40" w:name="_Toc5863"/>
      <w:bookmarkStart w:id="41" w:name="_Toc132468735"/>
      <w:r>
        <w:rPr>
          <w:rFonts w:eastAsia="宋体" w:cs="Times New Roman"/>
          <w:sz w:val="28"/>
          <w:szCs w:val="28"/>
        </w:rPr>
        <w:t>1.2.2导则、标准、技术规范</w:t>
      </w:r>
      <w:bookmarkEnd w:id="35"/>
      <w:bookmarkEnd w:id="36"/>
      <w:bookmarkEnd w:id="37"/>
      <w:bookmarkEnd w:id="38"/>
      <w:bookmarkEnd w:id="39"/>
      <w:bookmarkEnd w:id="40"/>
      <w:bookmarkEnd w:id="41"/>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（1）《地表水环境质量标准》（GB 3838-2002）；</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（2）《地下水质量标准》（GB/T 14848-2017）；</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（3）《环境空气质量标准》（GB 3095-2012）；</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（4）《大气污染物综合排放标准》（GB 16297-1996）；</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（5）《污水综合排放标准》（GB 8978-1996）；</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（6）《恶臭污染物排放标准》（GB 14554-93）；</w:t>
      </w:r>
    </w:p>
    <w:p>
      <w:pPr>
        <w:adjustRightInd w:val="0"/>
        <w:snapToGrid w:val="0"/>
        <w:ind w:firstLine="480"/>
        <w:rPr>
          <w:rFonts w:ascii="Times New Roman" w:hAnsi="Times New Roman" w:cs="Times New Roman"/>
        </w:rPr>
      </w:pPr>
      <w:r>
        <w:rPr>
          <w:rFonts w:ascii="Times New Roman" w:hAnsi="Times New Roman" w:cs="Times New Roman"/>
          <w:szCs w:val="24"/>
        </w:rPr>
        <w:t>（7）《工业企业挥发性有机物排放控制标准》（DB/12/524-2020）</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（8）《工业企业设计卫生标准》（GBZ1-2010）；</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（9）《工作场所有害因素职业接触限值》（GBZ2.1-2019）；</w:t>
      </w:r>
    </w:p>
    <w:p>
      <w:pPr>
        <w:ind w:firstLine="480"/>
        <w:rPr>
          <w:rFonts w:ascii="Times New Roman" w:hAnsi="Times New Roman" w:eastAsia="宋体" w:cs="Times New Roman"/>
          <w:szCs w:val="24"/>
        </w:rPr>
      </w:pPr>
      <w:r>
        <w:rPr>
          <w:rFonts w:ascii="Times New Roman" w:hAnsi="Times New Roman" w:eastAsia="宋体" w:cs="Times New Roman"/>
          <w:szCs w:val="24"/>
        </w:rPr>
        <w:t>（10）《使用有毒物品作业场所劳动保护条例》（2002年5月12日实施）；</w:t>
      </w:r>
    </w:p>
    <w:p>
      <w:pPr>
        <w:ind w:firstLine="480"/>
        <w:rPr>
          <w:rFonts w:ascii="Times New Roman" w:hAnsi="Times New Roman" w:eastAsia="宋体" w:cs="Times New Roman"/>
          <w:szCs w:val="24"/>
        </w:rPr>
      </w:pPr>
      <w:r>
        <w:rPr>
          <w:rFonts w:ascii="Times New Roman" w:hAnsi="Times New Roman" w:eastAsia="宋体" w:cs="Times New Roman"/>
          <w:szCs w:val="24"/>
        </w:rPr>
        <w:t>（11）</w:t>
      </w:r>
      <w:r>
        <w:rPr>
          <w:rFonts w:ascii="Times New Roman" w:hAnsi="Times New Roman" w:eastAsia="宋体" w:cs="Times New Roman"/>
        </w:rPr>
        <w:t>《国家危险废物名录（2021年版）》，生态环境部，2021年1月1日起执行</w:t>
      </w:r>
      <w:r>
        <w:rPr>
          <w:rFonts w:ascii="Times New Roman" w:hAnsi="Times New Roman" w:eastAsia="宋体" w:cs="Times New Roman"/>
          <w:szCs w:val="24"/>
        </w:rPr>
        <w:t>；</w:t>
      </w:r>
    </w:p>
    <w:p>
      <w:pPr>
        <w:ind w:firstLine="480"/>
        <w:rPr>
          <w:rFonts w:ascii="Times New Roman" w:hAnsi="Times New Roman" w:eastAsia="宋体" w:cs="Times New Roman"/>
          <w:szCs w:val="24"/>
        </w:rPr>
      </w:pPr>
      <w:r>
        <w:rPr>
          <w:rFonts w:ascii="Times New Roman" w:hAnsi="Times New Roman" w:eastAsia="宋体" w:cs="Times New Roman"/>
          <w:szCs w:val="24"/>
        </w:rPr>
        <w:t>（12）《危险化学品重大</w:t>
      </w:r>
      <w:r>
        <w:rPr>
          <w:rFonts w:hint="eastAsia" w:ascii="Times New Roman" w:hAnsi="Times New Roman" w:eastAsia="宋体" w:cs="Times New Roman"/>
          <w:szCs w:val="24"/>
          <w:lang w:eastAsia="zh-CN"/>
        </w:rPr>
        <w:t>危险源辨认识</w:t>
      </w:r>
      <w:r>
        <w:rPr>
          <w:rFonts w:ascii="Times New Roman" w:hAnsi="Times New Roman" w:eastAsia="宋体" w:cs="Times New Roman"/>
          <w:szCs w:val="24"/>
        </w:rPr>
        <w:t>》（GB18218-2018）；</w:t>
      </w:r>
    </w:p>
    <w:p>
      <w:pPr>
        <w:ind w:firstLine="480"/>
        <w:rPr>
          <w:rFonts w:ascii="Times New Roman" w:hAnsi="Times New Roman" w:eastAsia="宋体" w:cs="Times New Roman"/>
          <w:szCs w:val="24"/>
        </w:rPr>
      </w:pPr>
      <w:r>
        <w:rPr>
          <w:rFonts w:ascii="Times New Roman" w:hAnsi="Times New Roman" w:eastAsia="宋体" w:cs="Times New Roman"/>
          <w:szCs w:val="24"/>
        </w:rPr>
        <w:t>（13）《石油化工企业设计防火规范》（GB50160-2008）；</w:t>
      </w:r>
    </w:p>
    <w:p>
      <w:pPr>
        <w:ind w:firstLine="480"/>
        <w:rPr>
          <w:rFonts w:ascii="Times New Roman" w:hAnsi="Times New Roman" w:eastAsia="宋体" w:cs="Times New Roman"/>
          <w:szCs w:val="24"/>
        </w:rPr>
      </w:pPr>
      <w:r>
        <w:rPr>
          <w:rFonts w:ascii="Times New Roman" w:hAnsi="Times New Roman" w:eastAsia="宋体" w:cs="Times New Roman"/>
          <w:szCs w:val="24"/>
        </w:rPr>
        <w:t>（14）《爆炸危险场所安全规定》(劳动部发[1995]56号）；</w:t>
      </w:r>
    </w:p>
    <w:p>
      <w:pPr>
        <w:ind w:firstLine="480"/>
        <w:rPr>
          <w:rFonts w:ascii="Times New Roman" w:hAnsi="Times New Roman" w:eastAsia="宋体" w:cs="Times New Roman"/>
          <w:szCs w:val="24"/>
        </w:rPr>
      </w:pPr>
      <w:r>
        <w:rPr>
          <w:rFonts w:ascii="Times New Roman" w:hAnsi="Times New Roman" w:eastAsia="宋体" w:cs="Times New Roman"/>
          <w:szCs w:val="24"/>
        </w:rPr>
        <w:t>（15）《常用危险化学品的分类及标志》（GB13690-92）；</w:t>
      </w:r>
      <w:bookmarkStart w:id="1219" w:name="_GoBack"/>
      <w:bookmarkEnd w:id="1219"/>
    </w:p>
    <w:p>
      <w:pPr>
        <w:ind w:firstLine="480"/>
        <w:rPr>
          <w:rFonts w:ascii="Times New Roman" w:hAnsi="Times New Roman" w:eastAsia="宋体" w:cs="Times New Roman"/>
          <w:szCs w:val="24"/>
        </w:rPr>
      </w:pPr>
      <w:r>
        <w:rPr>
          <w:rFonts w:ascii="Times New Roman" w:hAnsi="Times New Roman" w:eastAsia="宋体" w:cs="Times New Roman"/>
          <w:szCs w:val="24"/>
        </w:rPr>
        <w:t>（16）《建设项目环境风险评价技术导则》（HJ 169-2018）；</w:t>
      </w:r>
    </w:p>
    <w:p>
      <w:pPr>
        <w:ind w:firstLine="480"/>
        <w:rPr>
          <w:rFonts w:ascii="Times New Roman" w:hAnsi="Times New Roman" w:eastAsia="宋体" w:cs="Times New Roman"/>
          <w:szCs w:val="24"/>
        </w:rPr>
      </w:pPr>
      <w:r>
        <w:rPr>
          <w:rFonts w:ascii="Times New Roman" w:hAnsi="Times New Roman" w:eastAsia="宋体" w:cs="Times New Roman"/>
          <w:szCs w:val="24"/>
        </w:rPr>
        <w:t>（17）《化工建设项目环境保护设计规范》（GB50483-2009）；</w:t>
      </w:r>
    </w:p>
    <w:p>
      <w:pPr>
        <w:ind w:firstLine="480"/>
        <w:rPr>
          <w:rFonts w:ascii="Times New Roman" w:hAnsi="Times New Roman" w:eastAsia="宋体" w:cs="Times New Roman"/>
          <w:szCs w:val="24"/>
        </w:rPr>
      </w:pPr>
      <w:r>
        <w:rPr>
          <w:rFonts w:ascii="Times New Roman" w:hAnsi="Times New Roman" w:eastAsia="宋体" w:cs="Times New Roman"/>
          <w:szCs w:val="24"/>
        </w:rPr>
        <w:t>（18）《生产经营单位安全事故应急预案编制导则》（AQ/T9002-2006）；</w:t>
      </w:r>
    </w:p>
    <w:p>
      <w:pPr>
        <w:ind w:firstLine="480"/>
        <w:rPr>
          <w:rFonts w:ascii="Times New Roman" w:hAnsi="Times New Roman" w:eastAsia="宋体" w:cs="Times New Roman"/>
          <w:szCs w:val="24"/>
        </w:rPr>
      </w:pPr>
      <w:r>
        <w:rPr>
          <w:rFonts w:ascii="Times New Roman" w:hAnsi="Times New Roman" w:eastAsia="宋体" w:cs="Times New Roman"/>
          <w:szCs w:val="24"/>
        </w:rPr>
        <w:t>（19）《危险化学品名录》（安监总局等十部门公告2015年第5号）；</w:t>
      </w:r>
    </w:p>
    <w:p>
      <w:pPr>
        <w:ind w:firstLine="480"/>
        <w:rPr>
          <w:rFonts w:ascii="Times New Roman" w:hAnsi="Times New Roman" w:eastAsia="宋体" w:cs="Times New Roman"/>
          <w:szCs w:val="24"/>
        </w:rPr>
      </w:pPr>
      <w:r>
        <w:rPr>
          <w:rFonts w:ascii="Times New Roman" w:hAnsi="Times New Roman" w:eastAsia="宋体" w:cs="Times New Roman"/>
          <w:szCs w:val="24"/>
        </w:rPr>
        <w:t>（20）《剧毒化学品名录》（安监总局等十部门公告2015年第5号）；</w:t>
      </w:r>
    </w:p>
    <w:p>
      <w:pPr>
        <w:ind w:firstLine="480"/>
        <w:rPr>
          <w:rFonts w:ascii="Times New Roman" w:hAnsi="Times New Roman" w:eastAsia="宋体" w:cs="Times New Roman"/>
          <w:szCs w:val="24"/>
        </w:rPr>
      </w:pPr>
      <w:r>
        <w:rPr>
          <w:rFonts w:ascii="Times New Roman" w:hAnsi="Times New Roman" w:eastAsia="宋体" w:cs="Times New Roman"/>
          <w:szCs w:val="24"/>
        </w:rPr>
        <w:t>（21）《事故状态下水体污染的预防与控制技术要求》（Q/SY1190-2009）；</w:t>
      </w:r>
    </w:p>
    <w:p>
      <w:pPr>
        <w:ind w:firstLine="480"/>
        <w:rPr>
          <w:rFonts w:ascii="Times New Roman" w:hAnsi="Times New Roman" w:eastAsia="宋体" w:cs="Times New Roman"/>
          <w:szCs w:val="24"/>
        </w:rPr>
      </w:pPr>
      <w:r>
        <w:rPr>
          <w:rFonts w:ascii="Times New Roman" w:hAnsi="Times New Roman" w:eastAsia="宋体" w:cs="Times New Roman"/>
          <w:szCs w:val="24"/>
        </w:rPr>
        <w:t>（22）《突发环境事件应急监测技术规范》（HJ589-2010）；</w:t>
      </w:r>
    </w:p>
    <w:p>
      <w:pPr>
        <w:ind w:firstLine="480"/>
        <w:rPr>
          <w:rFonts w:ascii="Times New Roman" w:hAnsi="Times New Roman" w:eastAsia="宋体" w:cs="Times New Roman"/>
          <w:szCs w:val="24"/>
        </w:rPr>
      </w:pPr>
      <w:r>
        <w:rPr>
          <w:rFonts w:ascii="Times New Roman" w:hAnsi="Times New Roman" w:eastAsia="宋体" w:cs="Times New Roman"/>
          <w:szCs w:val="24"/>
        </w:rPr>
        <w:t>（23）《环境风险应急响应手册》国家环境保护总局；</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（24）环境保护部令第17号</w:t>
      </w:r>
      <w:r>
        <w:rPr>
          <w:rFonts w:cs="Times New Roman" w:asciiTheme="minorEastAsia" w:hAnsiTheme="minorEastAsia"/>
          <w:kern w:val="0"/>
          <w:szCs w:val="24"/>
        </w:rPr>
        <w:t>“突发环境事件信息报告办法”</w:t>
      </w:r>
      <w:r>
        <w:rPr>
          <w:rFonts w:ascii="Times New Roman" w:hAnsi="Times New Roman" w:eastAsia="宋体" w:cs="Times New Roman"/>
          <w:kern w:val="0"/>
          <w:szCs w:val="24"/>
        </w:rPr>
        <w:t>（2011年5月1日施行）。</w:t>
      </w:r>
    </w:p>
    <w:p>
      <w:pPr>
        <w:pStyle w:val="8"/>
        <w:spacing w:before="180" w:after="180"/>
        <w:rPr>
          <w:rFonts w:eastAsia="宋体" w:cs="Times New Roman"/>
          <w:sz w:val="28"/>
          <w:szCs w:val="28"/>
        </w:rPr>
      </w:pPr>
      <w:bookmarkStart w:id="42" w:name="_Toc132468736"/>
      <w:bookmarkStart w:id="43" w:name="_Toc27106"/>
      <w:bookmarkStart w:id="44" w:name="_Toc2254"/>
      <w:r>
        <w:rPr>
          <w:rFonts w:eastAsia="宋体" w:cs="Times New Roman"/>
          <w:sz w:val="28"/>
          <w:szCs w:val="28"/>
        </w:rPr>
        <w:t>1.2.3项目相关技术资料</w:t>
      </w:r>
      <w:bookmarkEnd w:id="42"/>
      <w:bookmarkEnd w:id="43"/>
      <w:bookmarkEnd w:id="44"/>
      <w:bookmarkStart w:id="45" w:name="_Toc523160280"/>
      <w:bookmarkStart w:id="46" w:name="_Toc529542530"/>
      <w:bookmarkStart w:id="47" w:name="_Toc523160135"/>
      <w:bookmarkStart w:id="48" w:name="_Toc510164461"/>
      <w:bookmarkStart w:id="49" w:name="_Toc24314"/>
      <w:bookmarkStart w:id="50" w:name="_Toc509234742"/>
      <w:bookmarkStart w:id="51" w:name="_Toc510164016"/>
      <w:bookmarkStart w:id="52" w:name="_Toc510164298"/>
    </w:p>
    <w:p>
      <w:pPr>
        <w:adjustRightInd w:val="0"/>
        <w:snapToGrid w:val="0"/>
        <w:ind w:firstLine="480"/>
        <w:rPr>
          <w:rFonts w:ascii="Times New Roman" w:hAnsi="Times New Roman" w:eastAsia="宋体" w:cs="Times New Roman"/>
          <w:szCs w:val="24"/>
        </w:rPr>
      </w:pPr>
      <w:bookmarkStart w:id="53" w:name="_Toc28576"/>
      <w:r>
        <w:rPr>
          <w:rFonts w:hint="eastAsia" w:ascii="Times New Roman" w:hAnsi="Times New Roman" w:eastAsia="宋体" w:cs="Times New Roman"/>
          <w:szCs w:val="24"/>
        </w:rPr>
        <w:t>赤壁恒瑞非织造材料有限公司2019年第（1）版应急预案报告及</w:t>
      </w:r>
      <w:r>
        <w:rPr>
          <w:rFonts w:ascii="Times New Roman" w:hAnsi="Times New Roman" w:eastAsia="宋体" w:cs="Times New Roman"/>
          <w:szCs w:val="24"/>
        </w:rPr>
        <w:t>其他文件资料。</w:t>
      </w:r>
    </w:p>
    <w:p>
      <w:pPr>
        <w:pStyle w:val="7"/>
        <w:spacing w:before="260" w:after="260"/>
        <w:rPr>
          <w:rFonts w:ascii="Times New Roman" w:hAnsi="Times New Roman" w:eastAsia="宋体" w:cs="Times New Roman"/>
          <w:sz w:val="30"/>
          <w:szCs w:val="30"/>
        </w:rPr>
      </w:pPr>
      <w:bookmarkStart w:id="54" w:name="_Toc132468737"/>
      <w:r>
        <w:rPr>
          <w:rFonts w:ascii="Times New Roman" w:hAnsi="Times New Roman" w:eastAsia="宋体" w:cs="Times New Roman"/>
          <w:sz w:val="30"/>
          <w:szCs w:val="30"/>
        </w:rPr>
        <w:t>1.3适用范围</w:t>
      </w:r>
      <w:bookmarkEnd w:id="45"/>
      <w:bookmarkEnd w:id="46"/>
      <w:bookmarkEnd w:id="47"/>
      <w:bookmarkEnd w:id="48"/>
      <w:bookmarkEnd w:id="49"/>
      <w:bookmarkEnd w:id="50"/>
      <w:bookmarkEnd w:id="51"/>
      <w:bookmarkEnd w:id="52"/>
      <w:bookmarkEnd w:id="53"/>
      <w:bookmarkEnd w:id="54"/>
    </w:p>
    <w:p>
      <w:pPr>
        <w:pStyle w:val="17"/>
        <w:ind w:firstLine="480"/>
        <w:jc w:val="both"/>
        <w:rPr>
          <w:rFonts w:ascii="Times New Roman" w:hAnsi="Times New Roman" w:eastAsia="宋体" w:cs="Times New Roman"/>
        </w:rPr>
      </w:pPr>
      <w:bookmarkStart w:id="55" w:name="_Toc509234743"/>
      <w:bookmarkStart w:id="56" w:name="_Toc510164462"/>
      <w:bookmarkStart w:id="57" w:name="_Toc510164299"/>
      <w:bookmarkStart w:id="58" w:name="_Toc510164017"/>
      <w:bookmarkStart w:id="59" w:name="_Toc529542531"/>
      <w:bookmarkStart w:id="60" w:name="_Toc523160136"/>
      <w:bookmarkStart w:id="61" w:name="_Toc523160281"/>
      <w:r>
        <w:rPr>
          <w:rFonts w:ascii="Times New Roman" w:hAnsi="Times New Roman" w:eastAsia="宋体" w:cs="Times New Roman"/>
        </w:rPr>
        <w:t>本应急预案适用于赤壁恒瑞非织造材料有限公司区域内可能发生的突发环境事件的环境风险等级评估，不包括该公司在其他地点建设项目或者该企业后续建设项目的应急预案。</w:t>
      </w:r>
    </w:p>
    <w:p>
      <w:pPr>
        <w:pStyle w:val="17"/>
        <w:ind w:firstLine="480"/>
        <w:jc w:val="both"/>
        <w:rPr>
          <w:rFonts w:ascii="Times New Roman" w:hAnsi="Times New Roman" w:eastAsia="宋体" w:cs="Times New Roman"/>
        </w:rPr>
      </w:pPr>
      <w:r>
        <w:rPr>
          <w:rFonts w:ascii="Times New Roman" w:hAnsi="Times New Roman" w:eastAsia="宋体" w:cs="Times New Roman"/>
        </w:rPr>
        <w:t>本项目的原料、外运固废均委托第三方全程运输。所以企业厂界以外的运输过程风险全部由委托处理公司予以承担，不纳入企业突发环境事件分析范畴。在企业界内中转过程中因装卸、输送事故或人为操作失误等引发泄漏、洒落造成突发环境事件，企业作为发生地应第一时间采取相应应急措施，故列入本预案范畴项目。</w:t>
      </w:r>
    </w:p>
    <w:p>
      <w:pPr>
        <w:pStyle w:val="17"/>
        <w:ind w:firstLine="480"/>
        <w:jc w:val="both"/>
        <w:rPr>
          <w:rFonts w:ascii="Times New Roman" w:hAnsi="Times New Roman" w:eastAsia="宋体" w:cs="Times New Roman"/>
        </w:rPr>
      </w:pPr>
      <w:r>
        <w:rPr>
          <w:rFonts w:ascii="Times New Roman" w:hAnsi="Times New Roman" w:eastAsia="宋体" w:cs="Times New Roman"/>
        </w:rPr>
        <w:t>因此，本应急预案具体包括的突发环境情形如下：</w:t>
      </w:r>
    </w:p>
    <w:p>
      <w:pPr>
        <w:pStyle w:val="17"/>
        <w:spacing w:before="78"/>
        <w:ind w:right="311" w:firstLine="464"/>
        <w:jc w:val="both"/>
        <w:rPr>
          <w:rFonts w:ascii="Times New Roman" w:hAnsi="Times New Roman" w:eastAsia="宋体" w:cs="Times New Roman"/>
          <w:spacing w:val="-4"/>
        </w:rPr>
      </w:pPr>
      <w:r>
        <w:rPr>
          <w:rFonts w:ascii="Times New Roman" w:hAnsi="Times New Roman" w:eastAsia="宋体" w:cs="Times New Roman"/>
          <w:spacing w:val="-4"/>
        </w:rPr>
        <w:t>（1）危险品泄漏事件：各危险</w:t>
      </w:r>
      <w:r>
        <w:rPr>
          <w:rFonts w:hint="eastAsia" w:ascii="Times New Roman" w:hAnsi="Times New Roman" w:eastAsia="宋体" w:cs="Times New Roman"/>
          <w:spacing w:val="-4"/>
        </w:rPr>
        <w:t>品</w:t>
      </w:r>
      <w:r>
        <w:rPr>
          <w:rFonts w:ascii="Times New Roman" w:hAnsi="Times New Roman" w:eastAsia="宋体" w:cs="Times New Roman"/>
          <w:spacing w:val="-4"/>
        </w:rPr>
        <w:t>在使用过程中，因容器（管道）损坏或其它外力原因，造成泄漏。若长时间不处理，有可能向储存车间室外漫流，污染周边地面或土壤，散发的刺激性气体污染空气，并有可能通过雨水井口经雨水管道直接排放至周边水体。</w:t>
      </w:r>
    </w:p>
    <w:p>
      <w:pPr>
        <w:pStyle w:val="17"/>
        <w:spacing w:before="78"/>
        <w:ind w:right="311" w:firstLine="464"/>
        <w:jc w:val="both"/>
        <w:rPr>
          <w:rFonts w:ascii="Times New Roman" w:hAnsi="Times New Roman" w:eastAsia="宋体" w:cs="Times New Roman"/>
        </w:rPr>
      </w:pPr>
      <w:r>
        <w:rPr>
          <w:rFonts w:ascii="Times New Roman" w:hAnsi="Times New Roman" w:eastAsia="宋体" w:cs="Times New Roman"/>
          <w:spacing w:val="-4"/>
        </w:rPr>
        <w:t>（2）厂内一般火灾事故引发的次生环境事件：发生火灾时，在扑灭水灾过程中可能用</w:t>
      </w:r>
      <w:r>
        <w:rPr>
          <w:rFonts w:ascii="Times New Roman" w:hAnsi="Times New Roman" w:eastAsia="宋体" w:cs="Times New Roman"/>
        </w:rPr>
        <w:t>消防水其进行灭火，产生消防事故废水。厂内环境风险物质随着生活废水流失，引发局部污染，也可能随雨水流失进入雨水管网，进而污染周边水体。</w:t>
      </w:r>
    </w:p>
    <w:p>
      <w:pPr>
        <w:pStyle w:val="60"/>
        <w:tabs>
          <w:tab w:val="left" w:pos="1314"/>
        </w:tabs>
        <w:ind w:right="311" w:firstLine="468"/>
        <w:jc w:val="left"/>
        <w:rPr>
          <w:rFonts w:ascii="Times New Roman" w:hAnsi="Times New Roman" w:eastAsia="宋体" w:cs="Times New Roman"/>
        </w:rPr>
      </w:pPr>
      <w:r>
        <w:rPr>
          <w:rFonts w:ascii="Times New Roman" w:hAnsi="Times New Roman" w:eastAsia="宋体" w:cs="Times New Roman"/>
          <w:spacing w:val="-3"/>
        </w:rPr>
        <w:t>（3）环境风险物质泄漏事件：环境风险物质</w:t>
      </w:r>
      <w:r>
        <w:rPr>
          <w:rFonts w:ascii="Times New Roman" w:hAnsi="Times New Roman" w:eastAsia="宋体" w:cs="Times New Roman"/>
          <w:spacing w:val="-6"/>
        </w:rPr>
        <w:t>厂内运输、装卸过程中</w:t>
      </w:r>
      <w:r>
        <w:rPr>
          <w:rFonts w:ascii="Times New Roman" w:hAnsi="Times New Roman" w:eastAsia="宋体" w:cs="Times New Roman"/>
        </w:rPr>
        <w:t>因意外发生泄漏或洒落，直接污染所在部位地面和空气。</w:t>
      </w:r>
    </w:p>
    <w:p>
      <w:pPr>
        <w:pStyle w:val="60"/>
        <w:tabs>
          <w:tab w:val="left" w:pos="1314"/>
          <w:tab w:val="left" w:pos="2482"/>
        </w:tabs>
        <w:ind w:firstLine="480"/>
        <w:jc w:val="left"/>
        <w:rPr>
          <w:rFonts w:ascii="Times New Roman" w:hAnsi="Times New Roman" w:eastAsia="宋体" w:cs="Times New Roman"/>
        </w:rPr>
        <w:sectPr>
          <w:footerReference r:id="rId16" w:type="default"/>
          <w:pgSz w:w="11910" w:h="16840"/>
          <w:pgMar w:top="1040" w:right="820" w:bottom="1200" w:left="900" w:header="858" w:footer="991" w:gutter="0"/>
          <w:pgNumType w:fmt="numberInDash" w:start="1"/>
          <w:cols w:space="720" w:num="1"/>
        </w:sectPr>
      </w:pPr>
      <w:r>
        <w:rPr>
          <w:rFonts w:ascii="Times New Roman" w:hAnsi="Times New Roman" w:eastAsia="宋体" w:cs="Times New Roman"/>
        </w:rPr>
        <w:t>（4）废气治理设施失效事件。</w:t>
      </w:r>
    </w:p>
    <w:p>
      <w:pPr>
        <w:pStyle w:val="7"/>
        <w:spacing w:before="260" w:after="260"/>
        <w:rPr>
          <w:rFonts w:ascii="Times New Roman" w:hAnsi="Times New Roman" w:eastAsia="宋体" w:cs="Times New Roman"/>
          <w:sz w:val="30"/>
          <w:szCs w:val="30"/>
        </w:rPr>
      </w:pPr>
      <w:bookmarkStart w:id="62" w:name="_Toc31303"/>
      <w:bookmarkStart w:id="63" w:name="_Toc132468738"/>
      <w:bookmarkStart w:id="64" w:name="_Toc20953"/>
      <w:r>
        <w:rPr>
          <w:rFonts w:ascii="Times New Roman" w:hAnsi="Times New Roman" w:eastAsia="宋体" w:cs="Times New Roman"/>
          <w:sz w:val="30"/>
          <w:szCs w:val="30"/>
        </w:rPr>
        <w:t>1.4事件</w:t>
      </w:r>
      <w:bookmarkEnd w:id="55"/>
      <w:bookmarkEnd w:id="56"/>
      <w:bookmarkEnd w:id="57"/>
      <w:bookmarkEnd w:id="58"/>
      <w:r>
        <w:rPr>
          <w:rFonts w:ascii="Times New Roman" w:hAnsi="Times New Roman" w:eastAsia="宋体" w:cs="Times New Roman"/>
          <w:sz w:val="30"/>
          <w:szCs w:val="30"/>
        </w:rPr>
        <w:t>分级</w:t>
      </w:r>
      <w:bookmarkEnd w:id="59"/>
      <w:bookmarkEnd w:id="60"/>
      <w:bookmarkEnd w:id="61"/>
      <w:bookmarkEnd w:id="62"/>
      <w:bookmarkEnd w:id="63"/>
      <w:bookmarkEnd w:id="64"/>
    </w:p>
    <w:p>
      <w:pPr>
        <w:pStyle w:val="8"/>
        <w:spacing w:before="180" w:after="180"/>
        <w:rPr>
          <w:rFonts w:eastAsia="宋体" w:cs="Times New Roman"/>
          <w:sz w:val="28"/>
          <w:szCs w:val="28"/>
        </w:rPr>
      </w:pPr>
      <w:bookmarkStart w:id="65" w:name="_Toc4627"/>
      <w:bookmarkStart w:id="66" w:name="_Toc523160282"/>
      <w:bookmarkStart w:id="67" w:name="_Toc529542532"/>
      <w:bookmarkStart w:id="68" w:name="_Toc132468739"/>
      <w:bookmarkStart w:id="69" w:name="_Toc10902"/>
      <w:r>
        <w:rPr>
          <w:rFonts w:eastAsia="宋体" w:cs="Times New Roman"/>
          <w:sz w:val="28"/>
          <w:szCs w:val="28"/>
        </w:rPr>
        <w:t>1.4.1标准分级</w:t>
      </w:r>
      <w:bookmarkEnd w:id="65"/>
      <w:bookmarkEnd w:id="66"/>
      <w:bookmarkEnd w:id="67"/>
      <w:bookmarkEnd w:id="68"/>
      <w:bookmarkEnd w:id="69"/>
    </w:p>
    <w:p>
      <w:pPr>
        <w:ind w:firstLine="480"/>
        <w:rPr>
          <w:rFonts w:ascii="Times New Roman" w:hAnsi="Times New Roman" w:eastAsia="宋体" w:cs="Times New Roman"/>
        </w:rPr>
      </w:pPr>
      <w:r>
        <w:rPr>
          <w:rFonts w:ascii="Times New Roman" w:hAnsi="Times New Roman" w:eastAsia="宋体" w:cs="Times New Roman"/>
        </w:rPr>
        <w:t>按照《国务院办公厅关于印发国家突发环境事件应急预案的通知》国办函〔2014〕119号附件1中对突发环境事件，将突发环境事件分为特大突发环境事件（Ⅰ级）、重大环境事件（Ⅱ级）、较大环境事件（Ⅲ级）、一般突发环境事件（</w:t>
      </w:r>
      <w:r>
        <w:rPr>
          <w:rFonts w:ascii="Times New Roman" w:hAnsi="Times New Roman" w:eastAsia="宋体" w:cs="Times New Roman"/>
        </w:rPr>
        <w:fldChar w:fldCharType="begin"/>
      </w:r>
      <w:r>
        <w:rPr>
          <w:rFonts w:ascii="Times New Roman" w:hAnsi="Times New Roman" w:eastAsia="宋体" w:cs="Times New Roman"/>
        </w:rPr>
        <w:instrText xml:space="preserve"> = 4 \* ROMAN \* MERGEFORMAT </w:instrText>
      </w:r>
      <w:r>
        <w:rPr>
          <w:rFonts w:ascii="Times New Roman" w:hAnsi="Times New Roman" w:eastAsia="宋体" w:cs="Times New Roman"/>
        </w:rPr>
        <w:fldChar w:fldCharType="separate"/>
      </w:r>
      <w:r>
        <w:rPr>
          <w:rFonts w:ascii="Times New Roman" w:hAnsi="Times New Roman" w:eastAsia="宋体" w:cs="Times New Roman"/>
        </w:rPr>
        <w:t>IV</w:t>
      </w:r>
      <w:r>
        <w:rPr>
          <w:rFonts w:ascii="Times New Roman" w:hAnsi="Times New Roman" w:eastAsia="宋体" w:cs="Times New Roman"/>
        </w:rPr>
        <w:fldChar w:fldCharType="end"/>
      </w:r>
      <w:r>
        <w:rPr>
          <w:rFonts w:ascii="Times New Roman" w:hAnsi="Times New Roman" w:eastAsia="宋体" w:cs="Times New Roman"/>
        </w:rPr>
        <w:t>级）四级，详见下表所示。</w:t>
      </w:r>
    </w:p>
    <w:p>
      <w:pPr>
        <w:pStyle w:val="2"/>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表1.4-1  突发环境事件分级</w:t>
      </w:r>
    </w:p>
    <w:tbl>
      <w:tblPr>
        <w:tblStyle w:val="37"/>
        <w:tblW w:w="996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7"/>
        <w:gridCol w:w="2068"/>
        <w:gridCol w:w="7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7" w:type="dxa"/>
            <w:tcBorders>
              <w:bottom w:val="single" w:color="auto" w:sz="12" w:space="0"/>
            </w:tcBorders>
            <w:vAlign w:val="center"/>
          </w:tcPr>
          <w:p>
            <w:pPr>
              <w:adjustRightInd w:val="0"/>
              <w:snapToGrid w:val="0"/>
              <w:spacing w:line="240" w:lineRule="auto"/>
              <w:ind w:firstLine="0" w:firstLineChars="0"/>
              <w:rPr>
                <w:rFonts w:ascii="Times New Roman" w:hAnsi="Times New Roman" w:eastAsia="宋体" w:cs="Times New Roman"/>
                <w:b/>
                <w:bCs/>
                <w:sz w:val="18"/>
                <w:szCs w:val="18"/>
              </w:rPr>
            </w:pPr>
            <w:r>
              <w:rPr>
                <w:rFonts w:ascii="Times New Roman" w:hAnsi="Times New Roman" w:eastAsia="宋体" w:cs="Times New Roman"/>
                <w:b/>
                <w:bCs/>
                <w:sz w:val="18"/>
                <w:szCs w:val="18"/>
              </w:rPr>
              <w:t>级别</w:t>
            </w:r>
          </w:p>
        </w:tc>
        <w:tc>
          <w:tcPr>
            <w:tcW w:w="2068" w:type="dxa"/>
            <w:tcBorders>
              <w:bottom w:val="single" w:color="auto" w:sz="12" w:space="0"/>
            </w:tcBorders>
            <w:vAlign w:val="center"/>
          </w:tcPr>
          <w:p>
            <w:pPr>
              <w:adjustRightInd w:val="0"/>
              <w:snapToGrid w:val="0"/>
              <w:spacing w:line="240" w:lineRule="auto"/>
              <w:ind w:firstLine="361"/>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名称</w:t>
            </w:r>
          </w:p>
        </w:tc>
        <w:tc>
          <w:tcPr>
            <w:tcW w:w="7057" w:type="dxa"/>
            <w:tcBorders>
              <w:bottom w:val="single" w:color="auto" w:sz="12" w:space="0"/>
            </w:tcBorders>
            <w:vAlign w:val="center"/>
          </w:tcPr>
          <w:p>
            <w:pPr>
              <w:adjustRightInd w:val="0"/>
              <w:snapToGrid w:val="0"/>
              <w:spacing w:line="240" w:lineRule="auto"/>
              <w:ind w:firstLine="361"/>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符合条件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7" w:type="dxa"/>
            <w:tcBorders>
              <w:top w:val="single" w:color="auto" w:sz="12" w:space="0"/>
              <w:tl2br w:val="nil"/>
              <w:tr2bl w:val="nil"/>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Ⅰ级</w:t>
            </w:r>
          </w:p>
        </w:tc>
        <w:tc>
          <w:tcPr>
            <w:tcW w:w="2068" w:type="dxa"/>
            <w:tcBorders>
              <w:top w:val="single" w:color="auto" w:sz="12" w:space="0"/>
              <w:tl2br w:val="nil"/>
              <w:tr2bl w:val="nil"/>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特大突发环境事件</w:t>
            </w:r>
          </w:p>
        </w:tc>
        <w:tc>
          <w:tcPr>
            <w:tcW w:w="7057" w:type="dxa"/>
            <w:tcBorders>
              <w:top w:val="single" w:color="auto" w:sz="12" w:space="0"/>
              <w:tl2br w:val="nil"/>
              <w:tr2bl w:val="nil"/>
            </w:tcBorders>
            <w:vAlign w:val="center"/>
          </w:tcPr>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1.因环境污染直接导致30人以上死亡或100人以上中毒或重伤的；</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2.因环境污染疏散、转移人员5万人以上的；</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3.因环境污染造成直接经济损失1亿元以上的；</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4.因环境污染造成区域生态功能丧失或该区域国家重点保护物种灭绝的；</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5.因环境污染造成设区的市级以上城市集中式饮用水水源地取水中断的；</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6..造成重大跨国境影响的境内突发环境事件。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7"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Ⅱ级</w:t>
            </w:r>
          </w:p>
        </w:tc>
        <w:tc>
          <w:tcPr>
            <w:tcW w:w="2068"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重大环境事件</w:t>
            </w:r>
          </w:p>
        </w:tc>
        <w:tc>
          <w:tcPr>
            <w:tcW w:w="7057" w:type="dxa"/>
            <w:tcBorders>
              <w:tl2br w:val="nil"/>
              <w:tr2bl w:val="nil"/>
            </w:tcBorders>
            <w:vAlign w:val="center"/>
          </w:tcPr>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1.因环境污染直接导致10人以上30人以下死亡或50人以上100人以下中毒或重伤的；</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2.因环境污染疏散、转移人员1万人以上5万人以下的；</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3.因环境污染造成直接经济损失2000万元以上1亿元以下的；</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4.因环境污染造成区域生态功能部分丧失或该区域国家重点保护野生动植物种群大批死亡的；</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5.因环境污染造成县级城市集中式饮用水水源地取水中断的；</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6..造成跨省级行政区域影响的突发环境事件。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7"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Ⅲ级</w:t>
            </w:r>
          </w:p>
        </w:tc>
        <w:tc>
          <w:tcPr>
            <w:tcW w:w="2068"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较大环境事件</w:t>
            </w:r>
          </w:p>
        </w:tc>
        <w:tc>
          <w:tcPr>
            <w:tcW w:w="7057" w:type="dxa"/>
            <w:tcBorders>
              <w:tl2br w:val="nil"/>
              <w:tr2bl w:val="nil"/>
            </w:tcBorders>
            <w:vAlign w:val="center"/>
          </w:tcPr>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1.因环境污染直接导致3人以上10人以下死亡或10人以上50人以下中毒或重伤的；</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2.因环境污染疏散、转移人员5000人以上1万人以下的；</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3.因环境污染造成直接经济损失500万元以上2000万元以下的；</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4.因环境污染造成国家重点保护的动植物物种受到破坏的；</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5.因环境污染造成乡镇集中式饮用水水源地取水中断的；</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6..造成跨设区的市级行政区域影响的突发环境事件。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7"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fldChar w:fldCharType="begin"/>
            </w:r>
            <w:r>
              <w:rPr>
                <w:rFonts w:ascii="Times New Roman" w:hAnsi="Times New Roman" w:eastAsia="宋体" w:cs="Times New Roman"/>
                <w:sz w:val="18"/>
                <w:szCs w:val="18"/>
              </w:rPr>
              <w:instrText xml:space="preserve"> = 4 \* ROMAN \* MERGEFORMAT </w:instrText>
            </w:r>
            <w:r>
              <w:rPr>
                <w:rFonts w:ascii="Times New Roman" w:hAnsi="Times New Roman" w:eastAsia="宋体" w:cs="Times New Roman"/>
                <w:sz w:val="18"/>
                <w:szCs w:val="18"/>
              </w:rPr>
              <w:fldChar w:fldCharType="separate"/>
            </w:r>
            <w:r>
              <w:rPr>
                <w:rFonts w:ascii="Times New Roman" w:hAnsi="Times New Roman" w:eastAsia="宋体" w:cs="Times New Roman"/>
                <w:sz w:val="18"/>
                <w:szCs w:val="18"/>
              </w:rPr>
              <w:t>IV</w:t>
            </w:r>
            <w:r>
              <w:rPr>
                <w:rFonts w:ascii="Times New Roman" w:hAnsi="Times New Roman" w:eastAsia="宋体" w:cs="Times New Roman"/>
                <w:sz w:val="18"/>
                <w:szCs w:val="18"/>
              </w:rPr>
              <w:fldChar w:fldCharType="end"/>
            </w:r>
            <w:r>
              <w:rPr>
                <w:rFonts w:ascii="Times New Roman" w:hAnsi="Times New Roman" w:eastAsia="宋体" w:cs="Times New Roman"/>
                <w:sz w:val="18"/>
                <w:szCs w:val="18"/>
              </w:rPr>
              <w:t>级</w:t>
            </w:r>
          </w:p>
        </w:tc>
        <w:tc>
          <w:tcPr>
            <w:tcW w:w="2068"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一般突发环境事件</w:t>
            </w:r>
          </w:p>
        </w:tc>
        <w:tc>
          <w:tcPr>
            <w:tcW w:w="7057" w:type="dxa"/>
            <w:tcBorders>
              <w:tl2br w:val="nil"/>
              <w:tr2bl w:val="nil"/>
            </w:tcBorders>
            <w:vAlign w:val="center"/>
          </w:tcPr>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1.因环境污染直接导致3人以下死亡或10人以下中毒或重伤的；</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2.因环境污染疏散、转移人员5000人以下的；</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3.因环境污染造成直接经济损失500万元以下的；</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4.因环境污染造成跨县级行政区域纠纷，引起一般性群体影响的；</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5.对环境造成一定影响，尚未达到较大突发环境事件级别的。</w:t>
            </w:r>
          </w:p>
        </w:tc>
      </w:tr>
    </w:tbl>
    <w:p>
      <w:pPr>
        <w:pStyle w:val="8"/>
        <w:spacing w:before="180" w:after="180"/>
        <w:rPr>
          <w:rFonts w:eastAsia="宋体" w:cs="Times New Roman"/>
          <w:sz w:val="28"/>
          <w:szCs w:val="28"/>
        </w:rPr>
      </w:pPr>
      <w:bookmarkStart w:id="70" w:name="_Toc23524"/>
      <w:bookmarkStart w:id="71" w:name="_Toc132468740"/>
      <w:bookmarkStart w:id="72" w:name="_Toc529542533"/>
      <w:bookmarkStart w:id="73" w:name="_Toc32058"/>
      <w:bookmarkStart w:id="74" w:name="_Toc523160283"/>
      <w:r>
        <w:rPr>
          <w:rFonts w:eastAsia="宋体" w:cs="Times New Roman"/>
          <w:sz w:val="28"/>
          <w:szCs w:val="28"/>
        </w:rPr>
        <w:t>1.4.2本企业突发环境事件等级确定</w:t>
      </w:r>
      <w:bookmarkEnd w:id="70"/>
      <w:bookmarkEnd w:id="71"/>
      <w:bookmarkEnd w:id="72"/>
      <w:bookmarkEnd w:id="73"/>
      <w:bookmarkEnd w:id="74"/>
    </w:p>
    <w:p>
      <w:pPr>
        <w:ind w:firstLine="480"/>
        <w:rPr>
          <w:rFonts w:ascii="Times New Roman" w:hAnsi="Times New Roman" w:eastAsia="宋体" w:cs="Times New Roman"/>
          <w:szCs w:val="24"/>
        </w:rPr>
      </w:pPr>
      <w:r>
        <w:rPr>
          <w:rFonts w:ascii="Times New Roman" w:hAnsi="Times New Roman" w:eastAsia="宋体" w:cs="Times New Roman"/>
        </w:rPr>
        <w:t>根据《赤壁恒瑞非织造材料有限公司突发环境事件风险评估报告》，公司的环境风险等级为</w:t>
      </w:r>
      <w:r>
        <w:rPr>
          <w:rFonts w:ascii="Times New Roman" w:hAnsi="Times New Roman" w:eastAsia="宋体" w:cs="Times New Roman"/>
          <w:b/>
          <w:bCs/>
        </w:rPr>
        <w:t>一般</w:t>
      </w:r>
      <w:r>
        <w:rPr>
          <w:rFonts w:ascii="Times New Roman" w:hAnsi="Times New Roman" w:eastAsia="宋体" w:cs="Times New Roman"/>
          <w:b/>
        </w:rPr>
        <w:t>环境风险</w:t>
      </w:r>
      <w:r>
        <w:rPr>
          <w:rFonts w:ascii="Times New Roman" w:hAnsi="Times New Roman" w:eastAsia="宋体" w:cs="Times New Roman"/>
        </w:rPr>
        <w:t>。</w:t>
      </w:r>
      <w:r>
        <w:rPr>
          <w:rFonts w:ascii="Times New Roman" w:hAnsi="Times New Roman" w:eastAsia="宋体" w:cs="Times New Roman"/>
          <w:szCs w:val="24"/>
        </w:rPr>
        <w:t>根据企业规模和特性，按照事件严重程度，并有效的结合企业所在市区的应急预案体系，赤壁恒瑞非织造材料有限公司突发环境事件分为社会级（Ⅰ级）、</w:t>
      </w:r>
      <w:r>
        <w:rPr>
          <w:rFonts w:hint="eastAsia" w:ascii="Times New Roman" w:hAnsi="Times New Roman" w:eastAsia="宋体" w:cs="Times New Roman"/>
          <w:szCs w:val="24"/>
        </w:rPr>
        <w:t>公司级</w:t>
      </w:r>
      <w:r>
        <w:rPr>
          <w:rFonts w:ascii="Times New Roman" w:hAnsi="Times New Roman" w:eastAsia="宋体" w:cs="Times New Roman"/>
          <w:szCs w:val="24"/>
        </w:rPr>
        <w:t>（Ⅱ级）和车间级（Ⅲ级）三级，具体分级标准见表1.4-2及表1.4-3。</w:t>
      </w:r>
    </w:p>
    <w:p>
      <w:pPr>
        <w:pStyle w:val="68"/>
        <w:spacing w:line="240" w:lineRule="auto"/>
        <w:ind w:firstLine="422"/>
        <w:rPr>
          <w:rFonts w:hAnsi="Times New Roman" w:eastAsia="宋体"/>
          <w:color w:val="auto"/>
        </w:rPr>
      </w:pPr>
      <w:r>
        <w:rPr>
          <w:rFonts w:hAnsi="Times New Roman" w:eastAsia="宋体"/>
          <w:color w:val="auto"/>
        </w:rPr>
        <w:t>表1.4-2  企业突发环境事件分级标准一览表</w:t>
      </w:r>
    </w:p>
    <w:tbl>
      <w:tblPr>
        <w:tblStyle w:val="36"/>
        <w:tblW w:w="9528"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45"/>
        <w:gridCol w:w="828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245" w:type="dxa"/>
            <w:tcBorders>
              <w:bottom w:val="single" w:color="auto" w:sz="12" w:space="0"/>
            </w:tcBorders>
            <w:vAlign w:val="center"/>
          </w:tcPr>
          <w:p>
            <w:pPr>
              <w:pStyle w:val="86"/>
              <w:rPr>
                <w:b/>
                <w:bCs/>
              </w:rPr>
            </w:pPr>
            <w:r>
              <w:rPr>
                <w:b/>
                <w:bCs/>
              </w:rPr>
              <w:t>类别</w:t>
            </w:r>
          </w:p>
        </w:tc>
        <w:tc>
          <w:tcPr>
            <w:tcW w:w="8283" w:type="dxa"/>
            <w:tcBorders>
              <w:bottom w:val="single" w:color="auto" w:sz="12" w:space="0"/>
            </w:tcBorders>
            <w:vAlign w:val="center"/>
          </w:tcPr>
          <w:p>
            <w:pPr>
              <w:pStyle w:val="86"/>
              <w:rPr>
                <w:b/>
                <w:bCs/>
              </w:rPr>
            </w:pPr>
            <w:r>
              <w:rPr>
                <w:b/>
                <w:bCs/>
              </w:rPr>
              <w:t>具体情形</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245" w:type="dxa"/>
            <w:tcBorders>
              <w:top w:val="single" w:color="auto" w:sz="12" w:space="0"/>
              <w:tl2br w:val="nil"/>
              <w:tr2bl w:val="nil"/>
            </w:tcBorders>
            <w:vAlign w:val="center"/>
          </w:tcPr>
          <w:p>
            <w:pPr>
              <w:pStyle w:val="86"/>
            </w:pPr>
            <w:r>
              <w:t>社会级</w:t>
            </w:r>
          </w:p>
        </w:tc>
        <w:tc>
          <w:tcPr>
            <w:tcW w:w="8283" w:type="dxa"/>
            <w:tcBorders>
              <w:top w:val="single" w:color="auto" w:sz="12" w:space="0"/>
              <w:tl2br w:val="nil"/>
              <w:tr2bl w:val="nil"/>
            </w:tcBorders>
            <w:vAlign w:val="center"/>
          </w:tcPr>
          <w:p>
            <w:pPr>
              <w:pStyle w:val="86"/>
            </w:pPr>
            <w:r>
              <w:rPr>
                <w:rFonts w:hint="eastAsia"/>
                <w:lang w:eastAsia="zh-CN"/>
              </w:rPr>
              <w:t>涉及</w:t>
            </w:r>
            <w:r>
              <w:t>环境事件污染厂区外自然环境，危害厂区外人群健康的污染事件。</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245" w:type="dxa"/>
            <w:tcBorders>
              <w:tl2br w:val="nil"/>
              <w:tr2bl w:val="nil"/>
            </w:tcBorders>
            <w:vAlign w:val="center"/>
          </w:tcPr>
          <w:p>
            <w:pPr>
              <w:pStyle w:val="86"/>
            </w:pPr>
            <w:r>
              <w:t>公司级</w:t>
            </w:r>
          </w:p>
        </w:tc>
        <w:tc>
          <w:tcPr>
            <w:tcW w:w="8283" w:type="dxa"/>
            <w:tcBorders>
              <w:tl2br w:val="nil"/>
              <w:tr2bl w:val="nil"/>
            </w:tcBorders>
            <w:vAlign w:val="center"/>
          </w:tcPr>
          <w:p>
            <w:pPr>
              <w:pStyle w:val="86"/>
            </w:pPr>
            <w:r>
              <w:t>小范围的环境污染事件，</w:t>
            </w:r>
            <w:r>
              <w:rPr>
                <w:rFonts w:hint="eastAsia"/>
                <w:lang w:eastAsia="zh-CN"/>
              </w:rPr>
              <w:t>涉及</w:t>
            </w:r>
            <w:r>
              <w:t>环境事件对厂区内有影响，须动员全厂几个主要部门协同配合，污染可以控制在厂内。</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245" w:type="dxa"/>
            <w:tcBorders>
              <w:tl2br w:val="nil"/>
              <w:tr2bl w:val="nil"/>
            </w:tcBorders>
            <w:vAlign w:val="center"/>
          </w:tcPr>
          <w:p>
            <w:pPr>
              <w:pStyle w:val="86"/>
            </w:pPr>
            <w:r>
              <w:t>车间级</w:t>
            </w:r>
          </w:p>
        </w:tc>
        <w:tc>
          <w:tcPr>
            <w:tcW w:w="8283" w:type="dxa"/>
            <w:tcBorders>
              <w:tl2br w:val="nil"/>
              <w:tr2bl w:val="nil"/>
            </w:tcBorders>
            <w:vAlign w:val="center"/>
          </w:tcPr>
          <w:p>
            <w:pPr>
              <w:pStyle w:val="86"/>
            </w:pPr>
            <w:r>
              <w:t>仅仅</w:t>
            </w:r>
            <w:r>
              <w:rPr>
                <w:rFonts w:hint="eastAsia"/>
                <w:lang w:eastAsia="zh-CN"/>
              </w:rPr>
              <w:t>涉及</w:t>
            </w:r>
            <w:r>
              <w:t>某一个车间，事件在发生萌芽阶段即被控制，不再升级，不会对车间外环境产生影响的。</w:t>
            </w:r>
          </w:p>
        </w:tc>
      </w:tr>
    </w:tbl>
    <w:p>
      <w:pPr>
        <w:ind w:firstLine="480"/>
        <w:rPr>
          <w:rFonts w:ascii="Times New Roman" w:hAnsi="Times New Roman" w:eastAsia="宋体" w:cs="Times New Roman"/>
        </w:rPr>
      </w:pPr>
      <w:r>
        <w:rPr>
          <w:rFonts w:ascii="Times New Roman" w:hAnsi="Times New Roman" w:eastAsia="宋体" w:cs="Times New Roman"/>
        </w:rPr>
        <w:t>为方便公司对突发事故进行积极响应及管理，本预案按照突发事件严重性和紧急程度，将本项目突发环境事件划分为以下三个等级。</w:t>
      </w:r>
    </w:p>
    <w:p>
      <w:pPr>
        <w:pStyle w:val="2"/>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表1.4-3  赤壁恒瑞非织造材料有限公司分级一览表</w:t>
      </w:r>
    </w:p>
    <w:tbl>
      <w:tblPr>
        <w:tblStyle w:val="37"/>
        <w:tblW w:w="996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85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9" w:type="dxa"/>
            <w:tcBorders>
              <w:bottom w:val="single" w:color="auto" w:sz="12" w:space="0"/>
            </w:tcBorders>
            <w:vAlign w:val="center"/>
          </w:tcPr>
          <w:p>
            <w:pPr>
              <w:widowControl/>
              <w:adjustRightInd w:val="0"/>
              <w:snapToGrid w:val="0"/>
              <w:spacing w:line="240" w:lineRule="auto"/>
              <w:ind w:firstLine="0" w:firstLineChars="0"/>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级别</w:t>
            </w:r>
          </w:p>
        </w:tc>
        <w:tc>
          <w:tcPr>
            <w:tcW w:w="8523" w:type="dxa"/>
            <w:tcBorders>
              <w:bottom w:val="single" w:color="auto" w:sz="12" w:space="0"/>
            </w:tcBorders>
            <w:vAlign w:val="center"/>
          </w:tcPr>
          <w:p>
            <w:pPr>
              <w:widowControl/>
              <w:adjustRightInd w:val="0"/>
              <w:snapToGrid w:val="0"/>
              <w:spacing w:line="240" w:lineRule="auto"/>
              <w:ind w:firstLine="0" w:firstLineChars="0"/>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分级条件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9" w:type="dxa"/>
            <w:tcBorders>
              <w:top w:val="single" w:color="auto" w:sz="12" w:space="0"/>
              <w:tl2br w:val="nil"/>
              <w:tr2bl w:val="nil"/>
            </w:tcBorders>
            <w:vAlign w:val="center"/>
          </w:tcPr>
          <w:p>
            <w:pPr>
              <w:widowControl/>
              <w:adjustRightInd w:val="0"/>
              <w:snapToGrid w:val="0"/>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车间级（3级）</w:t>
            </w:r>
          </w:p>
        </w:tc>
        <w:tc>
          <w:tcPr>
            <w:tcW w:w="8523" w:type="dxa"/>
            <w:tcBorders>
              <w:top w:val="single" w:color="auto" w:sz="12" w:space="0"/>
              <w:tl2br w:val="nil"/>
              <w:tr2bl w:val="nil"/>
            </w:tcBorders>
          </w:tcPr>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（1）生产车间设备、危化品间原辅料发生少量泄漏可及时采取补救措施的；</w:t>
            </w:r>
          </w:p>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（2）污水预处理故障，废水处理效率降低但能达标处理的情况；生产设备开停机、非正常排放废气能完全收集并有效处置的；</w:t>
            </w:r>
          </w:p>
          <w:p>
            <w:pPr>
              <w:widowControl/>
              <w:adjustRightInd w:val="0"/>
              <w:snapToGrid w:val="0"/>
              <w:spacing w:line="240" w:lineRule="auto"/>
              <w:ind w:firstLine="0" w:firstLineChars="0"/>
              <w:rPr>
                <w:rFonts w:ascii="Times New Roman" w:hAnsi="Times New Roman" w:eastAsia="宋体" w:cs="Times New Roman"/>
              </w:rPr>
            </w:pPr>
            <w:r>
              <w:rPr>
                <w:rFonts w:ascii="Times New Roman" w:hAnsi="Times New Roman" w:eastAsia="宋体" w:cs="Times New Roman"/>
                <w:kern w:val="0"/>
                <w:sz w:val="18"/>
                <w:szCs w:val="18"/>
              </w:rPr>
              <w:t>（3）危废暂存间管理不当，危险废物发生少量泄露及时采取补救措施的；</w:t>
            </w:r>
          </w:p>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（4）因泄漏、火灾爆炸事故导致3人以下的中毒或重伤的；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9" w:type="dxa"/>
            <w:tcBorders>
              <w:tl2br w:val="nil"/>
              <w:tr2bl w:val="nil"/>
            </w:tcBorders>
            <w:vAlign w:val="center"/>
          </w:tcPr>
          <w:p>
            <w:pPr>
              <w:widowControl/>
              <w:adjustRightInd w:val="0"/>
              <w:snapToGrid w:val="0"/>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公司级（2级）</w:t>
            </w:r>
          </w:p>
        </w:tc>
        <w:tc>
          <w:tcPr>
            <w:tcW w:w="8523" w:type="dxa"/>
            <w:tcBorders>
              <w:tl2br w:val="nil"/>
              <w:tr2bl w:val="nil"/>
            </w:tcBorders>
          </w:tcPr>
          <w:p>
            <w:pPr>
              <w:widowControl/>
              <w:numPr>
                <w:ilvl w:val="0"/>
                <w:numId w:val="2"/>
              </w:numPr>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生产装置、危化品间发生火灾事故，企业内部消防力量可控制事态，消防废水</w:t>
            </w:r>
            <w:r>
              <w:rPr>
                <w:rFonts w:ascii="Times New Roman" w:hAnsi="Times New Roman" w:eastAsia="宋体" w:cs="Times New Roman"/>
                <w:sz w:val="18"/>
                <w:szCs w:val="18"/>
              </w:rPr>
              <w:t>可控制在公司内，不外排至厂区外</w:t>
            </w:r>
            <w:r>
              <w:rPr>
                <w:rFonts w:ascii="Times New Roman" w:hAnsi="Times New Roman" w:eastAsia="宋体" w:cs="Times New Roman"/>
                <w:kern w:val="0"/>
                <w:sz w:val="18"/>
                <w:szCs w:val="18"/>
              </w:rPr>
              <w:t>；</w:t>
            </w:r>
          </w:p>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（2）生产装置、危化品包装桶破裂导致物料泄漏，泄漏的物料产生挥发性气体仅对厂内员工造成伤害的；</w:t>
            </w:r>
          </w:p>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（3）因火灾爆炸、环境污染直接导致3人以下死亡或10人以下中毒或重伤的；</w:t>
            </w:r>
          </w:p>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（4）因环境污染造成直接经济损失500万元以下的；因环境污染疏散、转移人员1万人以下的；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9" w:type="dxa"/>
            <w:tcBorders>
              <w:tl2br w:val="nil"/>
              <w:tr2bl w:val="nil"/>
            </w:tcBorders>
            <w:vAlign w:val="center"/>
          </w:tcPr>
          <w:p>
            <w:pPr>
              <w:widowControl/>
              <w:adjustRightInd w:val="0"/>
              <w:snapToGrid w:val="0"/>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社会级（1级）</w:t>
            </w:r>
          </w:p>
        </w:tc>
        <w:tc>
          <w:tcPr>
            <w:tcW w:w="8523" w:type="dxa"/>
            <w:tcBorders>
              <w:tl2br w:val="nil"/>
              <w:tr2bl w:val="nil"/>
            </w:tcBorders>
          </w:tcPr>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（1）生产车间发生大面积火灾、爆炸事故，对厂外环境和人群健康产生严重影响的；</w:t>
            </w:r>
          </w:p>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（2）危化品包装桶破裂导致物料泄漏产生挥发性气体对厂区外人群伤害；</w:t>
            </w:r>
          </w:p>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（3）厂内生产装置开停机及非正常运行阶段，废气超标排放，未有效处理影响周边大气环境的；</w:t>
            </w:r>
          </w:p>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（4）因环境污染直接导致3人以上10人以下死亡或10人以上50人以下中毒或重伤的；</w:t>
            </w:r>
          </w:p>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（5）因环境污染造成直接经济损失500万元以上的；因环境污染疏散、转移人员1万人以上的；</w:t>
            </w:r>
          </w:p>
        </w:tc>
      </w:tr>
    </w:tbl>
    <w:p>
      <w:pPr>
        <w:pStyle w:val="7"/>
        <w:spacing w:before="260" w:after="260"/>
        <w:rPr>
          <w:rFonts w:ascii="Times New Roman" w:hAnsi="Times New Roman" w:eastAsia="宋体" w:cs="Times New Roman"/>
          <w:sz w:val="30"/>
          <w:szCs w:val="30"/>
        </w:rPr>
      </w:pPr>
      <w:bookmarkStart w:id="75" w:name="_Toc510164018"/>
      <w:bookmarkStart w:id="76" w:name="_Toc510164463"/>
      <w:bookmarkStart w:id="77" w:name="_Toc510164300"/>
      <w:bookmarkStart w:id="78" w:name="_Toc509234744"/>
      <w:bookmarkStart w:id="79" w:name="_Toc24934"/>
      <w:bookmarkStart w:id="80" w:name="_Toc132468741"/>
      <w:bookmarkStart w:id="81" w:name="_Toc523160284"/>
      <w:bookmarkStart w:id="82" w:name="_Toc23560"/>
      <w:bookmarkStart w:id="83" w:name="_Toc529542534"/>
      <w:bookmarkStart w:id="84" w:name="_Toc523160137"/>
      <w:r>
        <w:rPr>
          <w:rFonts w:ascii="Times New Roman" w:hAnsi="Times New Roman" w:eastAsia="宋体" w:cs="Times New Roman"/>
          <w:sz w:val="30"/>
          <w:szCs w:val="30"/>
        </w:rPr>
        <w:t>1.5应急预案体系</w:t>
      </w:r>
      <w:bookmarkEnd w:id="75"/>
      <w:bookmarkEnd w:id="76"/>
      <w:bookmarkEnd w:id="77"/>
      <w:bookmarkEnd w:id="78"/>
      <w:r>
        <w:rPr>
          <w:rFonts w:ascii="Times New Roman" w:hAnsi="Times New Roman" w:eastAsia="宋体" w:cs="Times New Roman"/>
          <w:sz w:val="30"/>
          <w:szCs w:val="30"/>
        </w:rPr>
        <w:t>关系</w:t>
      </w:r>
      <w:bookmarkEnd w:id="79"/>
      <w:bookmarkEnd w:id="80"/>
      <w:bookmarkEnd w:id="81"/>
      <w:bookmarkEnd w:id="82"/>
      <w:bookmarkEnd w:id="83"/>
      <w:bookmarkEnd w:id="84"/>
    </w:p>
    <w:p>
      <w:pPr>
        <w:pStyle w:val="8"/>
        <w:spacing w:before="180" w:after="180"/>
        <w:rPr>
          <w:rFonts w:eastAsia="宋体" w:cs="Times New Roman"/>
          <w:sz w:val="28"/>
          <w:szCs w:val="28"/>
        </w:rPr>
      </w:pPr>
      <w:bookmarkStart w:id="85" w:name="_Toc132468742"/>
      <w:bookmarkStart w:id="86" w:name="_Toc30492"/>
      <w:bookmarkStart w:id="87" w:name="_Toc24750"/>
      <w:r>
        <w:rPr>
          <w:rFonts w:eastAsia="宋体" w:cs="Times New Roman"/>
          <w:sz w:val="28"/>
          <w:szCs w:val="28"/>
        </w:rPr>
        <w:t>1.5.1应急预案组成</w:t>
      </w:r>
      <w:bookmarkEnd w:id="85"/>
      <w:bookmarkEnd w:id="86"/>
      <w:bookmarkEnd w:id="87"/>
    </w:p>
    <w:p>
      <w:pPr>
        <w:ind w:firstLine="456"/>
        <w:rPr>
          <w:rFonts w:ascii="Times New Roman" w:hAnsi="Times New Roman" w:eastAsia="宋体" w:cs="Times New Roman"/>
        </w:rPr>
      </w:pPr>
      <w:r>
        <w:rPr>
          <w:rFonts w:ascii="Times New Roman" w:hAnsi="Times New Roman" w:eastAsia="宋体" w:cs="Times New Roman"/>
          <w:spacing w:val="-6"/>
          <w:kern w:val="0"/>
          <w:szCs w:val="20"/>
        </w:rPr>
        <w:t>企业事业单位环境应急预案可包括综合应急预案、专项应急预案、现场应急处置预案等类别。其中，综合应急预案体现战略性，专项应急预案体现战术性，现场应急处置预案体现操作性。重大环境风险企业，环境应急预案体系应当包括1个综合应急预案、1个或多个专项应急预案，以及1个或多个现场应急处置预案。较大环境风险企业，综合应急预案和专项应急预案可合并编写。一般环境风险企业，可以简化环境应急预案的体系。</w:t>
      </w:r>
    </w:p>
    <w:p>
      <w:pPr>
        <w:ind w:firstLine="456"/>
        <w:rPr>
          <w:rFonts w:ascii="Times New Roman" w:hAnsi="Times New Roman" w:eastAsia="宋体" w:cs="Times New Roman"/>
          <w:spacing w:val="-6"/>
          <w:kern w:val="0"/>
          <w:szCs w:val="20"/>
        </w:rPr>
      </w:pPr>
      <w:r>
        <w:rPr>
          <w:rFonts w:ascii="Times New Roman" w:hAnsi="Times New Roman" w:eastAsia="宋体" w:cs="Times New Roman"/>
          <w:spacing w:val="-6"/>
          <w:kern w:val="0"/>
          <w:szCs w:val="20"/>
          <w:u w:val="single"/>
        </w:rPr>
        <w:t>因为</w:t>
      </w:r>
      <w:r>
        <w:rPr>
          <w:rFonts w:ascii="Times New Roman" w:hAnsi="Times New Roman" w:eastAsia="宋体" w:cs="Times New Roman"/>
          <w:u w:val="single"/>
        </w:rPr>
        <w:t>赤壁恒瑞非织造材料有限公司</w:t>
      </w:r>
      <w:r>
        <w:rPr>
          <w:rFonts w:ascii="Times New Roman" w:hAnsi="Times New Roman" w:eastAsia="宋体" w:cs="Times New Roman"/>
          <w:spacing w:val="-6"/>
          <w:kern w:val="0"/>
          <w:szCs w:val="20"/>
          <w:u w:val="single"/>
        </w:rPr>
        <w:t>环境风险等级为一般，本公司综合应急预案、专项应急预案和现场应急处置方案均单独编制，明确了事前、事发、事中、事后的各个过程中相关部门和有关人员的职责</w:t>
      </w:r>
      <w:r>
        <w:rPr>
          <w:rFonts w:ascii="Times New Roman" w:hAnsi="Times New Roman" w:eastAsia="宋体" w:cs="Times New Roman"/>
          <w:spacing w:val="-6"/>
          <w:kern w:val="0"/>
          <w:szCs w:val="20"/>
        </w:rPr>
        <w:t>。</w:t>
      </w:r>
    </w:p>
    <w:p>
      <w:pPr>
        <w:pStyle w:val="17"/>
        <w:ind w:firstLine="482"/>
        <w:rPr>
          <w:rFonts w:ascii="Times New Roman" w:hAnsi="Times New Roman" w:eastAsia="宋体" w:cs="Times New Roman"/>
        </w:rPr>
      </w:pPr>
      <w:r>
        <w:rPr>
          <w:rFonts w:ascii="Times New Roman" w:hAnsi="Times New Roman" w:eastAsia="宋体" w:cs="Times New Roman"/>
          <w:b/>
          <w:bCs/>
        </w:rPr>
        <w:t>综合应急预案：</w:t>
      </w:r>
      <w:r>
        <w:rPr>
          <w:rFonts w:ascii="Times New Roman" w:hAnsi="Times New Roman" w:eastAsia="宋体" w:cs="Times New Roman"/>
        </w:rPr>
        <w:t>侧重应急原则、组织机构与职责基本程序与要求，可以说明预案的主体架。</w:t>
      </w:r>
    </w:p>
    <w:p>
      <w:pPr>
        <w:pStyle w:val="17"/>
        <w:ind w:firstLine="0" w:firstLineChars="0"/>
        <w:jc w:val="both"/>
        <w:rPr>
          <w:rFonts w:ascii="Times New Roman" w:hAnsi="Times New Roman" w:eastAsia="宋体" w:cs="Times New Roman"/>
        </w:rPr>
      </w:pPr>
      <w:r>
        <w:rPr>
          <w:rFonts w:ascii="Times New Roman" w:hAnsi="Times New Roman" w:eastAsia="宋体" w:cs="Times New Roman"/>
        </w:rPr>
        <w:t>赤壁恒瑞非织造材料有限公司综合应急预案由总则、公司基本情况、环境风险源与环境风险评价、应急救援组织机构及职责、预防与预警、信息报告与通报、应急响应与措施、后期处置、应急培训与演练、奖惩、保障措施、预案的评审备案发布和更新、应急预案实施、附录等构成。</w:t>
      </w:r>
    </w:p>
    <w:p>
      <w:pPr>
        <w:pStyle w:val="32"/>
        <w:ind w:firstLine="458"/>
        <w:rPr>
          <w:rFonts w:ascii="Times New Roman" w:eastAsia="宋体"/>
        </w:rPr>
      </w:pPr>
      <w:r>
        <w:rPr>
          <w:rFonts w:ascii="Times New Roman" w:eastAsia="宋体"/>
          <w:b/>
          <w:szCs w:val="24"/>
        </w:rPr>
        <w:t>专项应急预案</w:t>
      </w:r>
      <w:r>
        <w:rPr>
          <w:rFonts w:ascii="Times New Roman" w:eastAsia="宋体"/>
          <w:szCs w:val="24"/>
        </w:rPr>
        <w:t>：针对危废暂存间事故等事件，明确应急程序与处置措施。</w:t>
      </w:r>
      <w:r>
        <w:rPr>
          <w:rFonts w:ascii="Times New Roman" w:eastAsia="宋体"/>
        </w:rPr>
        <w:t>赤壁恒瑞非织造材料有限公司</w:t>
      </w:r>
      <w:r>
        <w:rPr>
          <w:rFonts w:ascii="Times New Roman" w:eastAsia="宋体"/>
          <w:szCs w:val="24"/>
        </w:rPr>
        <w:t>专项应急预案目的、适用范围、危险性分析、可能发生的事件特征、主要污染物种类、应急组织机构与职责、预防措施、应急处置程序和应急保障等内容构成。</w:t>
      </w:r>
    </w:p>
    <w:p>
      <w:pPr>
        <w:pStyle w:val="17"/>
        <w:ind w:firstLine="482"/>
        <w:jc w:val="left"/>
        <w:rPr>
          <w:rFonts w:ascii="Times New Roman" w:hAnsi="Times New Roman" w:eastAsia="宋体" w:cs="Times New Roman"/>
        </w:rPr>
      </w:pPr>
      <w:r>
        <w:rPr>
          <w:rFonts w:ascii="Times New Roman" w:hAnsi="Times New Roman" w:eastAsia="宋体" w:cs="Times New Roman"/>
          <w:b/>
          <w:bCs/>
        </w:rPr>
        <w:t>现场应急处置预案：</w:t>
      </w:r>
      <w:r>
        <w:rPr>
          <w:rFonts w:ascii="Times New Roman" w:hAnsi="Times New Roman" w:eastAsia="宋体" w:cs="Times New Roman"/>
        </w:rPr>
        <w:t>有针对性的提出各类事件情境下的污染防控措施，明确责任人员，工作流程、具体措施，落实到应急处置卡上。赤壁恒瑞非织造材料有限公司现场处置预案由危险性分析、可能发生的事件特征、应急处置程序、应急处置要点、应急处置卡和注意事项等构成。</w:t>
      </w:r>
    </w:p>
    <w:p>
      <w:pPr>
        <w:pStyle w:val="8"/>
        <w:spacing w:before="180" w:after="180"/>
        <w:rPr>
          <w:rFonts w:eastAsia="宋体" w:cs="Times New Roman"/>
          <w:sz w:val="28"/>
          <w:szCs w:val="28"/>
        </w:rPr>
      </w:pPr>
      <w:bookmarkStart w:id="88" w:name="_Toc132468743"/>
      <w:bookmarkStart w:id="89" w:name="_Toc3159"/>
      <w:bookmarkStart w:id="90" w:name="_Toc18784"/>
      <w:r>
        <w:rPr>
          <w:rFonts w:eastAsia="宋体" w:cs="Times New Roman"/>
          <w:sz w:val="28"/>
          <w:szCs w:val="28"/>
        </w:rPr>
        <w:t>1.5.2应急预案体系衔接</w:t>
      </w:r>
      <w:bookmarkEnd w:id="88"/>
      <w:bookmarkEnd w:id="89"/>
      <w:bookmarkEnd w:id="90"/>
    </w:p>
    <w:p>
      <w:pPr>
        <w:pStyle w:val="32"/>
        <w:ind w:firstLine="456"/>
        <w:rPr>
          <w:rFonts w:ascii="Times New Roman" w:eastAsia="宋体"/>
        </w:rPr>
      </w:pPr>
      <w:r>
        <w:rPr>
          <w:rFonts w:ascii="Times New Roman" w:eastAsia="宋体"/>
        </w:rPr>
        <w:t>赤壁恒瑞非织造材料有限公司突发环境事件应急预案与本企业生产安全事故救援预案和周边企业突发环境事件应急预案相互协调，与赤壁市突发环境应急预案相衔接，为上下服从关系。</w:t>
      </w:r>
    </w:p>
    <w:p>
      <w:pPr>
        <w:pStyle w:val="32"/>
        <w:ind w:firstLine="456"/>
        <w:rPr>
          <w:rFonts w:ascii="Times New Roman" w:eastAsia="宋体"/>
        </w:rPr>
      </w:pPr>
      <w:r>
        <w:rPr>
          <w:rFonts w:ascii="Times New Roman" w:eastAsia="宋体"/>
        </w:rPr>
        <w:t>（1）</w:t>
      </w:r>
      <w:r>
        <w:rPr>
          <w:rFonts w:ascii="Times New Roman" w:eastAsia="宋体"/>
          <w:u w:val="single"/>
        </w:rPr>
        <w:t>应急救援保障及物资的衔接</w:t>
      </w:r>
      <w:r>
        <w:rPr>
          <w:rFonts w:ascii="Times New Roman" w:eastAsia="宋体"/>
        </w:rPr>
        <w:t>：本项目应急设施及物资除依托内部以及友邻企业应急设施外，还可联系赤壁市政府、车埠镇人民政府、咸宁市生态环境局赤壁市分局、赤壁市环境保护监测站、</w:t>
      </w:r>
      <w:r>
        <w:rPr>
          <w:rFonts w:ascii="Times New Roman" w:eastAsia="宋体"/>
          <w:szCs w:val="24"/>
        </w:rPr>
        <w:t>赤壁市消防队、</w:t>
      </w:r>
      <w:r>
        <w:rPr>
          <w:rFonts w:ascii="Times New Roman" w:eastAsia="宋体"/>
        </w:rPr>
        <w:t>赤壁市人民医院、专家库专家等人员及相关只能部门，请求救援力量与应急物资、装备支持。</w:t>
      </w:r>
    </w:p>
    <w:p>
      <w:pPr>
        <w:pStyle w:val="32"/>
        <w:ind w:firstLine="456"/>
        <w:rPr>
          <w:rFonts w:ascii="Times New Roman" w:eastAsia="宋体"/>
        </w:rPr>
      </w:pPr>
      <w:r>
        <w:rPr>
          <w:rFonts w:ascii="Times New Roman" w:eastAsia="宋体"/>
        </w:rPr>
        <w:t>（2）</w:t>
      </w:r>
      <w:r>
        <w:rPr>
          <w:rFonts w:ascii="Times New Roman" w:eastAsia="宋体"/>
          <w:u w:val="single"/>
        </w:rPr>
        <w:t>应急培训计划的衔接</w:t>
      </w:r>
      <w:r>
        <w:rPr>
          <w:rFonts w:ascii="Times New Roman" w:eastAsia="宋体"/>
        </w:rPr>
        <w:t>：企业在开展应急培训计划的同时，还应积极配合园区开展的应急培训计划，在发生风险事故时，及时与应急组织取得联系。</w:t>
      </w:r>
    </w:p>
    <w:p>
      <w:pPr>
        <w:pStyle w:val="32"/>
        <w:ind w:firstLine="456"/>
        <w:rPr>
          <w:rFonts w:ascii="Times New Roman" w:eastAsia="宋体"/>
        </w:rPr>
      </w:pPr>
      <w:r>
        <w:rPr>
          <w:rFonts w:ascii="Times New Roman" w:eastAsia="宋体"/>
        </w:rPr>
        <w:t>（3）</w:t>
      </w:r>
      <w:r>
        <w:rPr>
          <w:rFonts w:ascii="Times New Roman" w:eastAsia="宋体"/>
          <w:u w:val="single"/>
        </w:rPr>
        <w:t>公众教育的衔接</w:t>
      </w:r>
      <w:r>
        <w:rPr>
          <w:rFonts w:ascii="Times New Roman" w:eastAsia="宋体"/>
        </w:rPr>
        <w:t>：企业对厂区和附近地区公众开展教育、培训时，应加强与周边公众和相关单位的交流，在发生事故或者可能发生事故时，告诉公众该如何采取行动；如果决定疏散，应当通知居民避难所位置和疏散路线。</w:t>
      </w:r>
    </w:p>
    <w:p>
      <w:pPr>
        <w:ind w:firstLine="456"/>
        <w:rPr>
          <w:rFonts w:ascii="Times New Roman" w:hAnsi="Times New Roman" w:eastAsia="宋体" w:cs="Times New Roman"/>
          <w:spacing w:val="-6"/>
          <w:kern w:val="0"/>
          <w:szCs w:val="20"/>
        </w:rPr>
      </w:pPr>
      <w:r>
        <w:rPr>
          <w:rFonts w:ascii="Times New Roman" w:hAnsi="Times New Roman" w:eastAsia="宋体" w:cs="Times New Roman"/>
          <w:spacing w:val="-6"/>
          <w:kern w:val="0"/>
          <w:szCs w:val="20"/>
        </w:rPr>
        <w:t>（4）</w:t>
      </w:r>
      <w:r>
        <w:rPr>
          <w:rFonts w:ascii="Times New Roman" w:hAnsi="Times New Roman" w:eastAsia="宋体" w:cs="Times New Roman"/>
          <w:spacing w:val="-6"/>
          <w:kern w:val="0"/>
          <w:szCs w:val="20"/>
          <w:u w:val="single"/>
        </w:rPr>
        <w:t>与公司相关应急预案的衔接</w:t>
      </w:r>
      <w:r>
        <w:rPr>
          <w:rFonts w:ascii="Times New Roman" w:hAnsi="Times New Roman" w:eastAsia="宋体" w:cs="Times New Roman"/>
          <w:spacing w:val="-6"/>
          <w:kern w:val="0"/>
          <w:szCs w:val="20"/>
        </w:rPr>
        <w:t>：若当生产、储存场所的险情（或事故）发生化学品、危废等泄</w:t>
      </w:r>
      <w:r>
        <w:rPr>
          <w:rFonts w:hint="eastAsia" w:ascii="Times New Roman" w:hAnsi="Times New Roman" w:eastAsia="宋体" w:cs="Times New Roman"/>
          <w:spacing w:val="-6"/>
          <w:kern w:val="0"/>
          <w:szCs w:val="20"/>
          <w:lang w:val="en-US" w:eastAsia="zh-CN"/>
        </w:rPr>
        <w:t>漏</w:t>
      </w:r>
      <w:r>
        <w:rPr>
          <w:rFonts w:ascii="Times New Roman" w:hAnsi="Times New Roman" w:eastAsia="宋体" w:cs="Times New Roman"/>
          <w:spacing w:val="-6"/>
          <w:kern w:val="0"/>
          <w:szCs w:val="20"/>
        </w:rPr>
        <w:t>事故，按照相应的专项预案或现场应急处置预案分别进行处置；若事故变化、趋向严重时，现场处置方案及专项应急预案不能消除事故的状态，应立即启动公司的综合应急预案；突发环境事件应急预案为本公司应急预案的一部分，与其生产安全事故预案并列互为补充，其他应急预案启动，可能导致环境污染时，启动突发环境事件应急预案。</w:t>
      </w:r>
    </w:p>
    <w:p>
      <w:pPr>
        <w:ind w:firstLine="456"/>
        <w:rPr>
          <w:rFonts w:ascii="Times New Roman" w:hAnsi="Times New Roman" w:cs="Times New Roman"/>
        </w:rPr>
      </w:pPr>
      <w:r>
        <w:rPr>
          <w:rFonts w:ascii="Times New Roman" w:hAnsi="Times New Roman" w:eastAsia="宋体" w:cs="Times New Roman"/>
          <w:spacing w:val="-6"/>
          <w:kern w:val="0"/>
          <w:szCs w:val="20"/>
        </w:rPr>
        <w:t>（5）</w:t>
      </w:r>
      <w:r>
        <w:rPr>
          <w:rFonts w:ascii="Times New Roman" w:hAnsi="Times New Roman" w:eastAsia="宋体" w:cs="Times New Roman"/>
          <w:spacing w:val="-6"/>
          <w:kern w:val="0"/>
          <w:szCs w:val="20"/>
          <w:u w:val="single"/>
        </w:rPr>
        <w:t>与周边单位应急预案的衔接</w:t>
      </w:r>
      <w:r>
        <w:rPr>
          <w:rFonts w:ascii="Times New Roman" w:hAnsi="Times New Roman" w:eastAsia="宋体" w:cs="Times New Roman"/>
          <w:spacing w:val="-6"/>
          <w:kern w:val="0"/>
          <w:szCs w:val="20"/>
        </w:rPr>
        <w:t>：公司与周边企业应对突发环境事件时属于互助关系，当接到其他单位需要公司协助时，经公司应急指挥部批准，公司应急外援小组参与其他单位应急处置。公司需要外部协助时，也可向四周单位求助，与周边企业突发环境事件应急预案联动。</w:t>
      </w:r>
    </w:p>
    <w:p>
      <w:pPr>
        <w:pStyle w:val="32"/>
        <w:ind w:firstLine="456"/>
        <w:rPr>
          <w:rFonts w:ascii="Times New Roman" w:eastAsia="宋体"/>
        </w:rPr>
      </w:pPr>
      <w:r>
        <w:rPr>
          <w:rFonts w:ascii="Times New Roman" w:eastAsia="宋体"/>
        </w:rPr>
        <w:t>（6）</w:t>
      </w:r>
      <w:r>
        <w:rPr>
          <w:rFonts w:ascii="Times New Roman" w:eastAsia="宋体"/>
          <w:u w:val="single"/>
        </w:rPr>
        <w:t>与上下级应急预案及指挥权的衔接</w:t>
      </w:r>
      <w:r>
        <w:rPr>
          <w:rFonts w:ascii="Times New Roman" w:eastAsia="宋体"/>
        </w:rPr>
        <w:t>：当公司突发环境应急事件，且超过公司处理能力范围或阿道需要外部协调指挥时，可利用赤壁市政府等应急组织体系，由相关上级部门启动相应的应急预案，指挥权移交上级部门，公司应急指挥部配合工作，公司应急预案作为上级应急预案的一个子部分，按上级预案规定的要求实施，服从指挥，处理环境应急事件。各单位之间建立相互协作、互助的关系，切实做好公司应急指挥部与消防大队、上级主管部门等个应急指挥部应急预案的对接、应急信息共享、应急平台互联互通、应急物资储备联动、应急处置联动等方面工作，确保本预案的执行性和可操作性。</w:t>
      </w:r>
    </w:p>
    <w:p>
      <w:pPr>
        <w:ind w:firstLine="480"/>
        <w:rPr>
          <w:rFonts w:ascii="Times New Roman" w:hAnsi="Times New Roman" w:eastAsia="宋体" w:cs="Times New Roman"/>
          <w:spacing w:val="-6"/>
          <w:kern w:val="0"/>
          <w:szCs w:val="20"/>
        </w:rPr>
      </w:pPr>
      <w:r>
        <w:rPr>
          <w:rFonts w:ascii="Times New Roman" w:hAnsi="Times New Roman" w:eastAsia="宋体" w:cs="Times New Roman"/>
        </w:rPr>
        <w:t>（7）</w:t>
      </w:r>
      <w:r>
        <w:rPr>
          <w:rFonts w:ascii="Times New Roman" w:hAnsi="Times New Roman" w:eastAsia="宋体" w:cs="Times New Roman"/>
          <w:u w:val="single"/>
        </w:rPr>
        <w:t>与生产安全事故综合应急救援预案的衔接：</w:t>
      </w:r>
      <w:r>
        <w:rPr>
          <w:rFonts w:ascii="Times New Roman" w:hAnsi="Times New Roman" w:eastAsia="宋体" w:cs="Times New Roman"/>
          <w:spacing w:val="-6"/>
          <w:kern w:val="0"/>
          <w:szCs w:val="20"/>
        </w:rPr>
        <w:t>若火灾事故引发其他生产安全事故，应启动公司安全生产事故应急救援预案进行处置，若事故变化、趋向严重时，</w:t>
      </w:r>
      <w:r>
        <w:rPr>
          <w:rFonts w:ascii="Times New Roman" w:hAnsi="Times New Roman" w:eastAsia="宋体" w:cs="Times New Roman"/>
        </w:rPr>
        <w:t>安全事故综合应急救援预案</w:t>
      </w:r>
      <w:r>
        <w:rPr>
          <w:rFonts w:ascii="Times New Roman" w:hAnsi="Times New Roman" w:eastAsia="宋体" w:cs="Times New Roman"/>
          <w:spacing w:val="-6"/>
          <w:kern w:val="0"/>
          <w:szCs w:val="20"/>
        </w:rPr>
        <w:t>不能消除事故的状态，公司应急总指挥应向赤壁市相关职能及管理部门报告。</w:t>
      </w:r>
    </w:p>
    <w:p>
      <w:pPr>
        <w:pStyle w:val="32"/>
        <w:ind w:firstLine="456"/>
        <w:jc w:val="center"/>
        <w:rPr>
          <w:rFonts w:ascii="Times New Roman"/>
        </w:rPr>
      </w:pPr>
      <w:r>
        <w:rPr>
          <w:rFonts w:ascii="Times New Roman" w:eastAsia="宋体"/>
        </w:rPr>
        <w:t>赤壁恒瑞非织造材料有限公司突发环境事件应急预案衔接关系如下图所示：</w:t>
      </w:r>
    </w:p>
    <w:p>
      <w:pPr>
        <w:pStyle w:val="32"/>
        <w:ind w:firstLine="480"/>
        <w:jc w:val="center"/>
        <w:rPr>
          <w:rFonts w:ascii="Times New Roman"/>
          <w:szCs w:val="24"/>
        </w:rPr>
      </w:pPr>
      <w:r>
        <w:drawing>
          <wp:inline distT="0" distB="0" distL="0" distR="0">
            <wp:extent cx="4539615" cy="49853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4539747" cy="4985534"/>
                    </a:xfrm>
                    <a:prstGeom prst="rect">
                      <a:avLst/>
                    </a:prstGeom>
                  </pic:spPr>
                </pic:pic>
              </a:graphicData>
            </a:graphic>
          </wp:inline>
        </w:drawing>
      </w:r>
      <w:r>
        <w:rPr>
          <w:rFonts w:ascii="Times New Roman"/>
          <w:szCs w:val="24"/>
        </w:rPr>
        <w:t xml:space="preserve"> </w:t>
      </w:r>
    </w:p>
    <w:p>
      <w:pPr>
        <w:pStyle w:val="21"/>
        <w:ind w:firstLine="422"/>
        <w:jc w:val="center"/>
        <w:rPr>
          <w:rFonts w:ascii="Times New Roman" w:hAnsi="Times New Roman" w:cs="Times New Roman"/>
          <w:b/>
          <w:bCs/>
          <w:sz w:val="21"/>
          <w:szCs w:val="21"/>
        </w:rPr>
      </w:pPr>
      <w:r>
        <w:rPr>
          <w:rFonts w:ascii="Times New Roman" w:hAnsi="Times New Roman" w:cs="Times New Roman"/>
          <w:b/>
          <w:bCs/>
          <w:sz w:val="21"/>
          <w:szCs w:val="21"/>
        </w:rPr>
        <w:t>图1.5-1  赤壁恒瑞非织造材料有限公司突发环境事件应急预案衔接关系图</w:t>
      </w:r>
    </w:p>
    <w:p>
      <w:pPr>
        <w:pStyle w:val="7"/>
        <w:spacing w:before="260" w:after="260"/>
        <w:rPr>
          <w:rFonts w:ascii="Times New Roman" w:hAnsi="Times New Roman" w:eastAsia="宋体" w:cs="Times New Roman"/>
          <w:sz w:val="30"/>
          <w:szCs w:val="30"/>
        </w:rPr>
      </w:pPr>
      <w:bookmarkStart w:id="91" w:name="_Toc132468744"/>
      <w:bookmarkStart w:id="92" w:name="_Toc510164019"/>
      <w:bookmarkStart w:id="93" w:name="_Toc523160138"/>
      <w:bookmarkStart w:id="94" w:name="_Toc23002"/>
      <w:bookmarkStart w:id="95" w:name="_Toc509234745"/>
      <w:bookmarkStart w:id="96" w:name="_Toc523160285"/>
      <w:bookmarkStart w:id="97" w:name="_Toc510164464"/>
      <w:bookmarkStart w:id="98" w:name="_Toc529542535"/>
      <w:bookmarkStart w:id="99" w:name="_Toc12919"/>
      <w:bookmarkStart w:id="100" w:name="_Toc510164301"/>
      <w:r>
        <w:rPr>
          <w:rFonts w:ascii="Times New Roman" w:hAnsi="Times New Roman" w:eastAsia="宋体" w:cs="Times New Roman"/>
          <w:sz w:val="30"/>
          <w:szCs w:val="30"/>
        </w:rPr>
        <w:t>1.6应急处置原则</w:t>
      </w:r>
      <w:bookmarkEnd w:id="91"/>
      <w:bookmarkEnd w:id="92"/>
      <w:bookmarkEnd w:id="93"/>
      <w:bookmarkEnd w:id="94"/>
      <w:bookmarkEnd w:id="95"/>
      <w:bookmarkEnd w:id="96"/>
      <w:bookmarkEnd w:id="97"/>
      <w:bookmarkEnd w:id="98"/>
      <w:bookmarkEnd w:id="99"/>
      <w:bookmarkEnd w:id="100"/>
    </w:p>
    <w:p>
      <w:pPr>
        <w:ind w:firstLine="480"/>
        <w:rPr>
          <w:rFonts w:ascii="Times New Roman" w:hAnsi="Times New Roman" w:eastAsia="宋体" w:cs="Times New Roman"/>
        </w:rPr>
      </w:pPr>
      <w:r>
        <w:rPr>
          <w:rFonts w:ascii="Times New Roman" w:hAnsi="Times New Roman" w:eastAsia="宋体" w:cs="Times New Roman"/>
        </w:rPr>
        <w:t>赤壁恒瑞非织造材料有限公司突发环境污染事故应急救援工作遵循“以人为本，预防为主；统一领导，协同合作；科学应对，高效处置”的原则。</w:t>
      </w:r>
    </w:p>
    <w:p>
      <w:pPr>
        <w:ind w:firstLine="480"/>
        <w:rPr>
          <w:rFonts w:ascii="Times New Roman" w:hAnsi="Times New Roman" w:eastAsia="宋体" w:cs="Times New Roman"/>
        </w:rPr>
      </w:pPr>
      <w:r>
        <w:rPr>
          <w:rFonts w:ascii="Times New Roman" w:hAnsi="Times New Roman" w:eastAsia="宋体" w:cs="Times New Roman"/>
        </w:rPr>
        <w:t>（1）以人为本，减少危害。切实履行公司各职能部室的管理、监督、协调、服务职能，把保障员工和公众的生命、健康作为首要任务，调用所需资源，采取必要措施，最大程度地减少环境污染事故及其造成的人员伤亡和危害。</w:t>
      </w:r>
    </w:p>
    <w:p>
      <w:pPr>
        <w:ind w:firstLine="480"/>
        <w:rPr>
          <w:rFonts w:ascii="Times New Roman" w:hAnsi="Times New Roman" w:eastAsia="宋体" w:cs="Times New Roman"/>
        </w:rPr>
      </w:pPr>
      <w:r>
        <w:rPr>
          <w:rFonts w:ascii="Times New Roman" w:hAnsi="Times New Roman" w:eastAsia="宋体" w:cs="Times New Roman"/>
        </w:rPr>
        <w:t>（2）居安思危，预防为主。高度重视环境保护，对重大环保隐患进行评估、治理，努力减少未遂事件的发生，</w:t>
      </w:r>
      <w:r>
        <w:rPr>
          <w:rFonts w:hint="eastAsia" w:ascii="Times New Roman" w:hAnsi="Times New Roman" w:eastAsia="宋体" w:cs="Times New Roman"/>
        </w:rPr>
        <w:t>常</w:t>
      </w:r>
      <w:r>
        <w:rPr>
          <w:rFonts w:ascii="Times New Roman" w:hAnsi="Times New Roman" w:eastAsia="宋体" w:cs="Times New Roman"/>
        </w:rPr>
        <w:t>抓不懈，防患于未然。增强忧患意识，坚持常态与非常态相结合，做好应对环保事故的各项准备工作。</w:t>
      </w:r>
    </w:p>
    <w:p>
      <w:pPr>
        <w:ind w:firstLine="480"/>
        <w:rPr>
          <w:rFonts w:ascii="Times New Roman" w:hAnsi="Times New Roman" w:eastAsia="宋体" w:cs="Times New Roman"/>
        </w:rPr>
      </w:pPr>
      <w:r>
        <w:rPr>
          <w:rFonts w:ascii="Times New Roman" w:hAnsi="Times New Roman" w:eastAsia="宋体" w:cs="Times New Roman"/>
        </w:rPr>
        <w:t>（3）统一领导，分级负责。在公司应急指挥部的统一领导下，建立健全应急体制，落实应急职责，实行应急分级管理制度，充分发挥各级应急组织的作用。</w:t>
      </w:r>
    </w:p>
    <w:p>
      <w:pPr>
        <w:ind w:firstLine="480"/>
        <w:rPr>
          <w:rFonts w:ascii="Times New Roman" w:hAnsi="Times New Roman" w:eastAsia="宋体" w:cs="Times New Roman"/>
        </w:rPr>
      </w:pPr>
      <w:r>
        <w:rPr>
          <w:rFonts w:ascii="Times New Roman" w:hAnsi="Times New Roman" w:eastAsia="宋体" w:cs="Times New Roman"/>
        </w:rPr>
        <w:t>（4）依法规范，加强管理。依据国家有关的法律法规和公司管理制度，在应急工作中，本着对国家、社会、员工和公众高度负责的态度，加强应急管理，使应急工作规范化、制度化、法制化。</w:t>
      </w:r>
    </w:p>
    <w:p>
      <w:pPr>
        <w:ind w:firstLine="480"/>
        <w:rPr>
          <w:rFonts w:ascii="Times New Roman" w:hAnsi="Times New Roman" w:eastAsia="宋体" w:cs="Times New Roman"/>
        </w:rPr>
      </w:pPr>
      <w:r>
        <w:rPr>
          <w:rFonts w:ascii="Times New Roman" w:hAnsi="Times New Roman" w:eastAsia="宋体" w:cs="Times New Roman"/>
        </w:rPr>
        <w:t>（5）整合资源，协同应对。建立和完善区域应急中心，整合企业现有应急资源，实行区域联防制度，充分利用社会应急资源，实现组织、资源、信息的有机整合，形成统一指挥、反应灵敏、功能齐全、协调有序、运转高效的应急管理机制。</w:t>
      </w:r>
    </w:p>
    <w:p>
      <w:pPr>
        <w:ind w:firstLine="480"/>
        <w:rPr>
          <w:rFonts w:ascii="Times New Roman" w:hAnsi="Times New Roman" w:eastAsia="宋体" w:cs="Times New Roman"/>
          <w:szCs w:val="24"/>
        </w:rPr>
      </w:pPr>
      <w:r>
        <w:rPr>
          <w:rFonts w:ascii="Times New Roman" w:hAnsi="Times New Roman" w:eastAsia="宋体" w:cs="Times New Roman"/>
          <w:szCs w:val="24"/>
        </w:rPr>
        <w:t>（6）利用先进的监视、监测、预警、预防和应急处置等技术及装备，充分发挥专家队伍和专业人员的作用，提高处置环境风险事故的科技含量和指挥水平，避免发生次生、衍生事故；加强宣传和培训教育工作，提高广大员工自救、互救和应对各类环保事故的综合素质。</w:t>
      </w:r>
    </w:p>
    <w:p>
      <w:pPr>
        <w:ind w:firstLine="480"/>
        <w:rPr>
          <w:rFonts w:ascii="Times New Roman" w:hAnsi="Times New Roman" w:eastAsia="宋体" w:cs="Times New Roman"/>
          <w:szCs w:val="24"/>
        </w:rPr>
      </w:pPr>
    </w:p>
    <w:p>
      <w:pPr>
        <w:ind w:firstLine="480"/>
        <w:rPr>
          <w:rFonts w:ascii="Times New Roman" w:hAnsi="Times New Roman" w:eastAsia="宋体" w:cs="Times New Roman"/>
          <w:szCs w:val="24"/>
        </w:rPr>
        <w:sectPr>
          <w:headerReference r:id="rId17" w:type="default"/>
          <w:footerReference r:id="rId18" w:type="default"/>
          <w:pgSz w:w="11906" w:h="16838"/>
          <w:pgMar w:top="1440" w:right="1080" w:bottom="1440" w:left="1080" w:header="794" w:footer="794" w:gutter="0"/>
          <w:pgNumType w:fmt="numberInDash"/>
          <w:cols w:space="425" w:num="1"/>
          <w:docGrid w:type="lines" w:linePitch="326" w:charSpace="0"/>
        </w:sectPr>
      </w:pPr>
    </w:p>
    <w:p>
      <w:pPr>
        <w:pStyle w:val="6"/>
        <w:spacing w:before="320" w:after="320"/>
        <w:rPr>
          <w:rFonts w:ascii="Times New Roman" w:hAnsi="Times New Roman" w:eastAsia="宋体" w:cs="Times New Roman"/>
          <w:sz w:val="32"/>
          <w:szCs w:val="32"/>
        </w:rPr>
      </w:pPr>
      <w:bookmarkStart w:id="101" w:name="_Toc510164302"/>
      <w:bookmarkStart w:id="102" w:name="_Toc509234746"/>
      <w:bookmarkStart w:id="103" w:name="_Toc510164465"/>
      <w:bookmarkStart w:id="104" w:name="_Toc510164020"/>
      <w:bookmarkStart w:id="105" w:name="_Toc132468745"/>
      <w:bookmarkStart w:id="106" w:name="_Toc782"/>
      <w:bookmarkStart w:id="107" w:name="_Toc3621"/>
      <w:bookmarkStart w:id="108" w:name="_Toc529542536"/>
      <w:bookmarkStart w:id="109" w:name="_Toc523160286"/>
      <w:bookmarkStart w:id="110" w:name="_Toc523160139"/>
      <w:r>
        <w:rPr>
          <w:rFonts w:ascii="Times New Roman" w:hAnsi="Times New Roman" w:eastAsia="宋体" w:cs="Times New Roman"/>
          <w:sz w:val="32"/>
          <w:szCs w:val="32"/>
        </w:rPr>
        <w:t>2公司基本情况</w:t>
      </w:r>
      <w:bookmarkEnd w:id="101"/>
      <w:bookmarkEnd w:id="102"/>
      <w:bookmarkEnd w:id="103"/>
      <w:bookmarkEnd w:id="104"/>
      <w:bookmarkEnd w:id="105"/>
      <w:bookmarkEnd w:id="106"/>
      <w:bookmarkEnd w:id="107"/>
      <w:bookmarkEnd w:id="108"/>
      <w:bookmarkEnd w:id="109"/>
      <w:bookmarkEnd w:id="110"/>
    </w:p>
    <w:p>
      <w:pPr>
        <w:pStyle w:val="7"/>
        <w:spacing w:before="260" w:after="260"/>
        <w:rPr>
          <w:rFonts w:ascii="Times New Roman" w:hAnsi="Times New Roman" w:eastAsia="宋体" w:cs="Times New Roman"/>
          <w:sz w:val="30"/>
          <w:szCs w:val="30"/>
        </w:rPr>
      </w:pPr>
      <w:bookmarkStart w:id="111" w:name="_Toc523160140"/>
      <w:bookmarkStart w:id="112" w:name="_Toc12237"/>
      <w:bookmarkStart w:id="113" w:name="_Toc510164466"/>
      <w:bookmarkStart w:id="114" w:name="_Toc510164021"/>
      <w:bookmarkStart w:id="115" w:name="_Toc132468746"/>
      <w:bookmarkStart w:id="116" w:name="_Toc529542537"/>
      <w:bookmarkStart w:id="117" w:name="_Toc510164303"/>
      <w:bookmarkStart w:id="118" w:name="_Toc11023"/>
      <w:bookmarkStart w:id="119" w:name="_Toc523160287"/>
      <w:bookmarkStart w:id="120" w:name="_Toc509234747"/>
      <w:r>
        <w:rPr>
          <w:rFonts w:ascii="Times New Roman" w:hAnsi="Times New Roman" w:eastAsia="宋体" w:cs="Times New Roman"/>
          <w:sz w:val="30"/>
          <w:szCs w:val="30"/>
        </w:rPr>
        <w:t>2.1企业基本信息</w:t>
      </w:r>
      <w:bookmarkEnd w:id="111"/>
      <w:bookmarkEnd w:id="112"/>
      <w:bookmarkEnd w:id="113"/>
      <w:bookmarkEnd w:id="114"/>
      <w:bookmarkEnd w:id="115"/>
      <w:bookmarkEnd w:id="116"/>
      <w:bookmarkEnd w:id="117"/>
      <w:bookmarkEnd w:id="118"/>
      <w:bookmarkEnd w:id="119"/>
      <w:bookmarkEnd w:id="120"/>
    </w:p>
    <w:p>
      <w:pPr>
        <w:ind w:firstLine="480"/>
        <w:rPr>
          <w:rFonts w:ascii="Times New Roman" w:hAnsi="Times New Roman" w:eastAsia="宋体" w:cs="Times New Roman"/>
          <w:szCs w:val="24"/>
          <w:highlight w:val="yellow"/>
        </w:rPr>
      </w:pPr>
      <w:r>
        <w:rPr>
          <w:rFonts w:hint="eastAsia" w:ascii="Times New Roman" w:hAnsi="Times New Roman" w:cs="Times New Roman"/>
        </w:rPr>
        <w:t>赤壁恒瑞非织造材料有限公司成立于2012 年，主要从事非织造材料、生活卫生用品的生产和销售，2012 年，公司投资7000 万元，在赤壁市车埠镇车埠村、毕家村建设年产7000 吨水刺无纺布项目（一期项目）。一期项目主要建设有一线、二线生产车间、原料仓库、成品库、办公楼、锅炉房、污水处理站等构筑物。该项目于2015 年12 月获得了赤壁市环境保护局的验收批复（赤环函[2015]69 号，见附件）。经过公司业务的发展壮大、完善，公司在紧邻一期东面新征30 亩地建设16000 吨水刺无纺布生产线建设项目（二期项目），投资12000 万建设三线、四线生产车间、预留车间、原辅材料库、成品库、车间水处理系统、锅炉房气等；与本项目相关办公设备、宿舍、食堂以及污水处理站等工程均依托一期工程，该项目于2017 年8 月委托河北德源环保科技有限公司编制完成了《赤壁恒瑞非织造材料有限公司16000 吨水刺无纺布生产线建设项目环境影响报告表》，2017 年8 月13 日取得赤壁市环境保护局《关于16000吨水刺无纺布生产线建设项目环境影响报告表的批复》（赤环函【2017】72 号，见附件）文件对该项目进行批复，并同意按设计要求建设。</w:t>
      </w:r>
      <w:r>
        <w:rPr>
          <w:rFonts w:ascii="Times New Roman" w:hAnsi="Times New Roman" w:cs="Times New Roman"/>
          <w:szCs w:val="24"/>
        </w:rPr>
        <w:t>该项目于</w:t>
      </w:r>
      <w:r>
        <w:rPr>
          <w:rFonts w:hint="eastAsia" w:ascii="Times New Roman" w:hAnsi="Times New Roman" w:cs="Times New Roman"/>
          <w:szCs w:val="24"/>
        </w:rPr>
        <w:t>2019年</w:t>
      </w:r>
      <w:r>
        <w:rPr>
          <w:rFonts w:ascii="Times New Roman" w:hAnsi="Times New Roman" w:cs="Times New Roman"/>
          <w:szCs w:val="24"/>
        </w:rPr>
        <w:t>通过了自主验收。</w:t>
      </w:r>
    </w:p>
    <w:p>
      <w:pPr>
        <w:pStyle w:val="7"/>
        <w:spacing w:before="260" w:after="260"/>
        <w:rPr>
          <w:rFonts w:ascii="Times New Roman" w:hAnsi="Times New Roman" w:eastAsia="宋体" w:cs="Times New Roman"/>
          <w:sz w:val="30"/>
          <w:szCs w:val="30"/>
        </w:rPr>
      </w:pPr>
      <w:bookmarkStart w:id="121" w:name="_Toc510164467"/>
      <w:bookmarkStart w:id="122" w:name="_Toc32173"/>
      <w:bookmarkStart w:id="123" w:name="_Toc509234748"/>
      <w:bookmarkStart w:id="124" w:name="_Toc529542538"/>
      <w:bookmarkStart w:id="125" w:name="_Toc510164022"/>
      <w:bookmarkStart w:id="126" w:name="_Toc132468747"/>
      <w:bookmarkStart w:id="127" w:name="_Toc523160288"/>
      <w:bookmarkStart w:id="128" w:name="_Toc47"/>
      <w:bookmarkStart w:id="129" w:name="_Toc523160141"/>
      <w:bookmarkStart w:id="130" w:name="_Toc510164304"/>
      <w:r>
        <w:rPr>
          <w:rFonts w:ascii="Times New Roman" w:hAnsi="Times New Roman" w:eastAsia="宋体" w:cs="Times New Roman"/>
          <w:sz w:val="30"/>
          <w:szCs w:val="30"/>
        </w:rPr>
        <w:t>2.2企业所处地理位置及自然环境</w:t>
      </w:r>
      <w:bookmarkEnd w:id="121"/>
      <w:bookmarkEnd w:id="122"/>
      <w:bookmarkEnd w:id="123"/>
      <w:bookmarkEnd w:id="124"/>
      <w:bookmarkEnd w:id="125"/>
      <w:bookmarkEnd w:id="126"/>
      <w:bookmarkEnd w:id="127"/>
      <w:bookmarkEnd w:id="128"/>
      <w:bookmarkEnd w:id="129"/>
      <w:bookmarkEnd w:id="130"/>
    </w:p>
    <w:p>
      <w:pPr>
        <w:pStyle w:val="8"/>
        <w:spacing w:before="180" w:after="180"/>
        <w:rPr>
          <w:rFonts w:eastAsia="宋体" w:cs="Times New Roman"/>
          <w:sz w:val="28"/>
          <w:szCs w:val="28"/>
        </w:rPr>
      </w:pPr>
      <w:bookmarkStart w:id="131" w:name="_Toc132468748"/>
      <w:bookmarkStart w:id="132" w:name="_Toc510164023"/>
      <w:bookmarkStart w:id="133" w:name="_Toc509234749"/>
      <w:bookmarkStart w:id="134" w:name="_Toc23594"/>
      <w:bookmarkStart w:id="135" w:name="_Toc529542539"/>
      <w:bookmarkStart w:id="136" w:name="_Toc7714"/>
      <w:bookmarkStart w:id="137" w:name="_Toc523160289"/>
      <w:r>
        <w:rPr>
          <w:rFonts w:eastAsia="宋体" w:cs="Times New Roman"/>
          <w:sz w:val="28"/>
          <w:szCs w:val="28"/>
        </w:rPr>
        <w:t>2.2.1区域地理位置</w:t>
      </w:r>
      <w:bookmarkEnd w:id="131"/>
      <w:bookmarkEnd w:id="132"/>
      <w:bookmarkEnd w:id="133"/>
      <w:bookmarkEnd w:id="134"/>
      <w:bookmarkEnd w:id="135"/>
      <w:bookmarkEnd w:id="136"/>
      <w:bookmarkEnd w:id="137"/>
    </w:p>
    <w:p>
      <w:pPr>
        <w:pStyle w:val="33"/>
        <w:adjustRightInd w:val="0"/>
        <w:snapToGrid w:val="0"/>
        <w:ind w:firstLine="480"/>
        <w:rPr>
          <w:rFonts w:ascii="Times New Roman" w:hAnsi="Times New Roman" w:cs="Times New Roman"/>
        </w:rPr>
      </w:pPr>
      <w:bookmarkStart w:id="138" w:name="_Toc19271"/>
      <w:r>
        <w:rPr>
          <w:rFonts w:ascii="Times New Roman" w:hAnsi="Times New Roman" w:cs="Times New Roman"/>
        </w:rPr>
        <w:t>赤壁市位于湖北东南部、武汉市南部、长江中下游南岸，地处东经113°32-114°13'，北纬 29°28'-29°59'之间。东连咸安、南临崇阳，西接湖南临湘，北临嘉鱼、洪湖。全市东西68.9km，南北宽25.98-60km，总面积1723km</w:t>
      </w:r>
      <w:r>
        <w:rPr>
          <w:rFonts w:ascii="Times New Roman" w:hAnsi="Times New Roman" w:cs="Times New Roman"/>
          <w:vertAlign w:val="superscript"/>
        </w:rPr>
        <w:t>2</w:t>
      </w:r>
      <w:r>
        <w:rPr>
          <w:rFonts w:ascii="Times New Roman" w:hAnsi="Times New Roman" w:cs="Times New Roman"/>
        </w:rPr>
        <w:t>。市区东北距武汉112km，南距湖南岳阳90km，总面积23km</w:t>
      </w:r>
      <w:r>
        <w:rPr>
          <w:rFonts w:ascii="Times New Roman" w:hAnsi="Times New Roman" w:cs="Times New Roman"/>
          <w:vertAlign w:val="superscript"/>
        </w:rPr>
        <w:t>2</w:t>
      </w:r>
      <w:r>
        <w:rPr>
          <w:rFonts w:ascii="Times New Roman" w:hAnsi="Times New Roman" w:cs="Times New Roman"/>
        </w:rPr>
        <w:t>。</w:t>
      </w:r>
    </w:p>
    <w:p>
      <w:pPr>
        <w:pStyle w:val="33"/>
        <w:adjustRightInd w:val="0"/>
        <w:snapToGrid w:val="0"/>
        <w:ind w:firstLine="480"/>
        <w:rPr>
          <w:rFonts w:ascii="Times New Roman" w:hAnsi="Times New Roman" w:cs="Times New Roman"/>
        </w:rPr>
      </w:pPr>
      <w:r>
        <w:rPr>
          <w:rFonts w:ascii="Times New Roman" w:hAnsi="Times New Roman" w:cs="Times New Roman"/>
        </w:rPr>
        <w:t>赤壁市为幕阜山脉余脉低丘陵与江汉平原的接触地带，地势由东南向西北逐渐倾斜。东南负群山，西北临长江，中间一条狭长通道，古时为驿道，是北上京津、南下湘粤的必经之路，素称湖北南大门。境内山地、丘陵、平原、湖泊依次排列，基本构成“六山二水二分田”。东南部为海拔 500m 左右的低山群，岳姑山脉的老鸦尖、风打尖、金紫山诸山自西向东、连绵逶迤，大小山共两百余座，最高为赵李桥镇柘坪村的观音尖，海拔852m，中部京广铁路沿线两侧为海拔 260m 左右的丘陵地带，西北部滨江湖地区为海拔50m 左右的冲积平原，最低处神山镇的西梁咀聂家，海拔只有19.3m。</w:t>
      </w:r>
    </w:p>
    <w:p>
      <w:pPr>
        <w:widowControl/>
        <w:ind w:firstLine="480"/>
        <w:jc w:val="left"/>
        <w:rPr>
          <w:rFonts w:ascii="Times New Roman" w:hAnsi="Times New Roman" w:eastAsia="宋体" w:cs="Times New Roman"/>
          <w:kern w:val="0"/>
          <w:szCs w:val="24"/>
          <w:lang w:bidi="ar"/>
        </w:rPr>
      </w:pPr>
      <w:r>
        <w:rPr>
          <w:rFonts w:ascii="Times New Roman" w:hAnsi="Times New Roman" w:cs="Times New Roman"/>
          <w:szCs w:val="24"/>
        </w:rPr>
        <w:t>本项目位于</w:t>
      </w:r>
      <w:r>
        <w:rPr>
          <w:rFonts w:ascii="Times New Roman" w:hAnsi="Times New Roman" w:cs="Times New Roman"/>
          <w:kern w:val="0"/>
          <w:szCs w:val="24"/>
        </w:rPr>
        <w:t>赤壁市车埠镇纺织工业园</w:t>
      </w:r>
      <w:r>
        <w:rPr>
          <w:rFonts w:ascii="Times New Roman" w:hAnsi="Times New Roman" w:cs="Times New Roman"/>
          <w:szCs w:val="24"/>
        </w:rPr>
        <w:t>。</w:t>
      </w:r>
      <w:r>
        <w:rPr>
          <w:rFonts w:ascii="Times New Roman" w:hAnsi="Times New Roman" w:eastAsia="宋体" w:cs="Times New Roman"/>
          <w:kern w:val="0"/>
          <w:szCs w:val="24"/>
          <w:lang w:bidi="ar"/>
        </w:rPr>
        <w:t>项目地理位置见附图1。</w:t>
      </w:r>
    </w:p>
    <w:p>
      <w:pPr>
        <w:pStyle w:val="8"/>
        <w:spacing w:before="180" w:after="180"/>
        <w:rPr>
          <w:rFonts w:eastAsia="宋体" w:cs="Times New Roman"/>
          <w:sz w:val="28"/>
          <w:szCs w:val="28"/>
        </w:rPr>
      </w:pPr>
      <w:bookmarkStart w:id="139" w:name="_Toc22848"/>
      <w:bookmarkStart w:id="140" w:name="_Toc132468749"/>
      <w:r>
        <w:rPr>
          <w:rFonts w:eastAsia="宋体" w:cs="Times New Roman"/>
          <w:sz w:val="28"/>
          <w:szCs w:val="28"/>
        </w:rPr>
        <w:t>2.2.2气候气象</w:t>
      </w:r>
      <w:bookmarkEnd w:id="138"/>
      <w:bookmarkEnd w:id="139"/>
      <w:bookmarkEnd w:id="140"/>
    </w:p>
    <w:p>
      <w:pPr>
        <w:pStyle w:val="2"/>
        <w:snapToGrid w:val="0"/>
        <w:spacing w:line="360" w:lineRule="auto"/>
        <w:ind w:firstLine="480" w:firstLineChars="200"/>
        <w:jc w:val="both"/>
        <w:rPr>
          <w:rFonts w:ascii="Times New Roman" w:hAnsi="Times New Roman" w:eastAsia="宋体" w:cs="Times New Roman"/>
          <w:color w:val="auto"/>
        </w:rPr>
      </w:pPr>
      <w:bookmarkStart w:id="141" w:name="_Toc20992"/>
      <w:r>
        <w:rPr>
          <w:rFonts w:ascii="Times New Roman" w:hAnsi="Times New Roman" w:eastAsia="宋体" w:cs="Times New Roman"/>
          <w:color w:val="auto"/>
        </w:rPr>
        <w:t>项目所在地赤壁市属亚热带季风气候区，一年四季分明，气候温和，湿度较大，日照充足，春夏雨热同季，秋冬阳光互补，严寒期短、无霜期长，年无霜期约330 天，年平均气温17.4℃，最高月平均气温29.4℃，极端最高气温41.5℃，最低平均气温4.6℃左右，极端最低气温-14.6℃；多年平均降水量为1600.6mm，六、七月多暴雨，降水多集中在夏季，占年降水量的30~50%，冬季雨量最少，占年降水量的10%左右。年最多风向为东北风，平均风速1.9m/s，最大风速为29.6m/s，最大风力为十级</w:t>
      </w:r>
      <w:r>
        <w:rPr>
          <w:rFonts w:ascii="Times New Roman" w:hAnsi="Times New Roman" w:eastAsia="宋体" w:cs="Times New Roman"/>
          <w:color w:val="auto"/>
          <w:spacing w:val="6"/>
        </w:rPr>
        <w:t>。</w:t>
      </w:r>
    </w:p>
    <w:p>
      <w:pPr>
        <w:pStyle w:val="8"/>
        <w:spacing w:before="180" w:after="180"/>
        <w:rPr>
          <w:rFonts w:eastAsia="宋体" w:cs="Times New Roman"/>
          <w:sz w:val="28"/>
          <w:szCs w:val="28"/>
        </w:rPr>
      </w:pPr>
      <w:bookmarkStart w:id="142" w:name="_Toc1437"/>
      <w:bookmarkStart w:id="143" w:name="_Toc132468750"/>
      <w:r>
        <w:rPr>
          <w:rFonts w:eastAsia="宋体" w:cs="Times New Roman"/>
          <w:sz w:val="28"/>
          <w:szCs w:val="28"/>
        </w:rPr>
        <w:t>2.2.3 水文水系</w:t>
      </w:r>
      <w:bookmarkEnd w:id="141"/>
      <w:bookmarkEnd w:id="142"/>
      <w:bookmarkEnd w:id="143"/>
    </w:p>
    <w:p>
      <w:pPr>
        <w:ind w:firstLine="480"/>
        <w:jc w:val="left"/>
        <w:rPr>
          <w:rFonts w:ascii="Times New Roman" w:hAnsi="Times New Roman" w:eastAsia="宋体" w:cs="Times New Roman"/>
        </w:rPr>
      </w:pPr>
      <w:bookmarkStart w:id="144" w:name="_Toc509234752"/>
      <w:bookmarkStart w:id="145" w:name="_Toc510164026"/>
      <w:r>
        <w:rPr>
          <w:rFonts w:ascii="Times New Roman" w:hAnsi="Times New Roman" w:cs="Times New Roman"/>
        </w:rPr>
        <w:t>赤壁市自南向北有蟠河、陆水、汀泗河纵贯全镜，与黄盖湖、柳山湖、西梁湖等大小湖泊相连，并注入长江，构成黄盖湖、陆水、西梁湖3大水系。长江过境江段:自黄盖湖白沙洲入境，西东流向，经太平口、九宫庵、黄家码头、垸子洲、赤壁山、流经咀湾、窑咀、余家墩、蔡家墩、月堤角至洪庙口汇陆水出境，全长12.54km，是本市上通川湘，下达汉沪的主要航道。</w:t>
      </w:r>
    </w:p>
    <w:p>
      <w:pPr>
        <w:ind w:firstLine="480"/>
        <w:jc w:val="left"/>
        <w:rPr>
          <w:rFonts w:ascii="Times New Roman" w:hAnsi="Times New Roman" w:cs="Times New Roman"/>
        </w:rPr>
      </w:pPr>
      <w:r>
        <w:rPr>
          <w:rFonts w:ascii="Times New Roman" w:hAnsi="Times New Roman" w:cs="Times New Roman"/>
        </w:rPr>
        <w:t>黄盖湖水系：由蟠河（亦名新店河）汇合柳林港、松峰港、伴旗河、益阳港诸水注入黄盖湖构成。全流域面积1553km</w:t>
      </w:r>
      <w:r>
        <w:rPr>
          <w:rFonts w:ascii="Times New Roman" w:hAnsi="Times New Roman" w:cs="Times New Roman"/>
          <w:vertAlign w:val="superscript"/>
        </w:rPr>
        <w:t>2</w:t>
      </w:r>
      <w:r>
        <w:rPr>
          <w:rFonts w:ascii="Times New Roman" w:hAnsi="Times New Roman" w:cs="Times New Roman"/>
        </w:rPr>
        <w:t>，市境内456km</w:t>
      </w:r>
      <w:r>
        <w:rPr>
          <w:rFonts w:ascii="Times New Roman" w:hAnsi="Times New Roman" w:cs="Times New Roman"/>
          <w:vertAlign w:val="superscript"/>
        </w:rPr>
        <w:t>2</w:t>
      </w:r>
      <w:r>
        <w:rPr>
          <w:rFonts w:ascii="Times New Roman" w:hAnsi="Times New Roman" w:cs="Times New Roman"/>
        </w:rPr>
        <w:t>。主流蟠河发源于十字坳，全长57.2km，流经赵李桥、新店、余家桥3个乡镇，注入黄盖湖，经鸭棚口、铁山咀，于太平口外洲入江。</w:t>
      </w:r>
    </w:p>
    <w:p>
      <w:pPr>
        <w:ind w:firstLine="480"/>
        <w:jc w:val="left"/>
        <w:rPr>
          <w:rFonts w:ascii="Times New Roman" w:hAnsi="Times New Roman" w:cs="Times New Roman"/>
        </w:rPr>
      </w:pPr>
      <w:r>
        <w:rPr>
          <w:rFonts w:ascii="Times New Roman" w:hAnsi="Times New Roman" w:cs="Times New Roman"/>
        </w:rPr>
        <w:t>陆水水系：由主流陆水纳白石港、赤马港、霞落港、白莼港、八蛇港、栗柴港、斗门港诸水注入长江而构成，为湖北省注入长江的第四大支流，全流域面积3950km</w:t>
      </w:r>
      <w:r>
        <w:rPr>
          <w:rFonts w:ascii="Times New Roman" w:hAnsi="Times New Roman" w:cs="Times New Roman"/>
          <w:vertAlign w:val="superscript"/>
        </w:rPr>
        <w:t>2</w:t>
      </w:r>
      <w:r>
        <w:rPr>
          <w:rFonts w:ascii="Times New Roman" w:hAnsi="Times New Roman" w:cs="Times New Roman"/>
        </w:rPr>
        <w:t>。主流陆水，以源于鄂、赣两省交界处幕阜山北麓的通城县黄龙山，全长183km，河面平均宽约100m，流经通城、崇阳、赤壁、嘉鱼4县，由洪庙注入长江。上游称隽水，自崇阳、赤壁交界处洪下起称陆水，又名蒲圻河，以三国东吴大将陆逊曾驻军于此而得名。在本市境内长84.5km，为长江中游较大支流之一。</w:t>
      </w:r>
    </w:p>
    <w:p>
      <w:pPr>
        <w:ind w:firstLine="480"/>
        <w:jc w:val="left"/>
        <w:rPr>
          <w:rFonts w:ascii="Times New Roman" w:hAnsi="Times New Roman" w:cs="Times New Roman"/>
        </w:rPr>
      </w:pPr>
      <w:r>
        <w:rPr>
          <w:rFonts w:ascii="Times New Roman" w:hAnsi="Times New Roman" w:cs="Times New Roman"/>
        </w:rPr>
        <w:t>陆水水库位于北纬29°30′-29°42'，东经113°52'-114°11'，处于陆水水系的中游，是赤壁市唯一的饮用水水源地，坝址在赤壁城关上游2.4km，兼具防洪、抗旱、养殖、排灌、航运旅游、发电功能。其主要设施是三峡实验坝--蒲圻水利枢纽，于1958年10月23日开工兴建，1988年3月29日通过竣工验收，枢纽控制流域面积2400km</w:t>
      </w:r>
      <w:r>
        <w:rPr>
          <w:rFonts w:ascii="Times New Roman" w:hAnsi="Times New Roman" w:cs="Times New Roman"/>
          <w:vertAlign w:val="superscript"/>
        </w:rPr>
        <w:t>2</w:t>
      </w:r>
      <w:r>
        <w:rPr>
          <w:rFonts w:ascii="Times New Roman" w:hAnsi="Times New Roman" w:cs="Times New Roman"/>
        </w:rPr>
        <w:t>，占陆水流域面积的82%，从坝前至库尾(崇阳)水域长度45km，在水位51.80km的情况下，库面面积为54km，平均宽度1150m，最大宽度3200m，总库容70100x104m</w:t>
      </w:r>
      <w:r>
        <w:rPr>
          <w:rFonts w:ascii="Times New Roman" w:hAnsi="Times New Roman" w:cs="Times New Roman"/>
          <w:vertAlign w:val="superscript"/>
        </w:rPr>
        <w:t>3</w:t>
      </w:r>
      <w:r>
        <w:rPr>
          <w:rFonts w:ascii="Times New Roman" w:hAnsi="Times New Roman" w:cs="Times New Roman"/>
        </w:rPr>
        <w:t>，多年平均径流量291000x104m</w:t>
      </w:r>
      <w:r>
        <w:rPr>
          <w:rFonts w:ascii="Times New Roman" w:hAnsi="Times New Roman" w:cs="Times New Roman"/>
          <w:vertAlign w:val="superscript"/>
        </w:rPr>
        <w:t>3</w:t>
      </w:r>
      <w:r>
        <w:rPr>
          <w:rFonts w:ascii="Times New Roman" w:hAnsi="Times New Roman" w:cs="Times New Roman"/>
        </w:rPr>
        <w:t>，电站装机容量37500kw。陆水水库属丘陵型人工湖，以芳世湾为界，以上为河床型，以下为湖波型，两岸山岔交错，库边蜿蜒曲折，周长300km,库形系数达45；平均水深10.6m。</w:t>
      </w:r>
    </w:p>
    <w:p>
      <w:pPr>
        <w:ind w:firstLine="480"/>
        <w:jc w:val="left"/>
        <w:rPr>
          <w:rFonts w:ascii="Times New Roman" w:hAnsi="Times New Roman" w:cs="Times New Roman"/>
        </w:rPr>
      </w:pPr>
      <w:r>
        <w:rPr>
          <w:rFonts w:ascii="Times New Roman" w:hAnsi="Times New Roman" w:cs="Times New Roman"/>
        </w:rPr>
        <w:t>赤壁市雨量充足，湖泊较多，河港纵横，自流泉广布，水资湖比较丰富。赤马港位于中伙现代生态产业园南侧，是该区域的主要排水通道，由东向西最终排入陆水河，平均宽度为10m，平均水深1m，平均流量为1.5m/s；南渠位于陆水循环产业园南侧，是一条小型的抗旱沟渠，起源于五洪山，自西向东穿过循环产业园后汇入陆水河；望山河位于蒲圻绿色产业园北侧，自南向北最终汇入陆水河。</w:t>
      </w:r>
    </w:p>
    <w:p>
      <w:pPr>
        <w:ind w:firstLine="480"/>
        <w:jc w:val="left"/>
        <w:rPr>
          <w:rFonts w:ascii="Times New Roman" w:hAnsi="Times New Roman" w:eastAsia="宋体" w:cs="Times New Roman"/>
        </w:rPr>
      </w:pPr>
      <w:r>
        <w:rPr>
          <w:rFonts w:ascii="Times New Roman" w:hAnsi="Times New Roman" w:cs="Times New Roman"/>
        </w:rPr>
        <w:t>历年平均降雨量为1604mm，其中山区1608.9mm，丘岗地区1526.2mm，平原湖1295.2mm，雨量由西北向东南递增。丰水年径流量16.1亿m</w:t>
      </w:r>
      <w:r>
        <w:rPr>
          <w:rFonts w:ascii="Times New Roman" w:hAnsi="Times New Roman" w:cs="Times New Roman"/>
          <w:vertAlign w:val="superscript"/>
        </w:rPr>
        <w:t>3</w:t>
      </w:r>
      <w:r>
        <w:rPr>
          <w:rFonts w:ascii="Times New Roman" w:hAnsi="Times New Roman" w:cs="Times New Roman"/>
        </w:rPr>
        <w:t>，平水年12.62亿m</w:t>
      </w:r>
      <w:r>
        <w:rPr>
          <w:rFonts w:ascii="Times New Roman" w:hAnsi="Times New Roman" w:cs="Times New Roman"/>
          <w:vertAlign w:val="superscript"/>
        </w:rPr>
        <w:t>3</w:t>
      </w:r>
      <w:r>
        <w:rPr>
          <w:rFonts w:ascii="Times New Roman" w:hAnsi="Times New Roman" w:cs="Times New Roman"/>
        </w:rPr>
        <w:t>，枯水年8.97亿m。特枯水年5.14亿m。多年平均径流量13.34亿m</w:t>
      </w:r>
      <w:r>
        <w:rPr>
          <w:rFonts w:ascii="Times New Roman" w:hAnsi="Times New Roman" w:cs="Times New Roman"/>
          <w:vertAlign w:val="superscript"/>
        </w:rPr>
        <w:t>3</w:t>
      </w:r>
      <w:r>
        <w:rPr>
          <w:rFonts w:ascii="Times New Roman" w:hAnsi="Times New Roman" w:cs="Times New Roman"/>
        </w:rPr>
        <w:t>，其中山区1.28亿m，岗丘地区8.48亿m，平原滨湖3.58亿m。本市有4大客水过境，长江过境年平均径流量6400亿m</w:t>
      </w:r>
      <w:r>
        <w:rPr>
          <w:rFonts w:ascii="Times New Roman" w:hAnsi="Times New Roman" w:cs="Times New Roman"/>
          <w:vertAlign w:val="superscript"/>
        </w:rPr>
        <w:t>3</w:t>
      </w:r>
      <w:r>
        <w:rPr>
          <w:rFonts w:ascii="Times New Roman" w:hAnsi="Times New Roman" w:cs="Times New Roman"/>
        </w:rPr>
        <w:t>，黄盖湖水系境外径流量5.4亿m</w:t>
      </w:r>
      <w:r>
        <w:rPr>
          <w:rFonts w:ascii="Times New Roman" w:hAnsi="Times New Roman" w:cs="Times New Roman"/>
          <w:vertAlign w:val="superscript"/>
        </w:rPr>
        <w:t>3</w:t>
      </w:r>
      <w:r>
        <w:rPr>
          <w:rFonts w:ascii="Times New Roman" w:hAnsi="Times New Roman" w:cs="Times New Roman"/>
        </w:rPr>
        <w:t>，陆水水系境外径流量为25.3亿m，西梁湖水系境外流量2.67亿m</w:t>
      </w:r>
      <w:r>
        <w:rPr>
          <w:rFonts w:ascii="Times New Roman" w:hAnsi="Times New Roman" w:cs="Times New Roman"/>
          <w:vertAlign w:val="superscript"/>
        </w:rPr>
        <w:t>3</w:t>
      </w:r>
      <w:r>
        <w:rPr>
          <w:rFonts w:ascii="Times New Roman" w:hAnsi="Times New Roman" w:cs="Times New Roman"/>
        </w:rPr>
        <w:t>，合计为6433.37亿m</w:t>
      </w:r>
      <w:r>
        <w:rPr>
          <w:rFonts w:ascii="Times New Roman" w:hAnsi="Times New Roman" w:cs="Times New Roman"/>
          <w:vertAlign w:val="superscript"/>
        </w:rPr>
        <w:t>3</w:t>
      </w:r>
      <w:r>
        <w:rPr>
          <w:rFonts w:ascii="Times New Roman" w:hAnsi="Times New Roman" w:cs="Times New Roman"/>
        </w:rPr>
        <w:t>。</w:t>
      </w:r>
    </w:p>
    <w:p>
      <w:pPr>
        <w:pStyle w:val="8"/>
        <w:spacing w:before="180" w:after="180"/>
        <w:rPr>
          <w:rFonts w:eastAsia="宋体" w:cs="Times New Roman"/>
          <w:sz w:val="28"/>
          <w:szCs w:val="28"/>
        </w:rPr>
      </w:pPr>
      <w:bookmarkStart w:id="146" w:name="_Toc132468751"/>
      <w:bookmarkStart w:id="147" w:name="_Toc20889"/>
      <w:bookmarkStart w:id="148" w:name="_Toc9805"/>
      <w:r>
        <w:rPr>
          <w:rFonts w:eastAsia="宋体" w:cs="Times New Roman"/>
          <w:sz w:val="28"/>
          <w:szCs w:val="28"/>
        </w:rPr>
        <w:t>2.2.4 地形、地貌、地质</w:t>
      </w:r>
      <w:bookmarkEnd w:id="144"/>
      <w:bookmarkEnd w:id="145"/>
      <w:bookmarkEnd w:id="146"/>
      <w:bookmarkEnd w:id="147"/>
      <w:bookmarkEnd w:id="148"/>
    </w:p>
    <w:p>
      <w:pPr>
        <w:ind w:firstLine="480"/>
        <w:rPr>
          <w:rFonts w:ascii="Times New Roman" w:hAnsi="Times New Roman" w:cs="Times New Roman"/>
        </w:rPr>
      </w:pPr>
      <w:bookmarkStart w:id="149" w:name="_Toc1686"/>
      <w:bookmarkStart w:id="150" w:name="_Toc509234753"/>
      <w:bookmarkStart w:id="151" w:name="_Toc510164027"/>
      <w:bookmarkStart w:id="152" w:name="_Toc30508"/>
      <w:r>
        <w:rPr>
          <w:rFonts w:ascii="Times New Roman" w:hAnsi="Times New Roman" w:cs="Times New Roman"/>
        </w:rPr>
        <w:t>赤壁市为幕阜山脉与江汉平原接壤的丘陵地带，南负幕阜山，北临长江。地形自西南至东南一带偏高，西北到东北一带略低，形成自南向北倾斜，山地、丘陵、岗阜、平原、湖泊依次排列，构成六山两水两分田。南部为海拔500m左右的低山群，药姑山脉的老鸦尖、风打尖、金紫山诸峰自西向东，连绵逶迤，与湖南省临湘县、本省崇阳、咸安两县区形成天然分界线。境内大小山丘共有百余座，最高为赵李桥境内的柘坪观音尖，海拔852m。中部京广铁路沿线为海拔200m左右的岗地地带。北部滨江湖地区为50m左右的冲积平原，最低处是西良湖乡聂家泉，海拔只有19.3m。全县大致可分为三大区域:西南起观音尖，东抵大竹山，长约62km，宽约1~3km为丘陵地带。西起余家桥境内的中坝山，东至汀泗桥，东北抵西梁湖畔的御屏山，海拔高 50~250m，个别在 20m以下，系岗地平原地带，占全县版土面积的一半以上。平原主要分布在赤壁、黄盖湖一带，面积约118km。赤壁市构造溶蚀地貌比较典型，由历次地质运动和长期地质淋溶，在岗地平原地带，各类型地貌交叉出现，高低悬殊，构成各种坡、岭、滩、冲、垄、畈等微域地形。志留纪页岩构成的剥蚀地貌在全市各地交叉出现。而在陆水、蟠河、汀泗河等河流两岸及长江南岸又多形成侵蚀堆积地貌。</w:t>
      </w:r>
    </w:p>
    <w:p>
      <w:pPr>
        <w:pStyle w:val="8"/>
        <w:spacing w:before="180" w:after="180"/>
        <w:rPr>
          <w:rFonts w:eastAsia="宋体" w:cs="Times New Roman"/>
          <w:sz w:val="28"/>
          <w:szCs w:val="28"/>
        </w:rPr>
      </w:pPr>
      <w:bookmarkStart w:id="153" w:name="_Toc132468752"/>
      <w:r>
        <w:rPr>
          <w:rFonts w:eastAsia="宋体" w:cs="Times New Roman"/>
          <w:sz w:val="28"/>
          <w:szCs w:val="28"/>
        </w:rPr>
        <w:t>2.2.5 地震烈感</w:t>
      </w:r>
      <w:bookmarkEnd w:id="149"/>
      <w:bookmarkEnd w:id="150"/>
      <w:bookmarkEnd w:id="151"/>
      <w:bookmarkEnd w:id="152"/>
      <w:bookmarkEnd w:id="153"/>
    </w:p>
    <w:p>
      <w:pPr>
        <w:pStyle w:val="2"/>
        <w:snapToGrid w:val="0"/>
        <w:spacing w:line="360" w:lineRule="auto"/>
        <w:ind w:firstLine="480" w:firstLineChars="200"/>
        <w:jc w:val="both"/>
        <w:rPr>
          <w:rFonts w:ascii="Times New Roman" w:hAnsi="Times New Roman" w:eastAsia="宋体" w:cs="Times New Roman"/>
          <w:color w:val="auto"/>
        </w:rPr>
      </w:pPr>
      <w:bookmarkStart w:id="154" w:name="_Toc14400"/>
      <w:bookmarkStart w:id="155" w:name="_Toc17832"/>
      <w:r>
        <w:rPr>
          <w:rFonts w:ascii="Times New Roman" w:hAnsi="Times New Roman" w:eastAsia="宋体" w:cs="Times New Roman"/>
          <w:color w:val="auto"/>
        </w:rPr>
        <w:t>根据国家地震局资料，境内的地震基本烈度为6度。</w:t>
      </w:r>
    </w:p>
    <w:p>
      <w:pPr>
        <w:pStyle w:val="8"/>
        <w:spacing w:before="180" w:after="180"/>
        <w:rPr>
          <w:rFonts w:eastAsia="宋体" w:cs="Times New Roman"/>
          <w:sz w:val="28"/>
          <w:szCs w:val="28"/>
        </w:rPr>
      </w:pPr>
      <w:bookmarkStart w:id="156" w:name="_Toc132468753"/>
      <w:r>
        <w:rPr>
          <w:rFonts w:eastAsia="宋体" w:cs="Times New Roman"/>
          <w:sz w:val="28"/>
          <w:szCs w:val="28"/>
        </w:rPr>
        <w:t>2.2.6 历史上曾经发生过的极端天气情况和自然灾害情况</w:t>
      </w:r>
      <w:bookmarkEnd w:id="154"/>
      <w:bookmarkEnd w:id="155"/>
      <w:bookmarkEnd w:id="156"/>
    </w:p>
    <w:p>
      <w:pPr>
        <w:pStyle w:val="2"/>
        <w:adjustRightIn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根据湖北省气象局官网上公布的信息，2017年湖北省气温总体偏高，月际间冷暖变幅较大，降水大部偏多，时空分布不均，先后出现了暖冬、春夏强对流、盛夏高温、秋季持续阴雨等主要天气气候事件。</w:t>
      </w:r>
    </w:p>
    <w:p>
      <w:pPr>
        <w:pStyle w:val="2"/>
        <w:adjustRightInd/>
        <w:spacing w:line="360" w:lineRule="auto"/>
        <w:ind w:firstLine="480" w:firstLineChars="200"/>
        <w:jc w:val="both"/>
        <w:rPr>
          <w:rFonts w:ascii="Times New Roman" w:hAnsi="Times New Roman" w:eastAsia="宋体" w:cs="Times New Roman"/>
          <w:color w:val="auto"/>
        </w:rPr>
      </w:pPr>
      <w:r>
        <w:rPr>
          <w:rFonts w:ascii="宋体" w:hAnsi="宋体" w:eastAsia="宋体" w:cs="Times New Roman"/>
          <w:color w:val="auto"/>
        </w:rPr>
        <w:fldChar w:fldCharType="begin"/>
      </w:r>
      <w:r>
        <w:rPr>
          <w:rFonts w:ascii="宋体" w:hAnsi="宋体" w:eastAsia="宋体" w:cs="Times New Roman"/>
          <w:color w:val="auto"/>
        </w:rPr>
        <w:instrText xml:space="preserve"> = 1 \* GB3 </w:instrText>
      </w:r>
      <w:r>
        <w:rPr>
          <w:rFonts w:ascii="宋体" w:hAnsi="宋体" w:eastAsia="宋体" w:cs="Times New Roman"/>
          <w:color w:val="auto"/>
        </w:rPr>
        <w:fldChar w:fldCharType="separate"/>
      </w:r>
      <w:r>
        <w:rPr>
          <w:rFonts w:ascii="宋体" w:hAnsi="宋体" w:eastAsia="宋体" w:cs="Times New Roman"/>
          <w:color w:val="auto"/>
        </w:rPr>
        <w:t>①</w:t>
      </w:r>
      <w:r>
        <w:rPr>
          <w:rFonts w:ascii="宋体" w:hAnsi="宋体" w:eastAsia="宋体" w:cs="Times New Roman"/>
          <w:color w:val="auto"/>
        </w:rPr>
        <w:fldChar w:fldCharType="end"/>
      </w:r>
      <w:r>
        <w:rPr>
          <w:rFonts w:ascii="Times New Roman" w:hAnsi="Times New Roman" w:eastAsia="宋体" w:cs="Times New Roman"/>
          <w:color w:val="auto"/>
        </w:rPr>
        <w:t>冬季气温显著偏高，为强暖冬年</w:t>
      </w:r>
    </w:p>
    <w:p>
      <w:pPr>
        <w:pStyle w:val="2"/>
        <w:adjustRightIn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2016/2017年冬季，全省平均气温为7.1℃，比常年同期偏高1.8℃，排历史同期第二高位。</w:t>
      </w:r>
    </w:p>
    <w:p>
      <w:pPr>
        <w:pStyle w:val="2"/>
        <w:adjustRightInd/>
        <w:spacing w:line="360" w:lineRule="auto"/>
        <w:ind w:firstLine="480" w:firstLineChars="200"/>
        <w:jc w:val="both"/>
        <w:rPr>
          <w:rFonts w:ascii="Times New Roman" w:hAnsi="Times New Roman" w:eastAsia="宋体" w:cs="Times New Roman"/>
          <w:color w:val="auto"/>
        </w:rPr>
      </w:pPr>
      <w:r>
        <w:rPr>
          <w:rFonts w:ascii="宋体" w:hAnsi="宋体" w:eastAsia="宋体" w:cs="Times New Roman"/>
          <w:color w:val="auto"/>
        </w:rPr>
        <w:fldChar w:fldCharType="begin"/>
      </w:r>
      <w:r>
        <w:rPr>
          <w:rFonts w:ascii="宋体" w:hAnsi="宋体" w:eastAsia="宋体" w:cs="Times New Roman"/>
          <w:color w:val="auto"/>
        </w:rPr>
        <w:instrText xml:space="preserve"> = 2 \* GB3 </w:instrText>
      </w:r>
      <w:r>
        <w:rPr>
          <w:rFonts w:ascii="宋体" w:hAnsi="宋体" w:eastAsia="宋体" w:cs="Times New Roman"/>
          <w:color w:val="auto"/>
        </w:rPr>
        <w:fldChar w:fldCharType="separate"/>
      </w:r>
      <w:r>
        <w:rPr>
          <w:rFonts w:ascii="宋体" w:hAnsi="宋体" w:eastAsia="宋体" w:cs="Times New Roman"/>
          <w:color w:val="auto"/>
        </w:rPr>
        <w:t>②</w:t>
      </w:r>
      <w:r>
        <w:rPr>
          <w:rFonts w:ascii="宋体" w:hAnsi="宋体" w:eastAsia="宋体" w:cs="Times New Roman"/>
          <w:color w:val="auto"/>
        </w:rPr>
        <w:fldChar w:fldCharType="end"/>
      </w:r>
      <w:r>
        <w:rPr>
          <w:rFonts w:ascii="Times New Roman" w:hAnsi="Times New Roman" w:eastAsia="宋体" w:cs="Times New Roman"/>
          <w:color w:val="auto"/>
        </w:rPr>
        <w:t>春夏强对流多发</w:t>
      </w:r>
    </w:p>
    <w:p>
      <w:pPr>
        <w:pStyle w:val="2"/>
        <w:adjustRightIn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2017年春夏共出现12次强对流天气，其中夏季出现8次，由于局地降水强，并伴有瞬时大风和冰雹，共造成100多万人受灾。</w:t>
      </w:r>
    </w:p>
    <w:p>
      <w:pPr>
        <w:pStyle w:val="2"/>
        <w:adjustRightInd/>
        <w:spacing w:line="360" w:lineRule="auto"/>
        <w:ind w:firstLine="480" w:firstLineChars="200"/>
        <w:jc w:val="both"/>
        <w:rPr>
          <w:rFonts w:ascii="Times New Roman" w:hAnsi="Times New Roman" w:eastAsia="宋体" w:cs="Times New Roman"/>
          <w:color w:val="auto"/>
        </w:rPr>
      </w:pPr>
      <w:r>
        <w:rPr>
          <w:rFonts w:ascii="宋体" w:hAnsi="宋体" w:eastAsia="宋体" w:cs="Times New Roman"/>
          <w:color w:val="auto"/>
        </w:rPr>
        <w:fldChar w:fldCharType="begin"/>
      </w:r>
      <w:r>
        <w:rPr>
          <w:rFonts w:ascii="宋体" w:hAnsi="宋体" w:eastAsia="宋体" w:cs="Times New Roman"/>
          <w:color w:val="auto"/>
        </w:rPr>
        <w:instrText xml:space="preserve"> = 3 \* GB3 </w:instrText>
      </w:r>
      <w:r>
        <w:rPr>
          <w:rFonts w:ascii="宋体" w:hAnsi="宋体" w:eastAsia="宋体" w:cs="Times New Roman"/>
          <w:color w:val="auto"/>
        </w:rPr>
        <w:fldChar w:fldCharType="separate"/>
      </w:r>
      <w:r>
        <w:rPr>
          <w:rFonts w:ascii="宋体" w:hAnsi="宋体" w:eastAsia="宋体" w:cs="Times New Roman"/>
          <w:color w:val="auto"/>
        </w:rPr>
        <w:t>③</w:t>
      </w:r>
      <w:r>
        <w:rPr>
          <w:rFonts w:ascii="宋体" w:hAnsi="宋体" w:eastAsia="宋体" w:cs="Times New Roman"/>
          <w:color w:val="auto"/>
        </w:rPr>
        <w:fldChar w:fldCharType="end"/>
      </w:r>
      <w:r>
        <w:rPr>
          <w:rFonts w:ascii="Times New Roman" w:hAnsi="Times New Roman" w:eastAsia="宋体" w:cs="Times New Roman"/>
          <w:color w:val="auto"/>
        </w:rPr>
        <w:t>盛夏高温强，武汉等地气温打破历史记录</w:t>
      </w:r>
    </w:p>
    <w:p>
      <w:pPr>
        <w:pStyle w:val="2"/>
        <w:adjustRightIn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7月10日出梅以后，我省出现2段高温天气（7月10～30日、8月3～7日），其中以7月10～30日高温过程影响范围最大，持续时间最长。强高温天气使湖北用电负荷已8次创历史新高、电量4次创历史新高，高温中暑患者比2016年同期大幅增加，鄂西北东部、江汉平原东部和鄂东北局部出现中等程度以上气象干旱。</w:t>
      </w:r>
    </w:p>
    <w:p>
      <w:pPr>
        <w:pStyle w:val="2"/>
        <w:adjustRightInd/>
        <w:spacing w:line="360" w:lineRule="auto"/>
        <w:ind w:firstLine="480" w:firstLineChars="200"/>
        <w:jc w:val="both"/>
        <w:rPr>
          <w:rFonts w:ascii="Times New Roman" w:hAnsi="Times New Roman" w:eastAsia="宋体" w:cs="Times New Roman"/>
          <w:color w:val="auto"/>
        </w:rPr>
      </w:pPr>
      <w:r>
        <w:rPr>
          <w:rFonts w:ascii="宋体" w:hAnsi="宋体" w:eastAsia="宋体" w:cs="Times New Roman"/>
          <w:color w:val="auto"/>
        </w:rPr>
        <w:fldChar w:fldCharType="begin"/>
      </w:r>
      <w:r>
        <w:rPr>
          <w:rFonts w:ascii="宋体" w:hAnsi="宋体" w:eastAsia="宋体" w:cs="Times New Roman"/>
          <w:color w:val="auto"/>
        </w:rPr>
        <w:instrText xml:space="preserve"> = 4 \* GB3 </w:instrText>
      </w:r>
      <w:r>
        <w:rPr>
          <w:rFonts w:ascii="宋体" w:hAnsi="宋体" w:eastAsia="宋体" w:cs="Times New Roman"/>
          <w:color w:val="auto"/>
        </w:rPr>
        <w:fldChar w:fldCharType="separate"/>
      </w:r>
      <w:r>
        <w:rPr>
          <w:rFonts w:ascii="宋体" w:hAnsi="宋体" w:eastAsia="宋体" w:cs="Times New Roman"/>
          <w:color w:val="auto"/>
        </w:rPr>
        <w:t>④</w:t>
      </w:r>
      <w:r>
        <w:rPr>
          <w:rFonts w:ascii="宋体" w:hAnsi="宋体" w:eastAsia="宋体" w:cs="Times New Roman"/>
          <w:color w:val="auto"/>
        </w:rPr>
        <w:fldChar w:fldCharType="end"/>
      </w:r>
      <w:r>
        <w:rPr>
          <w:rFonts w:ascii="宋体" w:hAnsi="宋体" w:eastAsia="宋体" w:cs="Times New Roman"/>
          <w:color w:val="auto"/>
        </w:rPr>
        <w:t>秋</w:t>
      </w:r>
      <w:r>
        <w:rPr>
          <w:rFonts w:ascii="Times New Roman" w:hAnsi="Times New Roman" w:eastAsia="宋体" w:cs="Times New Roman"/>
          <w:color w:val="auto"/>
        </w:rPr>
        <w:t>季出现罕见持续降水过程，汉江流域、三峡区间出现明显秋汛</w:t>
      </w:r>
    </w:p>
    <w:p>
      <w:pPr>
        <w:pStyle w:val="2"/>
        <w:adjustRightIn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8月25日以来，汉江流域、长江上游东部和湖北大部频繁出现持续降水过程。8月25～10月18日湖北省累计雨量、雨日分别排1961年以来同期第2位（仅次于1983年）和第1位，期间在9月1日、9月10日、9月18～19日、10月2～4日出现4场暴雨过程。受其影响，汉江、三峡区间出现明显秋汛，丹江口水库水位突破历史最高洪水位，汉江中下游干流主要站水位超警戒水位，三峡入库流量创下25年来历史同期新高。</w:t>
      </w:r>
    </w:p>
    <w:p>
      <w:pPr>
        <w:pStyle w:val="7"/>
        <w:spacing w:before="260" w:after="260"/>
        <w:rPr>
          <w:rFonts w:ascii="Times New Roman" w:hAnsi="Times New Roman" w:eastAsia="宋体" w:cs="Times New Roman"/>
          <w:sz w:val="30"/>
          <w:szCs w:val="30"/>
        </w:rPr>
      </w:pPr>
      <w:bookmarkStart w:id="157" w:name="_Toc510164468"/>
      <w:bookmarkStart w:id="158" w:name="_Toc509234755"/>
      <w:bookmarkStart w:id="159" w:name="_Toc510164305"/>
      <w:bookmarkStart w:id="160" w:name="_Toc510164029"/>
      <w:bookmarkStart w:id="161" w:name="_Toc132468754"/>
      <w:bookmarkStart w:id="162" w:name="_Toc7954"/>
      <w:bookmarkStart w:id="163" w:name="_Toc523160296"/>
      <w:bookmarkStart w:id="164" w:name="_Toc529542546"/>
      <w:bookmarkStart w:id="165" w:name="_Toc22426"/>
      <w:bookmarkStart w:id="166" w:name="_Toc523160142"/>
      <w:r>
        <w:rPr>
          <w:rFonts w:ascii="Times New Roman" w:hAnsi="Times New Roman" w:eastAsia="宋体" w:cs="Times New Roman"/>
          <w:sz w:val="30"/>
          <w:szCs w:val="30"/>
        </w:rPr>
        <w:t>2.3厂区建设内容及</w:t>
      </w:r>
      <w:bookmarkEnd w:id="157"/>
      <w:bookmarkEnd w:id="158"/>
      <w:bookmarkEnd w:id="159"/>
      <w:bookmarkEnd w:id="160"/>
      <w:r>
        <w:rPr>
          <w:rFonts w:ascii="Times New Roman" w:hAnsi="Times New Roman" w:eastAsia="宋体" w:cs="Times New Roman"/>
          <w:sz w:val="30"/>
          <w:szCs w:val="30"/>
        </w:rPr>
        <w:t>工艺流程</w:t>
      </w:r>
      <w:bookmarkEnd w:id="161"/>
      <w:bookmarkEnd w:id="162"/>
      <w:bookmarkEnd w:id="163"/>
      <w:bookmarkEnd w:id="164"/>
      <w:bookmarkEnd w:id="165"/>
      <w:bookmarkEnd w:id="166"/>
    </w:p>
    <w:p>
      <w:pPr>
        <w:pStyle w:val="8"/>
        <w:spacing w:before="180" w:after="180"/>
        <w:rPr>
          <w:rFonts w:eastAsia="宋体" w:cs="Times New Roman"/>
          <w:sz w:val="28"/>
          <w:szCs w:val="28"/>
        </w:rPr>
      </w:pPr>
      <w:bookmarkStart w:id="167" w:name="_Toc28186"/>
      <w:bookmarkStart w:id="168" w:name="_Toc10113"/>
      <w:bookmarkStart w:id="169" w:name="_Toc523160297"/>
      <w:bookmarkStart w:id="170" w:name="_Toc529542547"/>
      <w:bookmarkStart w:id="171" w:name="_Toc132468755"/>
      <w:r>
        <w:rPr>
          <w:rFonts w:eastAsia="宋体" w:cs="Times New Roman"/>
          <w:sz w:val="28"/>
          <w:szCs w:val="28"/>
        </w:rPr>
        <w:t>2.3.1场地现状及周边关系</w:t>
      </w:r>
      <w:bookmarkEnd w:id="167"/>
      <w:bookmarkEnd w:id="168"/>
      <w:bookmarkEnd w:id="169"/>
      <w:bookmarkEnd w:id="170"/>
      <w:bookmarkEnd w:id="171"/>
    </w:p>
    <w:p>
      <w:pPr>
        <w:pStyle w:val="33"/>
        <w:adjustRightInd w:val="0"/>
        <w:snapToGrid w:val="0"/>
        <w:ind w:firstLine="480"/>
        <w:rPr>
          <w:rFonts w:ascii="Times New Roman" w:hAnsi="Times New Roman" w:eastAsia="宋体" w:cs="Times New Roman"/>
        </w:rPr>
      </w:pPr>
      <w:r>
        <w:rPr>
          <w:rFonts w:ascii="Times New Roman" w:hAnsi="Times New Roman" w:cs="Times New Roman"/>
        </w:rPr>
        <w:t>项目位于</w:t>
      </w:r>
      <w:r>
        <w:rPr>
          <w:rFonts w:ascii="Times New Roman" w:hAnsi="Times New Roman" w:cs="Times New Roman"/>
          <w:kern w:val="0"/>
        </w:rPr>
        <w:t>赤壁市车埠镇纺织工业园，东、西侧为山林荒地，南侧邻G</w:t>
      </w:r>
      <w:r>
        <w:rPr>
          <w:rFonts w:hint="eastAsia" w:ascii="Times New Roman" w:hAnsi="Times New Roman" w:cs="Times New Roman"/>
          <w:kern w:val="0"/>
        </w:rPr>
        <w:t>351国道 ，北侧邻湖北龙兴无纺科技有限公司</w:t>
      </w:r>
      <w:r>
        <w:rPr>
          <w:rFonts w:ascii="Times New Roman" w:hAnsi="Times New Roman" w:cs="Times New Roman"/>
        </w:rPr>
        <w:t>。</w:t>
      </w:r>
      <w:r>
        <w:rPr>
          <w:rFonts w:ascii="Times New Roman" w:hAnsi="Times New Roman" w:eastAsia="宋体" w:cs="Times New Roman"/>
        </w:rPr>
        <w:t>项目外环境关系及周边现状图见附图3。</w:t>
      </w:r>
    </w:p>
    <w:p>
      <w:pPr>
        <w:pStyle w:val="8"/>
        <w:spacing w:before="180" w:after="180"/>
        <w:rPr>
          <w:rFonts w:eastAsia="宋体" w:cs="Times New Roman"/>
          <w:sz w:val="28"/>
          <w:szCs w:val="28"/>
        </w:rPr>
      </w:pPr>
      <w:bookmarkStart w:id="172" w:name="_Toc523160298"/>
      <w:bookmarkStart w:id="173" w:name="_Toc529542548"/>
      <w:bookmarkStart w:id="174" w:name="_Toc509234756"/>
      <w:bookmarkStart w:id="175" w:name="_Toc510164030"/>
      <w:bookmarkStart w:id="176" w:name="_Toc132468756"/>
      <w:bookmarkStart w:id="177" w:name="_Toc20923"/>
      <w:bookmarkStart w:id="178" w:name="_Toc27850"/>
      <w:r>
        <w:rPr>
          <w:rFonts w:eastAsia="宋体" w:cs="Times New Roman"/>
          <w:sz w:val="28"/>
          <w:szCs w:val="28"/>
        </w:rPr>
        <w:t>2.3.2厂区建设内容</w:t>
      </w:r>
      <w:bookmarkEnd w:id="172"/>
      <w:bookmarkEnd w:id="173"/>
      <w:bookmarkEnd w:id="174"/>
      <w:bookmarkEnd w:id="175"/>
      <w:bookmarkEnd w:id="176"/>
      <w:bookmarkEnd w:id="177"/>
      <w:bookmarkEnd w:id="178"/>
    </w:p>
    <w:p>
      <w:pPr>
        <w:ind w:firstLine="480"/>
        <w:rPr>
          <w:rFonts w:ascii="Times New Roman" w:hAnsi="Times New Roman" w:eastAsia="宋体" w:cs="Times New Roman"/>
          <w:bCs/>
          <w:szCs w:val="24"/>
        </w:rPr>
      </w:pPr>
      <w:r>
        <w:rPr>
          <w:rFonts w:ascii="Times New Roman" w:hAnsi="Times New Roman" w:eastAsia="宋体" w:cs="Times New Roman"/>
          <w:bCs/>
          <w:szCs w:val="24"/>
        </w:rPr>
        <w:t>（1）建设内容组成情况</w:t>
      </w:r>
    </w:p>
    <w:p>
      <w:pPr>
        <w:ind w:firstLine="480"/>
        <w:jc w:val="left"/>
        <w:rPr>
          <w:rFonts w:ascii="Times New Roman" w:hAnsi="Times New Roman" w:eastAsia="宋体" w:cs="Times New Roman"/>
        </w:rPr>
      </w:pPr>
      <w:r>
        <w:rPr>
          <w:rFonts w:ascii="Times New Roman" w:hAnsi="Times New Roman" w:eastAsia="宋体" w:cs="Times New Roman"/>
          <w:szCs w:val="24"/>
        </w:rPr>
        <w:t>具体建</w:t>
      </w:r>
      <w:r>
        <w:rPr>
          <w:rFonts w:ascii="Times New Roman" w:hAnsi="Times New Roman" w:eastAsia="宋体" w:cs="Times New Roman"/>
        </w:rPr>
        <w:t>设内容见表2.3-1。</w:t>
      </w:r>
    </w:p>
    <w:p>
      <w:pPr>
        <w:spacing w:line="240" w:lineRule="auto"/>
        <w:ind w:firstLine="422"/>
        <w:jc w:val="center"/>
        <w:rPr>
          <w:rFonts w:ascii="Times New Roman" w:hAnsi="Times New Roman" w:eastAsia="宋体" w:cs="Times New Roman"/>
          <w:b/>
          <w:sz w:val="21"/>
          <w:szCs w:val="21"/>
          <w:lang w:val="zh-CN"/>
        </w:rPr>
      </w:pPr>
      <w:r>
        <w:rPr>
          <w:rFonts w:ascii="Times New Roman" w:hAnsi="Times New Roman" w:eastAsia="宋体" w:cs="Times New Roman"/>
          <w:b/>
          <w:sz w:val="21"/>
          <w:szCs w:val="21"/>
          <w:lang w:val="zh-CN"/>
        </w:rPr>
        <w:t>表2.3-1</w:t>
      </w:r>
      <w:r>
        <w:rPr>
          <w:rFonts w:ascii="Times New Roman" w:hAnsi="Times New Roman" w:eastAsia="宋体" w:cs="Times New Roman"/>
          <w:b/>
          <w:sz w:val="21"/>
          <w:szCs w:val="21"/>
        </w:rPr>
        <w:t xml:space="preserve">  </w:t>
      </w:r>
      <w:r>
        <w:rPr>
          <w:rFonts w:ascii="Times New Roman" w:hAnsi="Times New Roman" w:eastAsia="宋体" w:cs="Times New Roman"/>
          <w:b/>
          <w:sz w:val="21"/>
          <w:szCs w:val="21"/>
          <w:lang w:val="zh-CN"/>
        </w:rPr>
        <w:t>项目主要建设内容</w:t>
      </w:r>
    </w:p>
    <w:tbl>
      <w:tblPr>
        <w:tblStyle w:val="37"/>
        <w:tblW w:w="9949"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440"/>
        <w:gridCol w:w="71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1368" w:type="dxa"/>
            <w:tcBorders>
              <w:bottom w:val="single" w:color="auto" w:sz="12" w:space="0"/>
            </w:tcBorders>
            <w:vAlign w:val="center"/>
          </w:tcPr>
          <w:p>
            <w:pPr>
              <w:spacing w:line="240" w:lineRule="auto"/>
              <w:ind w:firstLine="0" w:firstLineChars="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工程名称</w:t>
            </w:r>
          </w:p>
        </w:tc>
        <w:tc>
          <w:tcPr>
            <w:tcW w:w="1440" w:type="dxa"/>
            <w:tcBorders>
              <w:bottom w:val="single" w:color="auto" w:sz="12" w:space="0"/>
            </w:tcBorders>
            <w:vAlign w:val="center"/>
          </w:tcPr>
          <w:p>
            <w:pPr>
              <w:spacing w:line="240" w:lineRule="auto"/>
              <w:ind w:firstLine="0" w:firstLineChars="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工程内容</w:t>
            </w:r>
          </w:p>
        </w:tc>
        <w:tc>
          <w:tcPr>
            <w:tcW w:w="7141" w:type="dxa"/>
            <w:tcBorders>
              <w:bottom w:val="single" w:color="auto" w:sz="12" w:space="0"/>
            </w:tcBorders>
            <w:vAlign w:val="center"/>
          </w:tcPr>
          <w:p>
            <w:pPr>
              <w:spacing w:line="240" w:lineRule="auto"/>
              <w:ind w:firstLine="361"/>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实际建设规模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1368" w:type="dxa"/>
            <w:vMerge w:val="restart"/>
            <w:tcBorders>
              <w:top w:val="single" w:color="auto" w:sz="12" w:space="0"/>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主体工程</w:t>
            </w:r>
          </w:p>
        </w:tc>
        <w:tc>
          <w:tcPr>
            <w:tcW w:w="1440" w:type="dxa"/>
            <w:tcBorders>
              <w:top w:val="single" w:color="auto" w:sz="12" w:space="0"/>
              <w:bottom w:val="single" w:color="auto" w:sz="6" w:space="0"/>
              <w:right w:val="single" w:color="auto" w:sz="6" w:space="0"/>
            </w:tcBorders>
            <w:vAlign w:val="center"/>
          </w:tcPr>
          <w:p>
            <w:pPr>
              <w:spacing w:line="240" w:lineRule="auto"/>
              <w:ind w:firstLine="0" w:firstLineChars="0"/>
              <w:jc w:val="center"/>
              <w:rPr>
                <w:rFonts w:ascii="Times New Roman" w:hAnsi="Times New Roman" w:eastAsia="宋体" w:cs="Times New Roman"/>
                <w:sz w:val="18"/>
                <w:szCs w:val="18"/>
              </w:rPr>
            </w:pPr>
            <w:r>
              <w:rPr>
                <w:rFonts w:hint="eastAsia" w:ascii="Times New Roman" w:hAnsi="Times New Roman" w:cs="Times New Roman"/>
                <w:sz w:val="18"/>
                <w:szCs w:val="18"/>
                <w:lang w:bidi="ar"/>
              </w:rPr>
              <w:t>1</w:t>
            </w:r>
            <w:r>
              <w:rPr>
                <w:rFonts w:ascii="Times New Roman" w:hAnsi="Times New Roman" w:cs="Times New Roman"/>
                <w:sz w:val="18"/>
                <w:szCs w:val="18"/>
                <w:lang w:bidi="ar"/>
              </w:rPr>
              <w:t>#线、</w:t>
            </w:r>
            <w:r>
              <w:rPr>
                <w:rFonts w:hint="eastAsia" w:ascii="Times New Roman" w:hAnsi="Times New Roman" w:cs="Times New Roman"/>
                <w:sz w:val="18"/>
                <w:szCs w:val="18"/>
                <w:lang w:bidi="ar"/>
              </w:rPr>
              <w:t>2#线</w:t>
            </w:r>
            <w:r>
              <w:rPr>
                <w:rFonts w:ascii="Times New Roman" w:hAnsi="Times New Roman" w:cs="Times New Roman"/>
                <w:sz w:val="18"/>
                <w:szCs w:val="18"/>
                <w:lang w:bidi="ar"/>
              </w:rPr>
              <w:t>车间</w:t>
            </w:r>
          </w:p>
        </w:tc>
        <w:tc>
          <w:tcPr>
            <w:tcW w:w="7141" w:type="dxa"/>
            <w:tcBorders>
              <w:top w:val="single" w:color="auto" w:sz="12" w:space="0"/>
              <w:left w:val="single" w:color="auto" w:sz="6" w:space="0"/>
              <w:bottom w:val="single" w:color="auto" w:sz="6" w:space="0"/>
            </w:tcBorders>
            <w:vAlign w:val="center"/>
          </w:tcPr>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cs="Times New Roman"/>
                <w:sz w:val="18"/>
                <w:szCs w:val="18"/>
              </w:rPr>
              <w:t>1F，钢结构车间，</w:t>
            </w:r>
            <w:r>
              <w:rPr>
                <w:rFonts w:hint="eastAsia" w:ascii="Times New Roman" w:hAnsi="Times New Roman" w:cs="Times New Roman"/>
                <w:sz w:val="18"/>
                <w:szCs w:val="18"/>
              </w:rPr>
              <w:t>厂区中部，</w:t>
            </w:r>
            <w:r>
              <w:rPr>
                <w:rFonts w:ascii="Times New Roman" w:hAnsi="Times New Roman" w:cs="Times New Roman"/>
                <w:sz w:val="18"/>
                <w:szCs w:val="18"/>
              </w:rPr>
              <w:t>设置</w:t>
            </w:r>
            <w:r>
              <w:rPr>
                <w:rFonts w:hint="eastAsia" w:ascii="Times New Roman" w:hAnsi="Times New Roman" w:cs="Times New Roman"/>
                <w:sz w:val="18"/>
                <w:szCs w:val="18"/>
                <w:lang w:bidi="ar"/>
              </w:rPr>
              <w:t>1</w:t>
            </w:r>
            <w:r>
              <w:rPr>
                <w:rFonts w:ascii="Times New Roman" w:hAnsi="Times New Roman" w:cs="Times New Roman"/>
                <w:sz w:val="18"/>
                <w:szCs w:val="18"/>
                <w:lang w:bidi="ar"/>
              </w:rPr>
              <w:t>#线、</w:t>
            </w:r>
            <w:r>
              <w:rPr>
                <w:rFonts w:hint="eastAsia" w:ascii="Times New Roman" w:hAnsi="Times New Roman" w:cs="Times New Roman"/>
                <w:sz w:val="18"/>
                <w:szCs w:val="18"/>
                <w:lang w:bidi="ar"/>
              </w:rPr>
              <w:t>2#线无纺布生产线</w:t>
            </w:r>
            <w:r>
              <w:rPr>
                <w:rFonts w:ascii="Times New Roman" w:hAnsi="Times New Roman" w:cs="Times New Roman"/>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1368" w:type="dxa"/>
            <w:vMerge w:val="continue"/>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p>
        </w:tc>
        <w:tc>
          <w:tcPr>
            <w:tcW w:w="1440" w:type="dxa"/>
            <w:tcBorders>
              <w:top w:val="single" w:color="auto" w:sz="6" w:space="0"/>
              <w:bottom w:val="single" w:color="auto" w:sz="6" w:space="0"/>
              <w:right w:val="single" w:color="auto" w:sz="6" w:space="0"/>
            </w:tcBorders>
            <w:vAlign w:val="center"/>
          </w:tcPr>
          <w:p>
            <w:pPr>
              <w:spacing w:line="240" w:lineRule="auto"/>
              <w:ind w:firstLine="0" w:firstLineChars="0"/>
              <w:jc w:val="center"/>
              <w:rPr>
                <w:rFonts w:ascii="Times New Roman" w:hAnsi="Times New Roman" w:cs="Times New Roman"/>
                <w:sz w:val="18"/>
                <w:szCs w:val="18"/>
                <w:lang w:bidi="ar"/>
              </w:rPr>
            </w:pPr>
            <w:r>
              <w:rPr>
                <w:rFonts w:hint="eastAsia" w:ascii="Times New Roman" w:hAnsi="Times New Roman" w:cs="Times New Roman"/>
                <w:sz w:val="18"/>
                <w:szCs w:val="18"/>
                <w:lang w:bidi="ar"/>
              </w:rPr>
              <w:t>3</w:t>
            </w:r>
            <w:r>
              <w:rPr>
                <w:rFonts w:ascii="Times New Roman" w:hAnsi="Times New Roman" w:cs="Times New Roman"/>
                <w:sz w:val="18"/>
                <w:szCs w:val="18"/>
                <w:lang w:bidi="ar"/>
              </w:rPr>
              <w:t>#线、</w:t>
            </w:r>
            <w:r>
              <w:rPr>
                <w:rFonts w:hint="eastAsia" w:ascii="Times New Roman" w:hAnsi="Times New Roman" w:cs="Times New Roman"/>
                <w:sz w:val="18"/>
                <w:szCs w:val="18"/>
                <w:lang w:bidi="ar"/>
              </w:rPr>
              <w:t>4#线</w:t>
            </w:r>
            <w:r>
              <w:rPr>
                <w:rFonts w:ascii="Times New Roman" w:hAnsi="Times New Roman" w:cs="Times New Roman"/>
                <w:sz w:val="18"/>
                <w:szCs w:val="18"/>
                <w:lang w:bidi="ar"/>
              </w:rPr>
              <w:t>车间</w:t>
            </w:r>
          </w:p>
        </w:tc>
        <w:tc>
          <w:tcPr>
            <w:tcW w:w="7141" w:type="dxa"/>
            <w:tcBorders>
              <w:top w:val="single" w:color="auto" w:sz="6" w:space="0"/>
              <w:left w:val="single" w:color="auto" w:sz="6" w:space="0"/>
              <w:bottom w:val="single" w:color="auto" w:sz="6" w:space="0"/>
            </w:tcBorders>
            <w:vAlign w:val="center"/>
          </w:tcPr>
          <w:p>
            <w:pPr>
              <w:adjustRightInd w:val="0"/>
              <w:snapToGrid w:val="0"/>
              <w:spacing w:line="240" w:lineRule="auto"/>
              <w:ind w:firstLine="0" w:firstLineChars="0"/>
              <w:jc w:val="left"/>
              <w:rPr>
                <w:rFonts w:ascii="Times New Roman" w:hAnsi="Times New Roman" w:cs="Times New Roman"/>
                <w:sz w:val="18"/>
                <w:szCs w:val="18"/>
              </w:rPr>
            </w:pPr>
            <w:r>
              <w:rPr>
                <w:rFonts w:ascii="Times New Roman" w:hAnsi="Times New Roman" w:cs="Times New Roman"/>
                <w:sz w:val="18"/>
                <w:szCs w:val="18"/>
              </w:rPr>
              <w:t>1F，钢结构车间，</w:t>
            </w:r>
            <w:r>
              <w:rPr>
                <w:rFonts w:hint="eastAsia" w:ascii="Times New Roman" w:hAnsi="Times New Roman" w:cs="Times New Roman"/>
                <w:sz w:val="18"/>
                <w:szCs w:val="18"/>
              </w:rPr>
              <w:t>厂区东侧，</w:t>
            </w:r>
            <w:r>
              <w:rPr>
                <w:rFonts w:ascii="Times New Roman" w:hAnsi="Times New Roman" w:cs="Times New Roman"/>
                <w:sz w:val="18"/>
                <w:szCs w:val="18"/>
              </w:rPr>
              <w:t>设置</w:t>
            </w:r>
            <w:r>
              <w:rPr>
                <w:rFonts w:hint="eastAsia" w:ascii="Times New Roman" w:hAnsi="Times New Roman" w:cs="Times New Roman"/>
                <w:sz w:val="18"/>
                <w:szCs w:val="18"/>
                <w:lang w:bidi="ar"/>
              </w:rPr>
              <w:t>3</w:t>
            </w:r>
            <w:r>
              <w:rPr>
                <w:rFonts w:ascii="Times New Roman" w:hAnsi="Times New Roman" w:cs="Times New Roman"/>
                <w:sz w:val="18"/>
                <w:szCs w:val="18"/>
                <w:lang w:bidi="ar"/>
              </w:rPr>
              <w:t>#线、</w:t>
            </w:r>
            <w:r>
              <w:rPr>
                <w:rFonts w:hint="eastAsia" w:ascii="Times New Roman" w:hAnsi="Times New Roman" w:cs="Times New Roman"/>
                <w:sz w:val="18"/>
                <w:szCs w:val="18"/>
                <w:lang w:bidi="ar"/>
              </w:rPr>
              <w:t>4#线无纺布生产线</w:t>
            </w:r>
            <w:r>
              <w:rPr>
                <w:rFonts w:ascii="Times New Roman" w:hAnsi="Times New Roman" w:cs="Times New Roman"/>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1368" w:type="dxa"/>
            <w:vMerge w:val="restart"/>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辅助工程</w:t>
            </w:r>
          </w:p>
        </w:tc>
        <w:tc>
          <w:tcPr>
            <w:tcW w:w="1440" w:type="dxa"/>
            <w:tcBorders>
              <w:tl2br w:val="nil"/>
              <w:tr2bl w:val="nil"/>
            </w:tcBorders>
            <w:vAlign w:val="center"/>
          </w:tcPr>
          <w:p>
            <w:pPr>
              <w:spacing w:line="240" w:lineRule="auto"/>
              <w:ind w:firstLine="0" w:firstLineChars="0"/>
              <w:jc w:val="center"/>
              <w:rPr>
                <w:rFonts w:ascii="Times New Roman" w:hAnsi="Times New Roman" w:cs="Times New Roman"/>
                <w:sz w:val="18"/>
                <w:szCs w:val="18"/>
                <w:lang w:bidi="ar"/>
              </w:rPr>
            </w:pPr>
            <w:r>
              <w:rPr>
                <w:rFonts w:hint="eastAsia" w:ascii="Times New Roman" w:hAnsi="Times New Roman" w:cs="Times New Roman"/>
                <w:sz w:val="18"/>
                <w:szCs w:val="18"/>
                <w:lang w:bidi="ar"/>
              </w:rPr>
              <w:t>综合楼</w:t>
            </w:r>
          </w:p>
        </w:tc>
        <w:tc>
          <w:tcPr>
            <w:tcW w:w="7141" w:type="dxa"/>
            <w:tcBorders>
              <w:tl2br w:val="nil"/>
              <w:tr2bl w:val="nil"/>
            </w:tcBorders>
            <w:vAlign w:val="center"/>
          </w:tcPr>
          <w:p>
            <w:pPr>
              <w:spacing w:line="240" w:lineRule="auto"/>
              <w:ind w:firstLine="0" w:firstLineChars="0"/>
              <w:jc w:val="left"/>
              <w:rPr>
                <w:rFonts w:ascii="Times New Roman" w:hAnsi="Times New Roman" w:cs="Times New Roman"/>
                <w:sz w:val="18"/>
                <w:szCs w:val="18"/>
              </w:rPr>
            </w:pPr>
            <w:r>
              <w:rPr>
                <w:rFonts w:ascii="Times New Roman" w:hAnsi="Times New Roman" w:cs="Times New Roman"/>
                <w:sz w:val="18"/>
                <w:szCs w:val="18"/>
              </w:rPr>
              <w:t>5</w:t>
            </w:r>
            <w:r>
              <w:rPr>
                <w:rFonts w:hint="eastAsia" w:ascii="Times New Roman" w:hAnsi="Times New Roman" w:cs="Times New Roman"/>
                <w:sz w:val="18"/>
                <w:szCs w:val="18"/>
              </w:rPr>
              <w:t>F，框架结构，厂区南侧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1368" w:type="dxa"/>
            <w:vMerge w:val="continue"/>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p>
        </w:tc>
        <w:tc>
          <w:tcPr>
            <w:tcW w:w="1440" w:type="dxa"/>
            <w:tcBorders>
              <w:tl2br w:val="nil"/>
              <w:tr2bl w:val="nil"/>
            </w:tcBorders>
            <w:vAlign w:val="center"/>
          </w:tcPr>
          <w:p>
            <w:pPr>
              <w:spacing w:line="240" w:lineRule="auto"/>
              <w:ind w:firstLine="0" w:firstLineChars="0"/>
              <w:jc w:val="center"/>
              <w:rPr>
                <w:rFonts w:ascii="Times New Roman" w:hAnsi="Times New Roman" w:cs="Times New Roman"/>
                <w:sz w:val="18"/>
                <w:szCs w:val="18"/>
                <w:lang w:bidi="ar"/>
              </w:rPr>
            </w:pPr>
            <w:r>
              <w:rPr>
                <w:rFonts w:hint="eastAsia" w:ascii="Times New Roman" w:hAnsi="Times New Roman" w:cs="Times New Roman"/>
                <w:sz w:val="18"/>
                <w:szCs w:val="18"/>
                <w:lang w:bidi="ar"/>
              </w:rPr>
              <w:t>办公区</w:t>
            </w:r>
          </w:p>
        </w:tc>
        <w:tc>
          <w:tcPr>
            <w:tcW w:w="7141" w:type="dxa"/>
            <w:tcBorders>
              <w:tl2br w:val="nil"/>
              <w:tr2bl w:val="nil"/>
            </w:tcBorders>
            <w:vAlign w:val="center"/>
          </w:tcPr>
          <w:p>
            <w:pPr>
              <w:spacing w:line="240" w:lineRule="auto"/>
              <w:ind w:firstLine="0" w:firstLineChars="0"/>
              <w:jc w:val="left"/>
              <w:rPr>
                <w:rFonts w:ascii="Times New Roman" w:hAnsi="Times New Roman" w:cs="Times New Roman"/>
                <w:sz w:val="18"/>
                <w:szCs w:val="18"/>
              </w:rPr>
            </w:pPr>
            <w:r>
              <w:rPr>
                <w:rFonts w:hint="eastAsia" w:ascii="Times New Roman" w:hAnsi="Times New Roman" w:cs="Times New Roman"/>
                <w:sz w:val="18"/>
                <w:szCs w:val="18"/>
              </w:rPr>
              <w:t>位于中间厂房南侧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1368" w:type="dxa"/>
            <w:vMerge w:val="restart"/>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储运工程</w:t>
            </w:r>
          </w:p>
        </w:tc>
        <w:tc>
          <w:tcPr>
            <w:tcW w:w="144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sz w:val="18"/>
                <w:szCs w:val="18"/>
                <w:lang w:bidi="ar"/>
              </w:rPr>
            </w:pPr>
            <w:r>
              <w:rPr>
                <w:rFonts w:hint="eastAsia" w:ascii="Times New Roman" w:hAnsi="Times New Roman" w:cs="Times New Roman"/>
                <w:sz w:val="18"/>
                <w:szCs w:val="18"/>
                <w:lang w:bidi="ar"/>
              </w:rPr>
              <w:t>原料仓库</w:t>
            </w:r>
          </w:p>
        </w:tc>
        <w:tc>
          <w:tcPr>
            <w:tcW w:w="7141" w:type="dxa"/>
            <w:tcBorders>
              <w:tl2br w:val="nil"/>
              <w:tr2bl w:val="nil"/>
            </w:tcBorders>
            <w:shd w:val="clear" w:color="auto" w:fill="auto"/>
            <w:vAlign w:val="center"/>
          </w:tcPr>
          <w:p>
            <w:pPr>
              <w:spacing w:line="240" w:lineRule="auto"/>
              <w:ind w:firstLine="0" w:firstLineChars="0"/>
              <w:jc w:val="left"/>
              <w:rPr>
                <w:rFonts w:ascii="Times New Roman" w:hAnsi="Times New Roman" w:cs="Times New Roman"/>
                <w:sz w:val="18"/>
                <w:szCs w:val="18"/>
                <w:highlight w:val="yellow"/>
              </w:rPr>
            </w:pPr>
            <w:r>
              <w:rPr>
                <w:rFonts w:ascii="Times New Roman" w:hAnsi="Times New Roman" w:cs="Times New Roman"/>
                <w:sz w:val="18"/>
                <w:szCs w:val="18"/>
              </w:rPr>
              <w:t>1F，钢结构车间，</w:t>
            </w:r>
            <w:r>
              <w:rPr>
                <w:rFonts w:hint="eastAsia" w:ascii="Times New Roman" w:hAnsi="Times New Roman" w:cs="Times New Roman"/>
                <w:sz w:val="18"/>
                <w:szCs w:val="18"/>
              </w:rPr>
              <w:t>厂区西部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1368" w:type="dxa"/>
            <w:vMerge w:val="continue"/>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p>
        </w:tc>
        <w:tc>
          <w:tcPr>
            <w:tcW w:w="144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sz w:val="18"/>
                <w:szCs w:val="18"/>
                <w:lang w:bidi="ar"/>
              </w:rPr>
            </w:pPr>
            <w:r>
              <w:rPr>
                <w:rFonts w:hint="eastAsia" w:ascii="Times New Roman" w:hAnsi="Times New Roman" w:cs="Times New Roman"/>
                <w:sz w:val="18"/>
                <w:szCs w:val="18"/>
                <w:lang w:bidi="ar"/>
              </w:rPr>
              <w:t>成品仓库</w:t>
            </w:r>
          </w:p>
        </w:tc>
        <w:tc>
          <w:tcPr>
            <w:tcW w:w="7141" w:type="dxa"/>
            <w:tcBorders>
              <w:tl2br w:val="nil"/>
              <w:tr2bl w:val="nil"/>
            </w:tcBorders>
            <w:shd w:val="clear" w:color="auto" w:fill="auto"/>
            <w:vAlign w:val="center"/>
          </w:tcPr>
          <w:p>
            <w:pPr>
              <w:spacing w:line="240" w:lineRule="auto"/>
              <w:ind w:firstLine="0" w:firstLineChars="0"/>
              <w:jc w:val="left"/>
              <w:rPr>
                <w:rFonts w:ascii="Times New Roman" w:hAnsi="Times New Roman" w:cs="Times New Roman"/>
                <w:sz w:val="18"/>
                <w:szCs w:val="18"/>
                <w:highlight w:val="yellow"/>
              </w:rPr>
            </w:pPr>
            <w:r>
              <w:rPr>
                <w:rFonts w:ascii="Times New Roman" w:hAnsi="Times New Roman" w:cs="Times New Roman"/>
                <w:sz w:val="18"/>
                <w:szCs w:val="18"/>
              </w:rPr>
              <w:t>1F，钢结构车间，</w:t>
            </w:r>
            <w:r>
              <w:rPr>
                <w:rFonts w:hint="eastAsia" w:ascii="Times New Roman" w:hAnsi="Times New Roman" w:cs="Times New Roman"/>
                <w:sz w:val="18"/>
                <w:szCs w:val="18"/>
              </w:rPr>
              <w:t>厂区中部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1368" w:type="dxa"/>
            <w:vMerge w:val="continue"/>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p>
        </w:tc>
        <w:tc>
          <w:tcPr>
            <w:tcW w:w="144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sz w:val="18"/>
                <w:szCs w:val="18"/>
                <w:lang w:bidi="ar"/>
              </w:rPr>
            </w:pPr>
            <w:r>
              <w:rPr>
                <w:rFonts w:hint="eastAsia" w:ascii="Times New Roman" w:hAnsi="Times New Roman" w:cs="Times New Roman"/>
                <w:sz w:val="18"/>
                <w:szCs w:val="18"/>
                <w:lang w:bidi="ar"/>
              </w:rPr>
              <w:t>综合仓库</w:t>
            </w:r>
          </w:p>
        </w:tc>
        <w:tc>
          <w:tcPr>
            <w:tcW w:w="7141" w:type="dxa"/>
            <w:tcBorders>
              <w:tl2br w:val="nil"/>
              <w:tr2bl w:val="nil"/>
            </w:tcBorders>
            <w:shd w:val="clear" w:color="auto" w:fill="auto"/>
            <w:vAlign w:val="center"/>
          </w:tcPr>
          <w:p>
            <w:pPr>
              <w:spacing w:line="240" w:lineRule="auto"/>
              <w:ind w:firstLine="0" w:firstLineChars="0"/>
              <w:jc w:val="left"/>
              <w:rPr>
                <w:rFonts w:ascii="Times New Roman" w:hAnsi="Times New Roman" w:cs="Times New Roman"/>
                <w:sz w:val="18"/>
                <w:szCs w:val="18"/>
                <w:highlight w:val="yellow"/>
              </w:rPr>
            </w:pPr>
            <w:r>
              <w:rPr>
                <w:rFonts w:ascii="Times New Roman" w:hAnsi="Times New Roman" w:cs="Times New Roman"/>
                <w:sz w:val="18"/>
                <w:szCs w:val="18"/>
              </w:rPr>
              <w:t>1F，钢结构车间，</w:t>
            </w:r>
            <w:r>
              <w:rPr>
                <w:rFonts w:hint="eastAsia" w:ascii="Times New Roman" w:hAnsi="Times New Roman" w:cs="Times New Roman"/>
                <w:sz w:val="18"/>
                <w:szCs w:val="18"/>
              </w:rPr>
              <w:t>厂区中部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1368" w:type="dxa"/>
            <w:vMerge w:val="restart"/>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公用工程</w:t>
            </w:r>
          </w:p>
        </w:tc>
        <w:tc>
          <w:tcPr>
            <w:tcW w:w="1440" w:type="dxa"/>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lang w:bidi="ar"/>
              </w:rPr>
              <w:t>供配电系统</w:t>
            </w:r>
          </w:p>
        </w:tc>
        <w:tc>
          <w:tcPr>
            <w:tcW w:w="7141" w:type="dxa"/>
            <w:tcBorders>
              <w:tl2br w:val="nil"/>
              <w:tr2bl w:val="nil"/>
            </w:tcBorders>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cs="Times New Roman"/>
                <w:sz w:val="18"/>
                <w:szCs w:val="18"/>
              </w:rPr>
              <w:t>市政电网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1368" w:type="dxa"/>
            <w:vMerge w:val="continue"/>
            <w:tcBorders>
              <w:tl2br w:val="nil"/>
              <w:tr2bl w:val="nil"/>
            </w:tcBorders>
            <w:vAlign w:val="center"/>
          </w:tcPr>
          <w:p>
            <w:pPr>
              <w:spacing w:line="240" w:lineRule="auto"/>
              <w:ind w:firstLine="360"/>
              <w:jc w:val="center"/>
              <w:rPr>
                <w:rFonts w:ascii="Times New Roman" w:hAnsi="Times New Roman" w:eastAsia="宋体" w:cs="Times New Roman"/>
                <w:sz w:val="18"/>
                <w:szCs w:val="18"/>
              </w:rPr>
            </w:pPr>
          </w:p>
        </w:tc>
        <w:tc>
          <w:tcPr>
            <w:tcW w:w="1440" w:type="dxa"/>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lang w:bidi="ar"/>
              </w:rPr>
              <w:t>给水系统</w:t>
            </w:r>
          </w:p>
        </w:tc>
        <w:tc>
          <w:tcPr>
            <w:tcW w:w="7141" w:type="dxa"/>
            <w:tcBorders>
              <w:tl2br w:val="nil"/>
              <w:tr2bl w:val="nil"/>
            </w:tcBorders>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cs="Times New Roman"/>
                <w:sz w:val="18"/>
                <w:szCs w:val="18"/>
              </w:rPr>
              <w:t>由市政给水管网接入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1368" w:type="dxa"/>
            <w:vMerge w:val="continue"/>
            <w:tcBorders>
              <w:tl2br w:val="nil"/>
              <w:tr2bl w:val="nil"/>
            </w:tcBorders>
            <w:vAlign w:val="center"/>
          </w:tcPr>
          <w:p>
            <w:pPr>
              <w:spacing w:line="240" w:lineRule="auto"/>
              <w:ind w:firstLine="360"/>
              <w:jc w:val="center"/>
              <w:rPr>
                <w:rFonts w:ascii="Times New Roman" w:hAnsi="Times New Roman" w:eastAsia="宋体" w:cs="Times New Roman"/>
                <w:sz w:val="18"/>
                <w:szCs w:val="18"/>
              </w:rPr>
            </w:pPr>
          </w:p>
        </w:tc>
        <w:tc>
          <w:tcPr>
            <w:tcW w:w="1440" w:type="dxa"/>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lang w:bidi="ar"/>
              </w:rPr>
              <w:t>排水系统</w:t>
            </w:r>
          </w:p>
        </w:tc>
        <w:tc>
          <w:tcPr>
            <w:tcW w:w="7141" w:type="dxa"/>
            <w:tcBorders>
              <w:tl2br w:val="nil"/>
              <w:tr2bl w:val="nil"/>
            </w:tcBorders>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cs="Times New Roman"/>
                <w:sz w:val="18"/>
                <w:szCs w:val="18"/>
                <w:lang w:bidi="ar"/>
              </w:rPr>
              <w:t>项目雨污分流，项目生产废水经自建污水处理站（气浮</w:t>
            </w:r>
            <w:r>
              <w:rPr>
                <w:rFonts w:hint="eastAsia" w:ascii="Times New Roman" w:hAnsi="Times New Roman" w:cs="Times New Roman"/>
                <w:sz w:val="18"/>
                <w:szCs w:val="18"/>
                <w:lang w:bidi="ar"/>
              </w:rPr>
              <w:t>+砂滤工艺</w:t>
            </w:r>
            <w:r>
              <w:rPr>
                <w:rFonts w:ascii="Times New Roman" w:hAnsi="Times New Roman" w:cs="Times New Roman"/>
                <w:sz w:val="18"/>
                <w:szCs w:val="18"/>
                <w:lang w:bidi="ar"/>
              </w:rPr>
              <w:t>）处理，生活污水经化粪池预处理，处理后的废水排入</w:t>
            </w:r>
            <w:r>
              <w:rPr>
                <w:rFonts w:hint="eastAsia" w:ascii="Times New Roman" w:hAnsi="Times New Roman" w:cs="Times New Roman"/>
                <w:sz w:val="18"/>
                <w:szCs w:val="18"/>
                <w:lang w:bidi="ar"/>
              </w:rPr>
              <w:t>市政污水管网经入车埠镇污水处理站深度处理。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1368" w:type="dxa"/>
            <w:vMerge w:val="continue"/>
            <w:tcBorders>
              <w:tl2br w:val="nil"/>
              <w:tr2bl w:val="nil"/>
            </w:tcBorders>
            <w:vAlign w:val="center"/>
          </w:tcPr>
          <w:p>
            <w:pPr>
              <w:spacing w:line="240" w:lineRule="auto"/>
              <w:ind w:firstLine="360"/>
              <w:jc w:val="center"/>
              <w:rPr>
                <w:rFonts w:ascii="Times New Roman" w:hAnsi="Times New Roman" w:eastAsia="宋体" w:cs="Times New Roman"/>
                <w:sz w:val="18"/>
                <w:szCs w:val="18"/>
              </w:rPr>
            </w:pPr>
          </w:p>
        </w:tc>
        <w:tc>
          <w:tcPr>
            <w:tcW w:w="1440" w:type="dxa"/>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供热</w:t>
            </w:r>
          </w:p>
        </w:tc>
        <w:tc>
          <w:tcPr>
            <w:tcW w:w="7141" w:type="dxa"/>
            <w:tcBorders>
              <w:tl2br w:val="nil"/>
              <w:tr2bl w:val="nil"/>
            </w:tcBorders>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项目设置</w:t>
            </w:r>
            <w:r>
              <w:rPr>
                <w:rFonts w:hint="eastAsia" w:ascii="Times New Roman" w:hAnsi="Times New Roman" w:eastAsia="宋体" w:cs="Times New Roman"/>
                <w:sz w:val="18"/>
                <w:szCs w:val="18"/>
              </w:rPr>
              <w:t>燃气锅炉供热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1368" w:type="dxa"/>
            <w:vMerge w:val="restart"/>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环保工程</w:t>
            </w:r>
          </w:p>
        </w:tc>
        <w:tc>
          <w:tcPr>
            <w:tcW w:w="1440" w:type="dxa"/>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lang w:bidi="ar"/>
              </w:rPr>
              <w:t>废气处理系统</w:t>
            </w:r>
          </w:p>
        </w:tc>
        <w:tc>
          <w:tcPr>
            <w:tcW w:w="7141" w:type="dxa"/>
            <w:tcBorders>
              <w:tl2br w:val="nil"/>
              <w:tr2bl w:val="nil"/>
            </w:tcBorders>
            <w:vAlign w:val="center"/>
          </w:tcPr>
          <w:p>
            <w:pPr>
              <w:pStyle w:val="16"/>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①生产废气：经多个单吸滤尘装置过滤后无组织排放。</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cs="Times New Roman"/>
                <w:sz w:val="18"/>
                <w:szCs w:val="18"/>
              </w:rPr>
              <w:t>②燃气</w:t>
            </w:r>
            <w:r>
              <w:rPr>
                <w:rFonts w:ascii="Times New Roman" w:hAnsi="Times New Roman" w:cs="Times New Roman"/>
                <w:sz w:val="18"/>
                <w:szCs w:val="18"/>
                <w:lang w:bidi="ar"/>
              </w:rPr>
              <w:t>锅炉废气直接经</w:t>
            </w:r>
            <w:r>
              <w:rPr>
                <w:rFonts w:hint="eastAsia" w:ascii="Times New Roman" w:hAnsi="Times New Roman" w:cs="Times New Roman"/>
                <w:sz w:val="18"/>
                <w:szCs w:val="18"/>
                <w:lang w:bidi="ar"/>
              </w:rPr>
              <w:t>15m排气筒排放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1368" w:type="dxa"/>
            <w:vMerge w:val="continue"/>
            <w:tcBorders>
              <w:tl2br w:val="nil"/>
              <w:tr2bl w:val="nil"/>
            </w:tcBorders>
            <w:vAlign w:val="center"/>
          </w:tcPr>
          <w:p>
            <w:pPr>
              <w:spacing w:line="240" w:lineRule="auto"/>
              <w:ind w:firstLine="360"/>
              <w:jc w:val="center"/>
              <w:rPr>
                <w:rFonts w:ascii="Times New Roman" w:hAnsi="Times New Roman" w:eastAsia="宋体" w:cs="Times New Roman"/>
                <w:sz w:val="18"/>
                <w:szCs w:val="18"/>
              </w:rPr>
            </w:pPr>
          </w:p>
        </w:tc>
        <w:tc>
          <w:tcPr>
            <w:tcW w:w="1440" w:type="dxa"/>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lang w:bidi="ar"/>
              </w:rPr>
              <w:t>废水处理系统</w:t>
            </w:r>
          </w:p>
        </w:tc>
        <w:tc>
          <w:tcPr>
            <w:tcW w:w="7141" w:type="dxa"/>
            <w:tcBorders>
              <w:tl2br w:val="nil"/>
              <w:tr2bl w:val="nil"/>
            </w:tcBorders>
            <w:vAlign w:val="center"/>
          </w:tcPr>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cs="Times New Roman"/>
                <w:sz w:val="18"/>
                <w:szCs w:val="18"/>
                <w:lang w:bidi="ar"/>
              </w:rPr>
              <w:t>厂内实行“雨污分流，清污分流”制。项目生活污水经化粪池处理后排入</w:t>
            </w:r>
            <w:r>
              <w:rPr>
                <w:rFonts w:hint="eastAsia" w:ascii="Times New Roman" w:hAnsi="Times New Roman" w:cs="Times New Roman"/>
                <w:sz w:val="18"/>
                <w:szCs w:val="18"/>
                <w:lang w:bidi="ar"/>
              </w:rPr>
              <w:t>车埠镇污水处理站</w:t>
            </w:r>
            <w:r>
              <w:rPr>
                <w:rFonts w:ascii="Times New Roman" w:hAnsi="Times New Roman" w:cs="Times New Roman"/>
                <w:sz w:val="18"/>
                <w:szCs w:val="18"/>
                <w:lang w:bidi="ar"/>
              </w:rPr>
              <w:t>进一步处理。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1368" w:type="dxa"/>
            <w:vMerge w:val="continue"/>
            <w:tcBorders>
              <w:tl2br w:val="nil"/>
              <w:tr2bl w:val="nil"/>
            </w:tcBorders>
            <w:vAlign w:val="center"/>
          </w:tcPr>
          <w:p>
            <w:pPr>
              <w:spacing w:line="240" w:lineRule="auto"/>
              <w:ind w:firstLine="360"/>
              <w:jc w:val="center"/>
              <w:rPr>
                <w:rFonts w:ascii="Times New Roman" w:hAnsi="Times New Roman" w:eastAsia="宋体" w:cs="Times New Roman"/>
                <w:sz w:val="18"/>
                <w:szCs w:val="18"/>
              </w:rPr>
            </w:pPr>
          </w:p>
        </w:tc>
        <w:tc>
          <w:tcPr>
            <w:tcW w:w="1440" w:type="dxa"/>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lang w:bidi="ar"/>
              </w:rPr>
              <w:t>噪声治理措施</w:t>
            </w:r>
          </w:p>
        </w:tc>
        <w:tc>
          <w:tcPr>
            <w:tcW w:w="7141" w:type="dxa"/>
            <w:tcBorders>
              <w:tl2br w:val="nil"/>
              <w:tr2bl w:val="nil"/>
            </w:tcBorders>
            <w:vAlign w:val="center"/>
          </w:tcPr>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cs="Times New Roman"/>
                <w:sz w:val="18"/>
                <w:szCs w:val="18"/>
              </w:rPr>
              <w:t>采用低噪声设备、厂房隔声以及距离衰减等措施进行降噪。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1368" w:type="dxa"/>
            <w:vMerge w:val="continue"/>
            <w:tcBorders>
              <w:tl2br w:val="nil"/>
              <w:tr2bl w:val="nil"/>
            </w:tcBorders>
            <w:vAlign w:val="center"/>
          </w:tcPr>
          <w:p>
            <w:pPr>
              <w:spacing w:line="240" w:lineRule="auto"/>
              <w:ind w:firstLine="360"/>
              <w:jc w:val="center"/>
              <w:rPr>
                <w:rFonts w:ascii="Times New Roman" w:hAnsi="Times New Roman" w:eastAsia="宋体" w:cs="Times New Roman"/>
                <w:sz w:val="18"/>
                <w:szCs w:val="18"/>
              </w:rPr>
            </w:pPr>
          </w:p>
        </w:tc>
        <w:tc>
          <w:tcPr>
            <w:tcW w:w="1440" w:type="dxa"/>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lang w:bidi="ar"/>
              </w:rPr>
              <w:t>地下水防治措施</w:t>
            </w:r>
          </w:p>
        </w:tc>
        <w:tc>
          <w:tcPr>
            <w:tcW w:w="7141" w:type="dxa"/>
            <w:tcBorders>
              <w:tl2br w:val="nil"/>
              <w:tr2bl w:val="nil"/>
            </w:tcBorders>
            <w:vAlign w:val="center"/>
          </w:tcPr>
          <w:p>
            <w:pPr>
              <w:pStyle w:val="16"/>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①重点防渗区：危废暂存间，危废间防风防雨，地面防腐防渗。</w:t>
            </w:r>
          </w:p>
          <w:p>
            <w:pPr>
              <w:pStyle w:val="16"/>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②一般防渗区：生产车间，生产车间地面防腐防渗。</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cs="Times New Roman"/>
                <w:sz w:val="18"/>
                <w:szCs w:val="18"/>
              </w:rPr>
              <w:t>③简单防渗区：地面硬化。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1368" w:type="dxa"/>
            <w:vMerge w:val="continue"/>
            <w:tcBorders>
              <w:tl2br w:val="nil"/>
              <w:tr2bl w:val="nil"/>
            </w:tcBorders>
            <w:vAlign w:val="center"/>
          </w:tcPr>
          <w:p>
            <w:pPr>
              <w:spacing w:line="240" w:lineRule="auto"/>
              <w:ind w:firstLine="360"/>
              <w:jc w:val="center"/>
              <w:rPr>
                <w:rFonts w:ascii="Times New Roman" w:hAnsi="Times New Roman" w:eastAsia="宋体" w:cs="Times New Roman"/>
                <w:sz w:val="18"/>
                <w:szCs w:val="18"/>
              </w:rPr>
            </w:pPr>
          </w:p>
        </w:tc>
        <w:tc>
          <w:tcPr>
            <w:tcW w:w="1440" w:type="dxa"/>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lang w:bidi="ar"/>
              </w:rPr>
              <w:t>固废治理措施</w:t>
            </w:r>
          </w:p>
        </w:tc>
        <w:tc>
          <w:tcPr>
            <w:tcW w:w="7141" w:type="dxa"/>
            <w:tcBorders>
              <w:tl2br w:val="nil"/>
              <w:tr2bl w:val="nil"/>
            </w:tcBorders>
            <w:vAlign w:val="center"/>
          </w:tcPr>
          <w:p>
            <w:pPr>
              <w:spacing w:line="240" w:lineRule="auto"/>
              <w:ind w:firstLine="0" w:firstLineChars="0"/>
              <w:jc w:val="left"/>
              <w:rPr>
                <w:rFonts w:ascii="Times New Roman" w:hAnsi="Times New Roman" w:cs="Times New Roman"/>
                <w:sz w:val="18"/>
                <w:szCs w:val="18"/>
              </w:rPr>
            </w:pPr>
            <w:r>
              <w:rPr>
                <w:rFonts w:ascii="Times New Roman" w:hAnsi="Times New Roman" w:cs="Times New Roman"/>
                <w:sz w:val="18"/>
                <w:szCs w:val="18"/>
              </w:rPr>
              <w:t>①一般固废暂存区：位于</w:t>
            </w:r>
            <w:r>
              <w:rPr>
                <w:rFonts w:hint="eastAsia" w:ascii="Times New Roman" w:hAnsi="Times New Roman" w:cs="Times New Roman"/>
                <w:sz w:val="18"/>
                <w:szCs w:val="18"/>
              </w:rPr>
              <w:t>车间内</w:t>
            </w:r>
            <w:r>
              <w:rPr>
                <w:rFonts w:ascii="Times New Roman" w:hAnsi="Times New Roman" w:cs="Times New Roman"/>
                <w:sz w:val="18"/>
                <w:szCs w:val="18"/>
              </w:rPr>
              <w:t>，用于废边角料、废包装材料等一般工业固废的厂内暂存，各类一般固废集中收集后委外回收利用处理；</w:t>
            </w:r>
          </w:p>
          <w:p>
            <w:pPr>
              <w:spacing w:line="240" w:lineRule="auto"/>
              <w:ind w:firstLine="0" w:firstLineChars="0"/>
              <w:jc w:val="left"/>
              <w:rPr>
                <w:rFonts w:ascii="Times New Roman" w:hAnsi="Times New Roman" w:cs="Times New Roman"/>
                <w:sz w:val="18"/>
                <w:szCs w:val="18"/>
              </w:rPr>
            </w:pPr>
            <w:r>
              <w:rPr>
                <w:rFonts w:ascii="Times New Roman" w:hAnsi="Times New Roman" w:cs="Times New Roman"/>
                <w:sz w:val="18"/>
                <w:szCs w:val="18"/>
              </w:rPr>
              <w:t>②危废暂存间：设置危废暂存间1间，用于废导热油等危险废物的安全暂存，定期委托有资质的单位收运处置；</w:t>
            </w:r>
          </w:p>
          <w:p>
            <w:pPr>
              <w:adjustRightInd w:val="0"/>
              <w:snapToGrid w:val="0"/>
              <w:spacing w:line="240" w:lineRule="auto"/>
              <w:ind w:firstLine="0" w:firstLineChars="0"/>
              <w:jc w:val="left"/>
              <w:rPr>
                <w:rFonts w:ascii="Times New Roman" w:hAnsi="Times New Roman" w:eastAsia="宋体" w:cs="Times New Roman"/>
                <w:sz w:val="18"/>
                <w:szCs w:val="18"/>
              </w:rPr>
            </w:pPr>
            <w:r>
              <w:rPr>
                <w:rFonts w:ascii="Times New Roman" w:hAnsi="Times New Roman" w:cs="Times New Roman"/>
                <w:sz w:val="18"/>
                <w:szCs w:val="18"/>
              </w:rPr>
              <w:t>③生活垃圾：厂内设置生活垃圾暂存点，委托环卫定期清运处置。</w:t>
            </w:r>
          </w:p>
        </w:tc>
      </w:tr>
    </w:tbl>
    <w:p>
      <w:pPr>
        <w:ind w:firstLine="480"/>
        <w:rPr>
          <w:rFonts w:ascii="Times New Roman" w:hAnsi="Times New Roman" w:eastAsia="宋体" w:cs="Times New Roman"/>
        </w:rPr>
      </w:pPr>
      <w:r>
        <w:rPr>
          <w:rFonts w:ascii="Times New Roman" w:hAnsi="Times New Roman" w:eastAsia="宋体" w:cs="Times New Roman"/>
        </w:rPr>
        <w:t>（2）生产设备</w:t>
      </w:r>
    </w:p>
    <w:p>
      <w:pPr>
        <w:ind w:firstLine="480"/>
        <w:jc w:val="left"/>
        <w:rPr>
          <w:rFonts w:ascii="Times New Roman" w:hAnsi="Times New Roman" w:eastAsia="宋体" w:cs="Times New Roman"/>
          <w:bCs/>
        </w:rPr>
      </w:pPr>
      <w:r>
        <w:rPr>
          <w:rFonts w:ascii="Times New Roman" w:hAnsi="Times New Roman" w:eastAsia="宋体" w:cs="Times New Roman"/>
        </w:rPr>
        <w:t>根据项目实际情况，生产设备汇总见表2.3-2</w:t>
      </w:r>
      <w:r>
        <w:rPr>
          <w:rFonts w:ascii="Times New Roman" w:hAnsi="Times New Roman" w:eastAsia="宋体" w:cs="Times New Roman"/>
          <w:bCs/>
        </w:rPr>
        <w:t>。</w:t>
      </w:r>
    </w:p>
    <w:p>
      <w:pPr>
        <w:pStyle w:val="2"/>
      </w:pPr>
    </w:p>
    <w:p>
      <w:pPr>
        <w:pStyle w:val="68"/>
        <w:spacing w:before="0" w:after="0" w:line="240" w:lineRule="auto"/>
        <w:ind w:right="-119" w:firstLine="422"/>
        <w:rPr>
          <w:rFonts w:hAnsi="Times New Roman" w:eastAsia="宋体"/>
          <w:color w:val="auto"/>
        </w:rPr>
      </w:pPr>
      <w:r>
        <w:rPr>
          <w:rFonts w:hAnsi="Times New Roman" w:eastAsia="宋体"/>
          <w:color w:val="auto"/>
        </w:rPr>
        <w:t>表2.3-2   现有工程生产主要生产设备一览表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656"/>
        <w:gridCol w:w="3206"/>
        <w:gridCol w:w="1199"/>
        <w:gridCol w:w="1795"/>
        <w:gridCol w:w="14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序号</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型号</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名称</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数量（台）</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单机功率（</w:t>
            </w:r>
            <w:r>
              <w:rPr>
                <w:rFonts w:hint="eastAsia" w:ascii="Times New Roman" w:hAnsi="Times New Roman" w:cs="Times New Roman"/>
                <w:color w:val="000000"/>
                <w:sz w:val="18"/>
                <w:szCs w:val="18"/>
              </w:rPr>
              <w:t>K</w:t>
            </w:r>
            <w:r>
              <w:rPr>
                <w:rFonts w:ascii="Times New Roman" w:hAnsi="Times New Roman" w:cs="Times New Roman"/>
                <w:color w:val="000000"/>
                <w:sz w:val="18"/>
                <w:szCs w:val="18"/>
              </w:rPr>
              <w:t>W）</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总功率（</w:t>
            </w:r>
            <w:r>
              <w:rPr>
                <w:rFonts w:hint="eastAsia" w:ascii="Times New Roman" w:hAnsi="Times New Roman" w:cs="Times New Roman"/>
                <w:color w:val="000000"/>
                <w:sz w:val="18"/>
                <w:szCs w:val="18"/>
              </w:rPr>
              <w:t>K</w:t>
            </w:r>
            <w:r>
              <w:rPr>
                <w:rFonts w:ascii="Times New Roman" w:hAnsi="Times New Roman" w:cs="Times New Roman"/>
                <w:color w:val="000000"/>
                <w:sz w:val="18"/>
                <w:szCs w:val="18"/>
              </w:rPr>
              <w:t>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W1001A</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人工喂棉称量机</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12</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W1051A</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混棉帘子开棉机</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AMP</w:t>
            </w:r>
            <w:r>
              <w:rPr>
                <w:rFonts w:ascii="Times New Roman" w:hAnsi="Times New Roman" w:cs="Times New Roman"/>
                <w:color w:val="000000"/>
                <w:sz w:val="18"/>
                <w:szCs w:val="18"/>
              </w:rPr>
              <w:cr/>
            </w:r>
            <w:r>
              <w:rPr>
                <w:rFonts w:ascii="Times New Roman" w:hAnsi="Times New Roman" w:cs="Times New Roman"/>
                <w:color w:val="000000"/>
                <w:sz w:val="18"/>
                <w:szCs w:val="18"/>
              </w:rPr>
              <w:t>000</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金属火</w:t>
            </w:r>
            <w:r>
              <w:rPr>
                <w:rFonts w:ascii="Times New Roman" w:hAnsi="Times New Roman" w:cs="Times New Roman"/>
                <w:color w:val="000000"/>
                <w:sz w:val="18"/>
                <w:szCs w:val="18"/>
              </w:rPr>
              <w:cr/>
            </w:r>
            <w:r>
              <w:rPr>
                <w:rFonts w:ascii="Times New Roman" w:hAnsi="Times New Roman" w:cs="Times New Roman"/>
                <w:color w:val="000000"/>
                <w:sz w:val="18"/>
                <w:szCs w:val="18"/>
              </w:rPr>
              <w:t>重杂物三合一探除器</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FA028C-160</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多仓混棉机（含风机）</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r>
              <w:rPr>
                <w:rFonts w:ascii="Times New Roman" w:hAnsi="Times New Roman" w:cs="Times New Roman"/>
                <w:color w:val="000000"/>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JWF1124A-160</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清棉机</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7</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TF34A</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吸铁装置</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ZFA053</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气纤分离器</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8</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9</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ZBG041A</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开棉机</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8</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TF27</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桥式吸铁</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11</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ZF9104-425</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输棉风机</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16</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5.5</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12</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TW53</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回花装置</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13</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单吸滤尘装置</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异型管道</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开清电气控制系统</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16</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W1062A</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气压棉箱喂棉机</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8</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17</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W1204-265</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梳理机</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8</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18</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WLFA</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输棉机</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0.5</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19</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W1573f-350(P)</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三辊筒式水刺机（含7个水刺头）</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水刺电气控制系统</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21</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TW17-350</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水针板清洗机</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22</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不锈钢滤网清洗机</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23</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W1935-150</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平流式气浮过滤机</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24</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W1941</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砂过滤机</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12</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W128</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单袋式过滤</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64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384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26</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W1923-10</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储水机</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27</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TWG001</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水循环管道</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28</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W1924C</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真空抽吸脱水机</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132</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528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29</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W1924C</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真空抽吸脱水机</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90</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360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W1925C</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真空抽吸脱水机</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45</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180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31</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轧车（250）</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0.5</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32</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TW66A</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球型蓄能器</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20</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33</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W1926</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高压供水站（2台国产、2台德国URACA）</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20</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34</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W2728-250</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圆网烘燥机（4）</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35</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ZW2825-250</w:t>
            </w: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自动卷绕机</w:t>
            </w: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vAlign w:val="center"/>
          </w:tcPr>
          <w:p>
            <w:pPr>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sz w:val="18"/>
                <w:szCs w:val="18"/>
              </w:rPr>
              <w:t>合计</w:t>
            </w:r>
          </w:p>
        </w:tc>
        <w:tc>
          <w:tcPr>
            <w:tcW w:w="1602" w:type="dxa"/>
            <w:vAlign w:val="center"/>
          </w:tcPr>
          <w:p>
            <w:pPr>
              <w:spacing w:line="240" w:lineRule="auto"/>
              <w:ind w:firstLine="0" w:firstLineChars="0"/>
              <w:jc w:val="center"/>
              <w:rPr>
                <w:rFonts w:ascii="Times New Roman" w:hAnsi="Times New Roman" w:cs="Times New Roman"/>
                <w:color w:val="000000"/>
                <w:sz w:val="18"/>
                <w:szCs w:val="18"/>
              </w:rPr>
            </w:pPr>
          </w:p>
        </w:tc>
        <w:tc>
          <w:tcPr>
            <w:tcW w:w="3102" w:type="dxa"/>
            <w:vAlign w:val="center"/>
          </w:tcPr>
          <w:p>
            <w:pPr>
              <w:spacing w:line="240" w:lineRule="auto"/>
              <w:ind w:firstLine="0" w:firstLineChars="0"/>
              <w:jc w:val="center"/>
              <w:rPr>
                <w:rFonts w:ascii="Times New Roman" w:hAnsi="Times New Roman" w:cs="Times New Roman"/>
                <w:color w:val="000000"/>
                <w:sz w:val="18"/>
                <w:szCs w:val="18"/>
              </w:rPr>
            </w:pPr>
          </w:p>
        </w:tc>
        <w:tc>
          <w:tcPr>
            <w:tcW w:w="1160"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284</w:t>
            </w:r>
          </w:p>
        </w:tc>
        <w:tc>
          <w:tcPr>
            <w:tcW w:w="1737" w:type="dxa"/>
            <w:vAlign w:val="center"/>
          </w:tcPr>
          <w:p>
            <w:pPr>
              <w:spacing w:line="240" w:lineRule="auto"/>
              <w:ind w:firstLine="0" w:firstLineChars="0"/>
              <w:jc w:val="center"/>
              <w:rPr>
                <w:rFonts w:ascii="Times New Roman" w:hAnsi="Times New Roman" w:cs="Times New Roman"/>
                <w:color w:val="000000"/>
                <w:sz w:val="18"/>
                <w:szCs w:val="18"/>
              </w:rPr>
            </w:pPr>
          </w:p>
        </w:tc>
        <w:tc>
          <w:tcPr>
            <w:tcW w:w="1392" w:type="dxa"/>
            <w:vAlign w:val="center"/>
          </w:tcPr>
          <w:p>
            <w:pPr>
              <w:spacing w:line="240" w:lineRule="auto"/>
              <w:ind w:firstLine="0" w:firstLineChars="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3072</w:t>
            </w:r>
          </w:p>
        </w:tc>
      </w:tr>
    </w:tbl>
    <w:p>
      <w:pPr>
        <w:ind w:firstLine="480"/>
        <w:jc w:val="left"/>
        <w:rPr>
          <w:rFonts w:ascii="Times New Roman" w:hAnsi="Times New Roman" w:eastAsia="宋体" w:cs="Times New Roman"/>
          <w:bCs/>
          <w:szCs w:val="24"/>
        </w:rPr>
      </w:pPr>
      <w:r>
        <w:rPr>
          <w:rFonts w:ascii="Times New Roman" w:hAnsi="Times New Roman" w:eastAsia="宋体" w:cs="Times New Roman"/>
          <w:bCs/>
          <w:szCs w:val="24"/>
        </w:rPr>
        <w:t>（3）原辅料消耗一览表</w:t>
      </w:r>
    </w:p>
    <w:p>
      <w:pPr>
        <w:ind w:firstLine="480"/>
        <w:jc w:val="left"/>
        <w:rPr>
          <w:rFonts w:ascii="Times New Roman" w:hAnsi="Times New Roman" w:eastAsia="宋体" w:cs="Times New Roman"/>
          <w:kern w:val="0"/>
          <w:sz w:val="21"/>
          <w:szCs w:val="21"/>
        </w:rPr>
      </w:pPr>
      <w:r>
        <w:rPr>
          <w:rFonts w:ascii="Times New Roman" w:hAnsi="Times New Roman" w:eastAsia="宋体" w:cs="Times New Roman"/>
          <w:szCs w:val="24"/>
        </w:rPr>
        <w:t>主要</w:t>
      </w:r>
      <w:r>
        <w:rPr>
          <w:rFonts w:ascii="Times New Roman" w:hAnsi="Times New Roman" w:eastAsia="宋体" w:cs="Times New Roman"/>
          <w:bCs/>
          <w:szCs w:val="24"/>
        </w:rPr>
        <w:t>原辅材料消耗情况见下表所示。</w:t>
      </w:r>
    </w:p>
    <w:p>
      <w:pPr>
        <w:pStyle w:val="14"/>
        <w:adjustRightInd/>
        <w:snapToGrid/>
        <w:spacing w:line="240" w:lineRule="auto"/>
        <w:ind w:firstLine="211"/>
        <w:rPr>
          <w:color w:val="auto"/>
          <w:kern w:val="0"/>
          <w:sz w:val="21"/>
          <w:szCs w:val="21"/>
        </w:rPr>
      </w:pPr>
      <w:r>
        <w:rPr>
          <w:color w:val="auto"/>
          <w:kern w:val="0"/>
          <w:sz w:val="21"/>
          <w:szCs w:val="21"/>
        </w:rPr>
        <w:t>表2.3-3  项目生产所用原辅材料情况一览表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820"/>
        <w:gridCol w:w="2620"/>
        <w:gridCol w:w="2620"/>
        <w:gridCol w:w="22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2" w:type="dxa"/>
            <w:tcBorders>
              <w:bottom w:val="single" w:color="auto" w:sz="12" w:space="0"/>
            </w:tcBorders>
            <w:vAlign w:val="center"/>
          </w:tcPr>
          <w:p>
            <w:pPr>
              <w:spacing w:line="240" w:lineRule="auto"/>
              <w:ind w:firstLine="0" w:firstLineChars="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序号</w:t>
            </w:r>
          </w:p>
        </w:tc>
        <w:tc>
          <w:tcPr>
            <w:tcW w:w="1820" w:type="dxa"/>
            <w:tcBorders>
              <w:bottom w:val="single" w:color="auto" w:sz="12" w:space="0"/>
            </w:tcBorders>
            <w:shd w:val="clear" w:color="auto" w:fill="auto"/>
            <w:vAlign w:val="center"/>
          </w:tcPr>
          <w:p>
            <w:pPr>
              <w:spacing w:line="240" w:lineRule="auto"/>
              <w:ind w:firstLine="0" w:firstLineChars="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名称</w:t>
            </w:r>
          </w:p>
        </w:tc>
        <w:tc>
          <w:tcPr>
            <w:tcW w:w="2620" w:type="dxa"/>
            <w:tcBorders>
              <w:bottom w:val="single" w:color="auto" w:sz="12" w:space="0"/>
            </w:tcBorders>
          </w:tcPr>
          <w:p>
            <w:pPr>
              <w:spacing w:line="240" w:lineRule="auto"/>
              <w:ind w:firstLine="0" w:firstLineChars="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单位</w:t>
            </w:r>
          </w:p>
        </w:tc>
        <w:tc>
          <w:tcPr>
            <w:tcW w:w="2620" w:type="dxa"/>
            <w:tcBorders>
              <w:bottom w:val="single" w:color="auto" w:sz="12" w:space="0"/>
            </w:tcBorders>
            <w:vAlign w:val="center"/>
          </w:tcPr>
          <w:p>
            <w:pPr>
              <w:spacing w:line="240" w:lineRule="auto"/>
              <w:ind w:firstLine="0" w:firstLineChars="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年使用量</w:t>
            </w:r>
          </w:p>
        </w:tc>
        <w:tc>
          <w:tcPr>
            <w:tcW w:w="2230" w:type="dxa"/>
            <w:tcBorders>
              <w:bottom w:val="single" w:color="auto" w:sz="12" w:space="0"/>
            </w:tcBorders>
            <w:shd w:val="clear" w:color="auto" w:fill="auto"/>
            <w:vAlign w:val="center"/>
          </w:tcPr>
          <w:p>
            <w:pPr>
              <w:spacing w:line="240" w:lineRule="auto"/>
              <w:ind w:firstLine="0" w:firstLineChars="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存放位置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dxa"/>
            <w:tcBorders>
              <w:top w:val="single" w:color="auto" w:sz="12" w:space="0"/>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820" w:type="dxa"/>
            <w:tcBorders>
              <w:top w:val="single" w:color="auto" w:sz="12" w:space="0"/>
              <w:tl2br w:val="nil"/>
              <w:tr2bl w:val="nil"/>
            </w:tcBorders>
            <w:shd w:val="clear" w:color="auto" w:fill="auto"/>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涤纶</w:t>
            </w:r>
          </w:p>
        </w:tc>
        <w:tc>
          <w:tcPr>
            <w:tcW w:w="2620" w:type="dxa"/>
            <w:tcBorders>
              <w:top w:val="single" w:color="auto" w:sz="12" w:space="0"/>
              <w:tl2br w:val="nil"/>
              <w:tr2bl w:val="nil"/>
            </w:tcBorders>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t/a</w:t>
            </w:r>
          </w:p>
        </w:tc>
        <w:tc>
          <w:tcPr>
            <w:tcW w:w="2620" w:type="dxa"/>
            <w:tcBorders>
              <w:top w:val="single" w:color="auto" w:sz="12" w:space="0"/>
              <w:tl2br w:val="nil"/>
              <w:tr2bl w:val="nil"/>
            </w:tcBorders>
            <w:vAlign w:val="center"/>
          </w:tcPr>
          <w:p>
            <w:pPr>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1200</w:t>
            </w:r>
          </w:p>
        </w:tc>
        <w:tc>
          <w:tcPr>
            <w:tcW w:w="2230" w:type="dxa"/>
            <w:vMerge w:val="restart"/>
            <w:tcBorders>
              <w:top w:val="single" w:color="auto" w:sz="12" w:space="0"/>
              <w:tl2br w:val="nil"/>
              <w:tr2bl w:val="nil"/>
            </w:tcBorders>
            <w:shd w:val="clear" w:color="auto" w:fill="auto"/>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原辅料仓</w:t>
            </w:r>
            <w:r>
              <w:rPr>
                <w:rFonts w:hint="eastAsia" w:ascii="Times New Roman" w:hAnsi="Times New Roman" w:eastAsia="宋体" w:cs="Times New Roman"/>
                <w:sz w:val="18"/>
                <w:szCs w:val="18"/>
              </w:rPr>
              <w:t>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2" w:type="dxa"/>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82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粘胶</w:t>
            </w:r>
          </w:p>
        </w:tc>
        <w:tc>
          <w:tcPr>
            <w:tcW w:w="2620" w:type="dxa"/>
            <w:tcBorders>
              <w:tl2br w:val="nil"/>
              <w:tr2bl w:val="nil"/>
            </w:tcBorders>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t/a</w:t>
            </w:r>
          </w:p>
        </w:tc>
        <w:tc>
          <w:tcPr>
            <w:tcW w:w="2620" w:type="dxa"/>
            <w:tcBorders>
              <w:tl2br w:val="nil"/>
              <w:tr2bl w:val="nil"/>
            </w:tcBorders>
            <w:vAlign w:val="center"/>
          </w:tcPr>
          <w:p>
            <w:pPr>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10800</w:t>
            </w:r>
          </w:p>
        </w:tc>
        <w:tc>
          <w:tcPr>
            <w:tcW w:w="2230" w:type="dxa"/>
            <w:vMerge w:val="continue"/>
            <w:tcBorders>
              <w:tl2br w:val="nil"/>
              <w:tr2bl w:val="nil"/>
            </w:tcBorders>
            <w:shd w:val="clear" w:color="auto" w:fill="auto"/>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2" w:type="dxa"/>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82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纸  管</w:t>
            </w:r>
          </w:p>
        </w:tc>
        <w:tc>
          <w:tcPr>
            <w:tcW w:w="2620" w:type="dxa"/>
            <w:tcBorders>
              <w:tl2br w:val="nil"/>
              <w:tr2bl w:val="nil"/>
            </w:tcBorders>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米</w:t>
            </w:r>
          </w:p>
        </w:tc>
        <w:tc>
          <w:tcPr>
            <w:tcW w:w="2620" w:type="dxa"/>
            <w:tcBorders>
              <w:tl2br w:val="nil"/>
              <w:tr2bl w:val="nil"/>
            </w:tcBorders>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50</w:t>
            </w:r>
            <w:r>
              <w:rPr>
                <w:rFonts w:ascii="Times New Roman" w:hAnsi="Times New Roman" w:cs="Times New Roman"/>
                <w:sz w:val="18"/>
                <w:szCs w:val="18"/>
              </w:rPr>
              <w:t>000</w:t>
            </w:r>
          </w:p>
        </w:tc>
        <w:tc>
          <w:tcPr>
            <w:tcW w:w="2230" w:type="dxa"/>
            <w:vMerge w:val="continue"/>
            <w:tcBorders>
              <w:tl2br w:val="nil"/>
              <w:tr2bl w:val="nil"/>
            </w:tcBorders>
            <w:shd w:val="clear" w:color="auto" w:fill="auto"/>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2" w:type="dxa"/>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82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薄  膜</w:t>
            </w:r>
          </w:p>
        </w:tc>
        <w:tc>
          <w:tcPr>
            <w:tcW w:w="2620" w:type="dxa"/>
            <w:tcBorders>
              <w:tl2br w:val="nil"/>
              <w:tr2bl w:val="nil"/>
            </w:tcBorders>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w:t>
            </w:r>
          </w:p>
        </w:tc>
        <w:tc>
          <w:tcPr>
            <w:tcW w:w="2620" w:type="dxa"/>
            <w:tcBorders>
              <w:tl2br w:val="nil"/>
              <w:tr2bl w:val="nil"/>
            </w:tcBorders>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3</w:t>
            </w:r>
            <w:r>
              <w:rPr>
                <w:rFonts w:hint="eastAsia" w:ascii="Times New Roman" w:hAnsi="Times New Roman" w:cs="Times New Roman"/>
                <w:sz w:val="18"/>
                <w:szCs w:val="18"/>
              </w:rPr>
              <w:t>5000</w:t>
            </w:r>
          </w:p>
        </w:tc>
        <w:tc>
          <w:tcPr>
            <w:tcW w:w="2230" w:type="dxa"/>
            <w:vMerge w:val="continue"/>
            <w:tcBorders>
              <w:tl2br w:val="nil"/>
              <w:tr2bl w:val="nil"/>
            </w:tcBorders>
            <w:shd w:val="clear" w:color="auto" w:fill="auto"/>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2" w:type="dxa"/>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182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 xml:space="preserve">纸  板 </w:t>
            </w:r>
          </w:p>
        </w:tc>
        <w:tc>
          <w:tcPr>
            <w:tcW w:w="2620" w:type="dxa"/>
            <w:tcBorders>
              <w:tl2br w:val="nil"/>
              <w:tr2bl w:val="nil"/>
            </w:tcBorders>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个</w:t>
            </w:r>
          </w:p>
        </w:tc>
        <w:tc>
          <w:tcPr>
            <w:tcW w:w="2620" w:type="dxa"/>
            <w:tcBorders>
              <w:tl2br w:val="nil"/>
              <w:tr2bl w:val="nil"/>
            </w:tcBorders>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4</w:t>
            </w:r>
            <w:r>
              <w:rPr>
                <w:rFonts w:hint="eastAsia" w:ascii="Times New Roman" w:hAnsi="Times New Roman" w:cs="Times New Roman"/>
                <w:sz w:val="18"/>
                <w:szCs w:val="18"/>
              </w:rPr>
              <w:t>60000</w:t>
            </w:r>
          </w:p>
        </w:tc>
        <w:tc>
          <w:tcPr>
            <w:tcW w:w="2230" w:type="dxa"/>
            <w:vMerge w:val="continue"/>
            <w:tcBorders>
              <w:tl2br w:val="nil"/>
              <w:tr2bl w:val="nil"/>
            </w:tcBorders>
            <w:shd w:val="clear" w:color="auto" w:fill="auto"/>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2" w:type="dxa"/>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182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编织袋</w:t>
            </w:r>
          </w:p>
        </w:tc>
        <w:tc>
          <w:tcPr>
            <w:tcW w:w="2620" w:type="dxa"/>
            <w:tcBorders>
              <w:tl2br w:val="nil"/>
              <w:tr2bl w:val="nil"/>
            </w:tcBorders>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w:t>
            </w:r>
          </w:p>
        </w:tc>
        <w:tc>
          <w:tcPr>
            <w:tcW w:w="2620" w:type="dxa"/>
            <w:tcBorders>
              <w:tl2br w:val="nil"/>
              <w:tr2bl w:val="nil"/>
            </w:tcBorders>
            <w:vAlign w:val="center"/>
          </w:tcPr>
          <w:p>
            <w:pPr>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100000</w:t>
            </w:r>
          </w:p>
        </w:tc>
        <w:tc>
          <w:tcPr>
            <w:tcW w:w="2230" w:type="dxa"/>
            <w:vMerge w:val="continue"/>
            <w:tcBorders>
              <w:tl2br w:val="nil"/>
              <w:tr2bl w:val="nil"/>
            </w:tcBorders>
            <w:shd w:val="clear" w:color="auto" w:fill="auto"/>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2" w:type="dxa"/>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182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拉伸膜</w:t>
            </w:r>
          </w:p>
        </w:tc>
        <w:tc>
          <w:tcPr>
            <w:tcW w:w="2620" w:type="dxa"/>
            <w:tcBorders>
              <w:tl2br w:val="nil"/>
              <w:tr2bl w:val="nil"/>
            </w:tcBorders>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w:t>
            </w:r>
          </w:p>
        </w:tc>
        <w:tc>
          <w:tcPr>
            <w:tcW w:w="2620" w:type="dxa"/>
            <w:tcBorders>
              <w:tl2br w:val="nil"/>
              <w:tr2bl w:val="nil"/>
            </w:tcBorders>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51200</w:t>
            </w:r>
          </w:p>
        </w:tc>
        <w:tc>
          <w:tcPr>
            <w:tcW w:w="2230" w:type="dxa"/>
            <w:vMerge w:val="continue"/>
            <w:tcBorders>
              <w:tl2br w:val="nil"/>
              <w:tr2bl w:val="nil"/>
            </w:tcBorders>
            <w:shd w:val="clear" w:color="auto" w:fill="auto"/>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2" w:type="dxa"/>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8</w:t>
            </w:r>
          </w:p>
        </w:tc>
        <w:tc>
          <w:tcPr>
            <w:tcW w:w="182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亲水剂</w:t>
            </w:r>
          </w:p>
        </w:tc>
        <w:tc>
          <w:tcPr>
            <w:tcW w:w="2620" w:type="dxa"/>
            <w:tcBorders>
              <w:tl2br w:val="nil"/>
              <w:tr2bl w:val="nil"/>
            </w:tcBorders>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w:t>
            </w:r>
          </w:p>
        </w:tc>
        <w:tc>
          <w:tcPr>
            <w:tcW w:w="2620" w:type="dxa"/>
            <w:tcBorders>
              <w:tl2br w:val="nil"/>
              <w:tr2bl w:val="nil"/>
            </w:tcBorders>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12640</w:t>
            </w:r>
          </w:p>
        </w:tc>
        <w:tc>
          <w:tcPr>
            <w:tcW w:w="2230" w:type="dxa"/>
            <w:vMerge w:val="continue"/>
            <w:tcBorders>
              <w:tl2br w:val="nil"/>
              <w:tr2bl w:val="nil"/>
            </w:tcBorders>
            <w:shd w:val="clear" w:color="auto" w:fill="auto"/>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2" w:type="dxa"/>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9</w:t>
            </w:r>
          </w:p>
        </w:tc>
        <w:tc>
          <w:tcPr>
            <w:tcW w:w="1820" w:type="dxa"/>
            <w:tcBorders>
              <w:tl2br w:val="nil"/>
              <w:tr2bl w:val="nil"/>
            </w:tcBorders>
            <w:shd w:val="clear" w:color="auto" w:fill="auto"/>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滤袋</w:t>
            </w:r>
          </w:p>
        </w:tc>
        <w:tc>
          <w:tcPr>
            <w:tcW w:w="2620" w:type="dxa"/>
            <w:tcBorders>
              <w:tl2br w:val="nil"/>
              <w:tr2bl w:val="nil"/>
            </w:tcBorders>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个</w:t>
            </w:r>
          </w:p>
        </w:tc>
        <w:tc>
          <w:tcPr>
            <w:tcW w:w="2620" w:type="dxa"/>
            <w:tcBorders>
              <w:tl2br w:val="nil"/>
              <w:tr2bl w:val="nil"/>
            </w:tcBorders>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13680</w:t>
            </w:r>
          </w:p>
        </w:tc>
        <w:tc>
          <w:tcPr>
            <w:tcW w:w="2230" w:type="dxa"/>
            <w:vMerge w:val="continue"/>
            <w:tcBorders>
              <w:tl2br w:val="nil"/>
              <w:tr2bl w:val="nil"/>
            </w:tcBorders>
            <w:shd w:val="clear" w:color="auto" w:fill="auto"/>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2" w:type="dxa"/>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10</w:t>
            </w:r>
          </w:p>
        </w:tc>
        <w:tc>
          <w:tcPr>
            <w:tcW w:w="1820" w:type="dxa"/>
            <w:tcBorders>
              <w:tl2br w:val="nil"/>
              <w:tr2bl w:val="nil"/>
            </w:tcBorders>
            <w:shd w:val="clear" w:color="auto" w:fill="auto"/>
            <w:vAlign w:val="center"/>
          </w:tcPr>
          <w:p>
            <w:pPr>
              <w:pStyle w:val="105"/>
              <w:spacing w:line="240" w:lineRule="auto"/>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油类物质</w:t>
            </w:r>
          </w:p>
        </w:tc>
        <w:tc>
          <w:tcPr>
            <w:tcW w:w="2620" w:type="dxa"/>
            <w:tcBorders>
              <w:tl2br w:val="nil"/>
              <w:tr2bl w:val="nil"/>
            </w:tcBorders>
          </w:tcPr>
          <w:p>
            <w:pPr>
              <w:pStyle w:val="105"/>
              <w:spacing w:line="240" w:lineRule="auto"/>
              <w:rPr>
                <w:rFonts w:ascii="Times New Roman" w:hAnsi="Times New Roman" w:eastAsia="宋体" w:cs="Times New Roman"/>
                <w:sz w:val="18"/>
                <w:szCs w:val="18"/>
              </w:rPr>
            </w:pPr>
            <w:r>
              <w:rPr>
                <w:rFonts w:ascii="Times New Roman" w:hAnsi="Times New Roman" w:cs="Times New Roman" w:eastAsiaTheme="minorEastAsia"/>
                <w:sz w:val="18"/>
                <w:szCs w:val="18"/>
              </w:rPr>
              <w:t>t/a</w:t>
            </w:r>
          </w:p>
        </w:tc>
        <w:tc>
          <w:tcPr>
            <w:tcW w:w="2620" w:type="dxa"/>
            <w:tcBorders>
              <w:tl2br w:val="nil"/>
              <w:tr2bl w:val="nil"/>
            </w:tcBorders>
            <w:vAlign w:val="center"/>
          </w:tcPr>
          <w:p>
            <w:pPr>
              <w:pStyle w:val="105"/>
              <w:spacing w:line="240" w:lineRule="auto"/>
              <w:rPr>
                <w:rFonts w:ascii="Times New Roman" w:hAnsi="Times New Roman" w:eastAsia="宋体" w:cs="Times New Roman"/>
                <w:sz w:val="18"/>
                <w:szCs w:val="18"/>
                <w:highlight w:val="yellow"/>
              </w:rPr>
            </w:pPr>
            <w:r>
              <w:rPr>
                <w:rFonts w:hint="eastAsia" w:ascii="Times New Roman" w:hAnsi="Times New Roman" w:eastAsia="宋体" w:cs="Times New Roman"/>
                <w:sz w:val="18"/>
                <w:szCs w:val="18"/>
              </w:rPr>
              <w:t>6</w:t>
            </w:r>
          </w:p>
        </w:tc>
        <w:tc>
          <w:tcPr>
            <w:tcW w:w="2230" w:type="dxa"/>
            <w:tcBorders>
              <w:tl2br w:val="nil"/>
              <w:tr2bl w:val="nil"/>
            </w:tcBorders>
            <w:shd w:val="clear" w:color="auto" w:fill="auto"/>
            <w:vAlign w:val="center"/>
          </w:tcPr>
          <w:p>
            <w:pPr>
              <w:spacing w:line="240" w:lineRule="auto"/>
              <w:ind w:firstLine="0" w:firstLineChars="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危化品间、危废间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2" w:type="dxa"/>
            <w:tcBorders>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11</w:t>
            </w:r>
          </w:p>
        </w:tc>
        <w:tc>
          <w:tcPr>
            <w:tcW w:w="1820" w:type="dxa"/>
            <w:tcBorders>
              <w:tl2br w:val="nil"/>
              <w:tr2bl w:val="nil"/>
            </w:tcBorders>
            <w:shd w:val="clear" w:color="auto" w:fill="auto"/>
            <w:vAlign w:val="center"/>
          </w:tcPr>
          <w:p>
            <w:pPr>
              <w:spacing w:line="240" w:lineRule="auto"/>
              <w:ind w:right="-120" w:rightChars="-50"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次氯酸钙</w:t>
            </w:r>
          </w:p>
        </w:tc>
        <w:tc>
          <w:tcPr>
            <w:tcW w:w="2620" w:type="dxa"/>
            <w:tcBorders>
              <w:tl2br w:val="nil"/>
              <w:tr2bl w:val="nil"/>
            </w:tcBorders>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rPr>
              <w:t>t/a</w:t>
            </w:r>
          </w:p>
        </w:tc>
        <w:tc>
          <w:tcPr>
            <w:tcW w:w="2620" w:type="dxa"/>
            <w:tcBorders>
              <w:tl2br w:val="nil"/>
              <w:tr2bl w:val="nil"/>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1</w:t>
            </w:r>
          </w:p>
        </w:tc>
        <w:tc>
          <w:tcPr>
            <w:tcW w:w="2230" w:type="dxa"/>
            <w:tcBorders>
              <w:tl2br w:val="nil"/>
              <w:tr2bl w:val="nil"/>
            </w:tcBorders>
            <w:shd w:val="clear" w:color="auto" w:fill="auto"/>
            <w:vAlign w:val="center"/>
          </w:tcPr>
          <w:p>
            <w:pPr>
              <w:spacing w:line="240" w:lineRule="auto"/>
              <w:ind w:firstLine="0" w:firstLineChars="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危化品间</w:t>
            </w:r>
          </w:p>
        </w:tc>
      </w:tr>
    </w:tbl>
    <w:p>
      <w:pPr>
        <w:ind w:firstLine="480"/>
        <w:jc w:val="left"/>
        <w:rPr>
          <w:rFonts w:ascii="Times New Roman" w:hAnsi="Times New Roman" w:eastAsia="宋体" w:cs="Times New Roman"/>
          <w:bCs/>
          <w:szCs w:val="24"/>
        </w:rPr>
      </w:pPr>
      <w:r>
        <w:rPr>
          <w:rFonts w:ascii="Times New Roman" w:hAnsi="Times New Roman" w:eastAsia="宋体" w:cs="Times New Roman"/>
          <w:bCs/>
          <w:szCs w:val="24"/>
        </w:rPr>
        <w:t>（4）产品方案</w:t>
      </w:r>
    </w:p>
    <w:p>
      <w:pPr>
        <w:ind w:firstLine="480"/>
        <w:rPr>
          <w:rFonts w:ascii="Times New Roman" w:hAnsi="Times New Roman" w:eastAsia="宋体" w:cs="Times New Roman"/>
          <w:kern w:val="0"/>
          <w:sz w:val="21"/>
          <w:szCs w:val="21"/>
        </w:rPr>
      </w:pPr>
      <w:r>
        <w:rPr>
          <w:rFonts w:ascii="Times New Roman" w:hAnsi="Times New Roman" w:eastAsia="宋体" w:cs="Times New Roman"/>
          <w:bCs/>
          <w:snapToGrid w:val="0"/>
          <w:kern w:val="0"/>
          <w:szCs w:val="20"/>
        </w:rPr>
        <w:t>项目产品</w:t>
      </w:r>
      <w:r>
        <w:rPr>
          <w:rFonts w:ascii="Times New Roman" w:hAnsi="Times New Roman" w:eastAsia="宋体" w:cs="Times New Roman"/>
          <w:kern w:val="0"/>
          <w:szCs w:val="24"/>
        </w:rPr>
        <w:t>详见表2.3-4。</w:t>
      </w:r>
    </w:p>
    <w:p>
      <w:pPr>
        <w:pStyle w:val="14"/>
        <w:adjustRightInd/>
        <w:snapToGrid/>
        <w:spacing w:line="240" w:lineRule="auto"/>
        <w:ind w:firstLine="211"/>
        <w:rPr>
          <w:color w:val="auto"/>
          <w:kern w:val="0"/>
          <w:sz w:val="21"/>
          <w:szCs w:val="21"/>
        </w:rPr>
      </w:pPr>
      <w:r>
        <w:rPr>
          <w:color w:val="auto"/>
          <w:kern w:val="0"/>
          <w:sz w:val="21"/>
          <w:szCs w:val="21"/>
        </w:rPr>
        <w:t>表2.3-4  项目主要产品方案</w:t>
      </w:r>
    </w:p>
    <w:tbl>
      <w:tblPr>
        <w:tblStyle w:val="36"/>
        <w:tblW w:w="99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88"/>
        <w:gridCol w:w="61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788" w:type="dxa"/>
            <w:tcBorders>
              <w:top w:val="single" w:color="auto" w:sz="12" w:space="0"/>
              <w:bottom w:val="single" w:color="auto" w:sz="12" w:space="0"/>
            </w:tcBorders>
            <w:vAlign w:val="center"/>
          </w:tcPr>
          <w:p>
            <w:pPr>
              <w:spacing w:line="0" w:lineRule="atLeast"/>
              <w:ind w:firstLine="0" w:firstLineChars="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产品名称</w:t>
            </w:r>
          </w:p>
        </w:tc>
        <w:tc>
          <w:tcPr>
            <w:tcW w:w="6149" w:type="dxa"/>
            <w:tcBorders>
              <w:top w:val="single" w:color="auto" w:sz="12" w:space="0"/>
              <w:bottom w:val="single" w:color="auto" w:sz="12" w:space="0"/>
            </w:tcBorders>
            <w:vAlign w:val="center"/>
          </w:tcPr>
          <w:p>
            <w:pPr>
              <w:spacing w:line="0" w:lineRule="atLeast"/>
              <w:ind w:firstLine="0" w:firstLineChars="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实际产能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788" w:type="dxa"/>
            <w:tcBorders>
              <w:top w:val="single" w:color="auto" w:sz="12" w:space="0"/>
              <w:bottom w:val="single" w:color="auto" w:sz="12" w:space="0"/>
            </w:tcBorders>
            <w:vAlign w:val="center"/>
          </w:tcPr>
          <w:p>
            <w:pPr>
              <w:widowControl/>
              <w:snapToGrid w:val="0"/>
              <w:ind w:firstLine="360"/>
              <w:jc w:val="center"/>
              <w:rPr>
                <w:rFonts w:ascii="Times New Roman" w:hAnsi="Times New Roman" w:eastAsia="宋体" w:cs="Times New Roman"/>
                <w:sz w:val="18"/>
                <w:szCs w:val="18"/>
              </w:rPr>
            </w:pPr>
            <w:r>
              <w:rPr>
                <w:rFonts w:hint="eastAsia" w:ascii="Times New Roman" w:hAnsi="Times New Roman" w:cs="Times New Roman"/>
                <w:sz w:val="18"/>
                <w:szCs w:val="18"/>
              </w:rPr>
              <w:t>水刺无纺布</w:t>
            </w:r>
          </w:p>
        </w:tc>
        <w:tc>
          <w:tcPr>
            <w:tcW w:w="6149" w:type="dxa"/>
            <w:tcBorders>
              <w:top w:val="single" w:color="auto" w:sz="12" w:space="0"/>
              <w:bottom w:val="single" w:color="auto" w:sz="12" w:space="0"/>
            </w:tcBorders>
            <w:vAlign w:val="center"/>
          </w:tcPr>
          <w:p>
            <w:pPr>
              <w:widowControl/>
              <w:snapToGrid w:val="0"/>
              <w:spacing w:line="240" w:lineRule="auto"/>
              <w:ind w:firstLine="360"/>
              <w:jc w:val="center"/>
              <w:rPr>
                <w:rFonts w:ascii="Times New Roman" w:hAnsi="Times New Roman" w:eastAsia="宋体" w:cs="Times New Roman"/>
                <w:kern w:val="0"/>
                <w:sz w:val="18"/>
                <w:szCs w:val="18"/>
              </w:rPr>
            </w:pPr>
            <w:r>
              <w:rPr>
                <w:rFonts w:hint="eastAsia" w:ascii="Times New Roman" w:hAnsi="Times New Roman" w:cs="Times New Roman"/>
                <w:sz w:val="18"/>
                <w:szCs w:val="18"/>
              </w:rPr>
              <w:t>23000吨</w:t>
            </w:r>
            <w:r>
              <w:rPr>
                <w:rFonts w:ascii="Times New Roman" w:hAnsi="Times New Roman" w:cs="Times New Roman"/>
                <w:sz w:val="18"/>
                <w:szCs w:val="18"/>
              </w:rPr>
              <w:t>/年（一期</w:t>
            </w:r>
            <w:r>
              <w:rPr>
                <w:rFonts w:hint="eastAsia" w:ascii="Times New Roman" w:hAnsi="Times New Roman" w:cs="Times New Roman"/>
                <w:sz w:val="18"/>
                <w:szCs w:val="18"/>
              </w:rPr>
              <w:t>7000吨，二期16000吨</w:t>
            </w:r>
            <w:r>
              <w:rPr>
                <w:rFonts w:ascii="Times New Roman" w:hAnsi="Times New Roman" w:cs="Times New Roman"/>
                <w:sz w:val="18"/>
                <w:szCs w:val="18"/>
              </w:rPr>
              <w:t>）</w:t>
            </w:r>
          </w:p>
        </w:tc>
      </w:tr>
    </w:tbl>
    <w:p>
      <w:pPr>
        <w:ind w:firstLine="480"/>
        <w:rPr>
          <w:rFonts w:ascii="Times New Roman" w:hAnsi="Times New Roman" w:eastAsia="宋体" w:cs="Times New Roman"/>
          <w:bCs/>
        </w:rPr>
      </w:pPr>
      <w:r>
        <w:rPr>
          <w:rFonts w:ascii="Times New Roman" w:hAnsi="Times New Roman" w:eastAsia="宋体" w:cs="Times New Roman"/>
          <w:bCs/>
        </w:rPr>
        <w:t>（5）平面布置</w:t>
      </w:r>
    </w:p>
    <w:p>
      <w:pPr>
        <w:ind w:firstLine="480"/>
        <w:rPr>
          <w:rFonts w:ascii="Times New Roman" w:hAnsi="Times New Roman" w:cs="Times New Roman"/>
          <w:bCs/>
        </w:rPr>
      </w:pPr>
      <w:r>
        <w:rPr>
          <w:rFonts w:ascii="Times New Roman" w:hAnsi="Times New Roman" w:cs="Times New Roman"/>
          <w:bCs/>
        </w:rPr>
        <w:t>本项目厂区大门位于南侧，邻G</w:t>
      </w:r>
      <w:r>
        <w:rPr>
          <w:rFonts w:hint="eastAsia" w:ascii="Times New Roman" w:hAnsi="Times New Roman" w:cs="Times New Roman"/>
          <w:bCs/>
        </w:rPr>
        <w:t>351国道，交通运输便利。厂区为不规则多边形，从东至西排列为3#线-4#线车间、1#线-2#线车间，污水处理站位于西北角，综合楼位于南侧中部</w:t>
      </w:r>
      <w:r>
        <w:rPr>
          <w:rFonts w:ascii="Times New Roman" w:hAnsi="Times New Roman" w:cs="Times New Roman"/>
          <w:bCs/>
        </w:rPr>
        <w:t>，本项目满足生产安全、消防要求，物流通畅。</w:t>
      </w:r>
    </w:p>
    <w:p>
      <w:pPr>
        <w:snapToGrid w:val="0"/>
        <w:ind w:left="-120" w:leftChars="-50" w:right="-120" w:rightChars="-50" w:firstLine="480"/>
        <w:rPr>
          <w:rFonts w:ascii="Times New Roman" w:hAnsi="Times New Roman" w:eastAsia="宋体" w:cs="Times New Roman"/>
          <w:szCs w:val="24"/>
        </w:rPr>
      </w:pPr>
      <w:r>
        <w:rPr>
          <w:rFonts w:ascii="Times New Roman" w:hAnsi="Times New Roman" w:cs="Times New Roman"/>
          <w:snapToGrid w:val="0"/>
          <w:lang w:bidi="ar"/>
        </w:rPr>
        <w:t>为减少对环境的影响，净化空气，美化厂区。厂区四周已沿道路栽种常绿低矮灌木，并结合当地情况选取合适的花草，将可利用空地绿化处理。</w:t>
      </w:r>
    </w:p>
    <w:p>
      <w:pPr>
        <w:ind w:firstLine="480"/>
        <w:rPr>
          <w:rFonts w:ascii="Times New Roman" w:hAnsi="Times New Roman" w:eastAsia="宋体" w:cs="Times New Roman"/>
        </w:rPr>
      </w:pPr>
      <w:r>
        <w:rPr>
          <w:rFonts w:ascii="Times New Roman" w:hAnsi="Times New Roman" w:eastAsia="宋体" w:cs="Times New Roman"/>
        </w:rPr>
        <w:t>本项目厂区总平面布置详见附图2。</w:t>
      </w:r>
    </w:p>
    <w:p>
      <w:pPr>
        <w:pStyle w:val="8"/>
        <w:spacing w:before="180" w:after="180"/>
        <w:rPr>
          <w:rFonts w:eastAsia="宋体" w:cs="Times New Roman"/>
          <w:sz w:val="28"/>
          <w:szCs w:val="28"/>
        </w:rPr>
      </w:pPr>
      <w:bookmarkStart w:id="179" w:name="_Toc25372"/>
      <w:bookmarkStart w:id="180" w:name="_Toc510164031"/>
      <w:bookmarkStart w:id="181" w:name="_Toc529542549"/>
      <w:bookmarkStart w:id="182" w:name="_Toc523160299"/>
      <w:bookmarkStart w:id="183" w:name="_Toc132468757"/>
      <w:bookmarkStart w:id="184" w:name="_Toc509234757"/>
      <w:bookmarkStart w:id="185" w:name="_Toc27496"/>
      <w:r>
        <w:rPr>
          <w:rFonts w:eastAsia="宋体" w:cs="Times New Roman"/>
          <w:sz w:val="28"/>
          <w:szCs w:val="28"/>
        </w:rPr>
        <w:t>2.3.3生产工艺流程</w:t>
      </w:r>
      <w:bookmarkEnd w:id="179"/>
      <w:bookmarkEnd w:id="180"/>
      <w:bookmarkEnd w:id="181"/>
      <w:bookmarkEnd w:id="182"/>
      <w:bookmarkEnd w:id="183"/>
      <w:bookmarkEnd w:id="184"/>
      <w:bookmarkEnd w:id="185"/>
    </w:p>
    <w:p>
      <w:pPr>
        <w:pStyle w:val="62"/>
        <w:ind w:firstLine="0" w:firstLineChars="0"/>
        <w:jc w:val="center"/>
        <w:rPr>
          <w:rFonts w:ascii="Times New Roman" w:hAnsi="Times New Roman" w:cs="Times New Roman"/>
          <w:szCs w:val="24"/>
        </w:rPr>
      </w:pPr>
      <w:bookmarkStart w:id="186" w:name="_Toc508808902"/>
      <w:bookmarkStart w:id="187" w:name="_Toc523406489"/>
      <w:bookmarkStart w:id="188" w:name="_Toc17100"/>
      <w:bookmarkStart w:id="189" w:name="_Toc508204793"/>
      <w:r>
        <w:drawing>
          <wp:inline distT="0" distB="0" distL="0" distR="0">
            <wp:extent cx="5486400" cy="23780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5486400" cy="2378075"/>
                    </a:xfrm>
                    <a:prstGeom prst="rect">
                      <a:avLst/>
                    </a:prstGeom>
                  </pic:spPr>
                </pic:pic>
              </a:graphicData>
            </a:graphic>
          </wp:inline>
        </w:drawing>
      </w:r>
    </w:p>
    <w:p>
      <w:pPr>
        <w:ind w:firstLine="482"/>
        <w:jc w:val="center"/>
        <w:rPr>
          <w:rFonts w:ascii="Times New Roman" w:hAnsi="Times New Roman" w:cs="Times New Roman"/>
          <w:b/>
        </w:rPr>
      </w:pPr>
      <w:r>
        <w:rPr>
          <w:rFonts w:ascii="Times New Roman" w:hAnsi="Times New Roman" w:cs="Times New Roman"/>
          <w:b/>
          <w:bCs/>
          <w:szCs w:val="24"/>
        </w:rPr>
        <w:t xml:space="preserve">图2.3-2 </w:t>
      </w:r>
      <w:r>
        <w:rPr>
          <w:rFonts w:ascii="Times New Roman" w:hAnsi="Times New Roman" w:cs="Times New Roman"/>
          <w:b/>
        </w:rPr>
        <w:t xml:space="preserve"> 生产工艺流程及产污环节示意图</w:t>
      </w:r>
    </w:p>
    <w:p>
      <w:pPr>
        <w:ind w:firstLine="482"/>
        <w:rPr>
          <w:rFonts w:ascii="Times New Roman" w:hAnsi="Times New Roman" w:eastAsia="宋体" w:cs="Times New Roman"/>
          <w:b/>
          <w:bCs/>
          <w:szCs w:val="24"/>
        </w:rPr>
      </w:pPr>
      <w:r>
        <w:rPr>
          <w:rFonts w:ascii="Times New Roman" w:hAnsi="Times New Roman" w:eastAsia="宋体" w:cs="Times New Roman"/>
          <w:b/>
          <w:bCs/>
          <w:szCs w:val="24"/>
        </w:rPr>
        <w:t>生产工艺环节及产污说明：</w:t>
      </w:r>
    </w:p>
    <w:p>
      <w:pPr>
        <w:ind w:firstLine="480"/>
        <w:rPr>
          <w:rFonts w:ascii="Times New Roman" w:hAnsi="Times New Roman" w:cs="Times New Roman"/>
        </w:rPr>
      </w:pPr>
      <w:bookmarkStart w:id="190" w:name="_Toc9193"/>
      <w:r>
        <w:rPr>
          <w:rFonts w:hint="eastAsia" w:ascii="Times New Roman" w:hAnsi="Times New Roman" w:cs="Times New Roman"/>
        </w:rPr>
        <w:t>1.预湿</w:t>
      </w:r>
    </w:p>
    <w:p>
      <w:pPr>
        <w:ind w:firstLine="480"/>
        <w:rPr>
          <w:rFonts w:ascii="Times New Roman" w:hAnsi="Times New Roman" w:cs="Times New Roman"/>
        </w:rPr>
      </w:pPr>
      <w:r>
        <w:rPr>
          <w:rFonts w:hint="eastAsia" w:ascii="Times New Roman" w:hAnsi="Times New Roman" w:cs="Times New Roman"/>
        </w:rPr>
        <w:t>经成形的纤网送入水刺机加固，首先是预加湿处理。</w:t>
      </w:r>
    </w:p>
    <w:p>
      <w:pPr>
        <w:ind w:firstLine="480"/>
        <w:rPr>
          <w:rFonts w:ascii="Times New Roman" w:hAnsi="Times New Roman" w:cs="Times New Roman"/>
        </w:rPr>
      </w:pPr>
      <w:r>
        <w:rPr>
          <w:rFonts w:hint="eastAsia" w:ascii="Times New Roman" w:hAnsi="Times New Roman" w:cs="Times New Roman"/>
        </w:rPr>
        <w:t>预湿的目的是压实蓬松的纤网，排除纤网中的空气，使纤网进入水刺区后能有效地吸收水射流的能量，以加强纤维缠结效果。</w:t>
      </w:r>
    </w:p>
    <w:p>
      <w:pPr>
        <w:ind w:firstLine="480"/>
        <w:rPr>
          <w:rFonts w:ascii="Times New Roman" w:hAnsi="Times New Roman" w:cs="Times New Roman"/>
        </w:rPr>
      </w:pPr>
      <w:r>
        <w:rPr>
          <w:rFonts w:hint="eastAsia" w:ascii="Times New Roman" w:hAnsi="Times New Roman" w:cs="Times New Roman"/>
        </w:rPr>
        <w:t xml:space="preserve">2.水刺 </w:t>
      </w:r>
    </w:p>
    <w:p>
      <w:pPr>
        <w:ind w:firstLine="480"/>
        <w:rPr>
          <w:rFonts w:ascii="Times New Roman" w:hAnsi="Times New Roman" w:cs="Times New Roman"/>
        </w:rPr>
      </w:pPr>
      <w:r>
        <w:rPr>
          <w:rFonts w:hint="eastAsia" w:ascii="Times New Roman" w:hAnsi="Times New Roman" w:cs="Times New Roman"/>
        </w:rPr>
        <w:t>经预湿的纤网进入水刺区，水刺头喷水板的喷水孔喷射出多股微细水射流，垂直射向纤网。水射流使纤网中一部分表层纤维发生位移，包括向纤网反面的垂直运动，当水射流穿透纤网后，受到托网帘或转鼓的反弹作用，以不同的方位散射到纤网的反面。在水射流直接冲击和反弹水流的双重作用下，纤网中的纤维发生位移、穿插、缠结、抱合 ，形成无数个柔性缠结点，从而使纤网得到加固。</w:t>
      </w:r>
    </w:p>
    <w:p>
      <w:pPr>
        <w:ind w:firstLine="480"/>
        <w:rPr>
          <w:rFonts w:ascii="Times New Roman" w:hAnsi="Times New Roman" w:cs="Times New Roman"/>
        </w:rPr>
      </w:pPr>
      <w:r>
        <w:rPr>
          <w:rFonts w:hint="eastAsia" w:ascii="Times New Roman" w:hAnsi="Times New Roman" w:cs="Times New Roman"/>
        </w:rPr>
        <w:t>水射流对纤网垂直喷射可防止破坏纤网结构，并最大程度地利用水射流的能量，从而有利于提高水刺法非织造材料的性能。</w:t>
      </w:r>
    </w:p>
    <w:p>
      <w:pPr>
        <w:ind w:firstLine="480"/>
        <w:rPr>
          <w:rFonts w:ascii="Times New Roman" w:hAnsi="Times New Roman" w:cs="Times New Roman"/>
        </w:rPr>
      </w:pPr>
      <w:r>
        <w:rPr>
          <w:rFonts w:hint="eastAsia" w:ascii="Times New Roman" w:hAnsi="Times New Roman" w:cs="Times New Roman"/>
        </w:rPr>
        <w:t>3.脱水</w:t>
      </w:r>
    </w:p>
    <w:p>
      <w:pPr>
        <w:ind w:firstLine="480"/>
        <w:rPr>
          <w:rFonts w:ascii="Times New Roman" w:hAnsi="Times New Roman" w:cs="Times New Roman"/>
        </w:rPr>
      </w:pPr>
      <w:r>
        <w:rPr>
          <w:rFonts w:hint="eastAsia" w:ascii="Times New Roman" w:hAnsi="Times New Roman" w:cs="Times New Roman"/>
        </w:rPr>
        <w:t>脱水的目的是及时除去纤网中的滞留水，以免影响下道水刺时的缠结效果。当纤网中滞留水量较多时，将引起水射流能量的分散，不利于纤维缠结。水刺工序结束后将纤网中水分降至最低，有利于降低烘燥能耗。</w:t>
      </w:r>
    </w:p>
    <w:p>
      <w:pPr>
        <w:ind w:firstLine="480"/>
        <w:rPr>
          <w:rFonts w:ascii="Times New Roman" w:hAnsi="Times New Roman" w:cs="Times New Roman"/>
        </w:rPr>
      </w:pPr>
      <w:r>
        <w:rPr>
          <w:rFonts w:hint="eastAsia" w:ascii="Times New Roman" w:hAnsi="Times New Roman" w:cs="Times New Roman"/>
        </w:rPr>
        <w:t>4.水处理和循环</w:t>
      </w:r>
    </w:p>
    <w:p>
      <w:pPr>
        <w:ind w:firstLine="480"/>
        <w:rPr>
          <w:rFonts w:ascii="Times New Roman" w:hAnsi="Times New Roman" w:cs="Times New Roman"/>
          <w:b/>
          <w:bCs/>
          <w:szCs w:val="24"/>
        </w:rPr>
      </w:pPr>
      <w:r>
        <w:rPr>
          <w:rFonts w:hint="eastAsia" w:ascii="Times New Roman" w:hAnsi="Times New Roman" w:cs="Times New Roman"/>
        </w:rPr>
        <w:t>水刺非织造生产工艺的用水量很大，每小时需用水约150m</w:t>
      </w:r>
      <w:r>
        <w:rPr>
          <w:rFonts w:hint="eastAsia" w:ascii="Times New Roman" w:hAnsi="Times New Roman" w:cs="Times New Roman"/>
          <w:vertAlign w:val="superscript"/>
        </w:rPr>
        <w:t>3</w:t>
      </w:r>
      <w:r>
        <w:rPr>
          <w:rFonts w:hint="eastAsia" w:ascii="Times New Roman" w:hAnsi="Times New Roman" w:cs="Times New Roman"/>
        </w:rPr>
        <w:t>-160m</w:t>
      </w:r>
      <w:r>
        <w:rPr>
          <w:rFonts w:hint="eastAsia" w:ascii="Times New Roman" w:hAnsi="Times New Roman" w:cs="Times New Roman"/>
          <w:vertAlign w:val="superscript"/>
        </w:rPr>
        <w:t>3</w:t>
      </w:r>
      <w:r>
        <w:rPr>
          <w:rFonts w:hint="eastAsia" w:ascii="Times New Roman" w:hAnsi="Times New Roman" w:cs="Times New Roman"/>
        </w:rPr>
        <w:t>。为节约用水，减少生产成本，必须将其中约95%左右的水经过水处理后循环使用。</w:t>
      </w:r>
    </w:p>
    <w:bookmarkEnd w:id="190"/>
    <w:p>
      <w:pPr>
        <w:pStyle w:val="8"/>
        <w:spacing w:before="180" w:after="180"/>
        <w:rPr>
          <w:rFonts w:eastAsia="宋体" w:cs="Times New Roman"/>
          <w:sz w:val="28"/>
          <w:szCs w:val="28"/>
        </w:rPr>
      </w:pPr>
      <w:bookmarkStart w:id="191" w:name="_Toc132468758"/>
      <w:bookmarkStart w:id="192" w:name="_Toc22968"/>
      <w:r>
        <w:rPr>
          <w:rFonts w:eastAsia="宋体" w:cs="Times New Roman"/>
          <w:sz w:val="28"/>
          <w:szCs w:val="28"/>
        </w:rPr>
        <w:t>2.3.4产污节点汇总</w:t>
      </w:r>
      <w:bookmarkEnd w:id="191"/>
      <w:bookmarkEnd w:id="192"/>
    </w:p>
    <w:p>
      <w:pPr>
        <w:pStyle w:val="16"/>
        <w:spacing w:line="240" w:lineRule="auto"/>
        <w:ind w:firstLine="422"/>
        <w:jc w:val="center"/>
        <w:rPr>
          <w:rFonts w:ascii="Times New Roman" w:hAnsi="Times New Roman" w:eastAsia="宋体" w:cs="Times New Roman"/>
          <w:b/>
          <w:sz w:val="21"/>
          <w:szCs w:val="21"/>
        </w:rPr>
      </w:pPr>
      <w:r>
        <w:rPr>
          <w:rFonts w:ascii="Times New Roman" w:hAnsi="Times New Roman" w:eastAsia="宋体" w:cs="Times New Roman"/>
          <w:b/>
          <w:sz w:val="21"/>
          <w:szCs w:val="21"/>
        </w:rPr>
        <w:t>2.3-6  项目生产主要工艺流程产污表</w:t>
      </w:r>
    </w:p>
    <w:tbl>
      <w:tblPr>
        <w:tblStyle w:val="36"/>
        <w:tblW w:w="1010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861"/>
        <w:gridCol w:w="782"/>
        <w:gridCol w:w="1470"/>
        <w:gridCol w:w="1830"/>
        <w:gridCol w:w="2103"/>
        <w:gridCol w:w="3054"/>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861" w:type="dxa"/>
            <w:tcBorders>
              <w:bottom w:val="single" w:color="auto" w:sz="12" w:space="0"/>
            </w:tcBorders>
            <w:vAlign w:val="center"/>
          </w:tcPr>
          <w:p>
            <w:pPr>
              <w:spacing w:line="0" w:lineRule="atLeast"/>
              <w:ind w:firstLine="0" w:firstLineChars="0"/>
              <w:jc w:val="center"/>
              <w:rPr>
                <w:rFonts w:ascii="Times New Roman" w:hAnsi="Times New Roman" w:cs="Times New Roman"/>
                <w:b/>
                <w:bCs/>
                <w:sz w:val="18"/>
                <w:szCs w:val="18"/>
              </w:rPr>
            </w:pPr>
            <w:r>
              <w:rPr>
                <w:rFonts w:ascii="Times New Roman" w:hAnsi="Times New Roman" w:cs="Times New Roman"/>
                <w:b/>
                <w:bCs/>
                <w:sz w:val="18"/>
                <w:szCs w:val="18"/>
              </w:rPr>
              <w:t>污染源种类</w:t>
            </w:r>
          </w:p>
        </w:tc>
        <w:tc>
          <w:tcPr>
            <w:tcW w:w="782" w:type="dxa"/>
            <w:tcBorders>
              <w:bottom w:val="single" w:color="auto" w:sz="12" w:space="0"/>
            </w:tcBorders>
            <w:vAlign w:val="center"/>
          </w:tcPr>
          <w:p>
            <w:pPr>
              <w:spacing w:line="0" w:lineRule="atLeast"/>
              <w:ind w:firstLine="0" w:firstLineChars="0"/>
              <w:jc w:val="center"/>
              <w:rPr>
                <w:rFonts w:ascii="Times New Roman" w:hAnsi="Times New Roman" w:cs="Times New Roman"/>
                <w:b/>
                <w:bCs/>
                <w:sz w:val="18"/>
                <w:szCs w:val="18"/>
              </w:rPr>
            </w:pPr>
            <w:r>
              <w:rPr>
                <w:rFonts w:ascii="Times New Roman" w:hAnsi="Times New Roman" w:cs="Times New Roman"/>
                <w:b/>
                <w:bCs/>
                <w:sz w:val="18"/>
                <w:szCs w:val="18"/>
              </w:rPr>
              <w:t>污染物</w:t>
            </w:r>
          </w:p>
          <w:p>
            <w:pPr>
              <w:spacing w:line="0" w:lineRule="atLeast"/>
              <w:ind w:firstLine="0" w:firstLineChars="0"/>
              <w:jc w:val="center"/>
              <w:rPr>
                <w:rFonts w:ascii="Times New Roman" w:hAnsi="Times New Roman" w:cs="Times New Roman"/>
                <w:b/>
                <w:bCs/>
                <w:sz w:val="18"/>
                <w:szCs w:val="18"/>
              </w:rPr>
            </w:pPr>
            <w:r>
              <w:rPr>
                <w:rFonts w:ascii="Times New Roman" w:hAnsi="Times New Roman" w:cs="Times New Roman"/>
                <w:b/>
                <w:bCs/>
                <w:sz w:val="18"/>
                <w:szCs w:val="18"/>
              </w:rPr>
              <w:t>编号</w:t>
            </w:r>
          </w:p>
        </w:tc>
        <w:tc>
          <w:tcPr>
            <w:tcW w:w="1470" w:type="dxa"/>
            <w:tcBorders>
              <w:bottom w:val="single" w:color="auto" w:sz="12" w:space="0"/>
            </w:tcBorders>
            <w:vAlign w:val="center"/>
          </w:tcPr>
          <w:p>
            <w:pPr>
              <w:spacing w:line="0" w:lineRule="atLeast"/>
              <w:ind w:firstLine="0" w:firstLineChars="0"/>
              <w:jc w:val="center"/>
              <w:rPr>
                <w:rFonts w:ascii="Times New Roman" w:hAnsi="Times New Roman" w:cs="Times New Roman"/>
                <w:b/>
                <w:bCs/>
                <w:sz w:val="18"/>
                <w:szCs w:val="18"/>
              </w:rPr>
            </w:pPr>
            <w:r>
              <w:rPr>
                <w:rFonts w:ascii="Times New Roman" w:hAnsi="Times New Roman" w:cs="Times New Roman"/>
                <w:b/>
                <w:bCs/>
                <w:sz w:val="18"/>
                <w:szCs w:val="18"/>
              </w:rPr>
              <w:t>污染源</w:t>
            </w:r>
          </w:p>
        </w:tc>
        <w:tc>
          <w:tcPr>
            <w:tcW w:w="1830" w:type="dxa"/>
            <w:tcBorders>
              <w:bottom w:val="single" w:color="auto" w:sz="12" w:space="0"/>
            </w:tcBorders>
            <w:vAlign w:val="center"/>
          </w:tcPr>
          <w:p>
            <w:pPr>
              <w:spacing w:line="0" w:lineRule="atLeast"/>
              <w:ind w:firstLine="0" w:firstLineChars="0"/>
              <w:jc w:val="center"/>
              <w:rPr>
                <w:rFonts w:ascii="Times New Roman" w:hAnsi="Times New Roman" w:cs="Times New Roman"/>
                <w:b/>
                <w:bCs/>
                <w:sz w:val="18"/>
                <w:szCs w:val="18"/>
              </w:rPr>
            </w:pPr>
            <w:r>
              <w:rPr>
                <w:rFonts w:ascii="Times New Roman" w:hAnsi="Times New Roman" w:cs="Times New Roman"/>
                <w:b/>
                <w:bCs/>
                <w:sz w:val="18"/>
                <w:szCs w:val="18"/>
              </w:rPr>
              <w:t>来源</w:t>
            </w:r>
          </w:p>
        </w:tc>
        <w:tc>
          <w:tcPr>
            <w:tcW w:w="2103" w:type="dxa"/>
            <w:tcBorders>
              <w:bottom w:val="single" w:color="auto" w:sz="12" w:space="0"/>
            </w:tcBorders>
            <w:vAlign w:val="center"/>
          </w:tcPr>
          <w:p>
            <w:pPr>
              <w:spacing w:line="0" w:lineRule="atLeast"/>
              <w:ind w:firstLine="0" w:firstLineChars="0"/>
              <w:jc w:val="center"/>
              <w:rPr>
                <w:rFonts w:ascii="Times New Roman" w:hAnsi="Times New Roman" w:cs="Times New Roman"/>
                <w:b/>
                <w:bCs/>
                <w:sz w:val="18"/>
                <w:szCs w:val="18"/>
              </w:rPr>
            </w:pPr>
            <w:r>
              <w:rPr>
                <w:rFonts w:ascii="Times New Roman" w:hAnsi="Times New Roman" w:cs="Times New Roman"/>
                <w:b/>
                <w:bCs/>
                <w:sz w:val="18"/>
                <w:szCs w:val="18"/>
              </w:rPr>
              <w:t>主要污染物</w:t>
            </w:r>
          </w:p>
        </w:tc>
        <w:tc>
          <w:tcPr>
            <w:tcW w:w="3054" w:type="dxa"/>
            <w:tcBorders>
              <w:bottom w:val="single" w:color="auto" w:sz="12" w:space="0"/>
            </w:tcBorders>
            <w:vAlign w:val="center"/>
          </w:tcPr>
          <w:p>
            <w:pPr>
              <w:spacing w:line="0" w:lineRule="atLeast"/>
              <w:ind w:firstLine="0" w:firstLineChars="0"/>
              <w:jc w:val="center"/>
              <w:rPr>
                <w:rFonts w:ascii="Times New Roman" w:hAnsi="Times New Roman" w:eastAsia="宋体" w:cs="Times New Roman"/>
                <w:b/>
                <w:bCs/>
                <w:sz w:val="18"/>
                <w:szCs w:val="18"/>
              </w:rPr>
            </w:pPr>
            <w:r>
              <w:rPr>
                <w:rFonts w:ascii="Times New Roman" w:hAnsi="Times New Roman" w:cs="Times New Roman"/>
                <w:b/>
                <w:bCs/>
                <w:sz w:val="18"/>
                <w:szCs w:val="18"/>
              </w:rPr>
              <w:t>处理措施及去向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861" w:type="dxa"/>
            <w:vMerge w:val="restart"/>
            <w:tcBorders>
              <w:top w:val="single" w:color="auto" w:sz="12" w:space="0"/>
            </w:tcBorders>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废气</w:t>
            </w:r>
          </w:p>
        </w:tc>
        <w:tc>
          <w:tcPr>
            <w:tcW w:w="782" w:type="dxa"/>
            <w:tcBorders>
              <w:top w:val="single" w:color="auto" w:sz="12" w:space="0"/>
            </w:tcBorders>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G1</w:t>
            </w:r>
          </w:p>
        </w:tc>
        <w:tc>
          <w:tcPr>
            <w:tcW w:w="1470" w:type="dxa"/>
            <w:tcBorders>
              <w:top w:val="single" w:color="auto" w:sz="12" w:space="0"/>
            </w:tcBorders>
            <w:vAlign w:val="center"/>
          </w:tcPr>
          <w:p>
            <w:pPr>
              <w:spacing w:line="0" w:lineRule="atLeast"/>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rPr>
              <w:t>车间粉尘</w:t>
            </w:r>
          </w:p>
        </w:tc>
        <w:tc>
          <w:tcPr>
            <w:tcW w:w="1830" w:type="dxa"/>
            <w:tcBorders>
              <w:top w:val="single" w:color="auto" w:sz="12" w:space="0"/>
            </w:tcBorders>
            <w:vAlign w:val="center"/>
          </w:tcPr>
          <w:p>
            <w:pPr>
              <w:spacing w:line="0" w:lineRule="atLeast"/>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rPr>
              <w:t>清花、梳棉粉尘</w:t>
            </w:r>
          </w:p>
        </w:tc>
        <w:tc>
          <w:tcPr>
            <w:tcW w:w="2103" w:type="dxa"/>
            <w:tcBorders>
              <w:top w:val="single" w:color="auto" w:sz="12" w:space="0"/>
            </w:tcBorders>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颗粒物</w:t>
            </w:r>
          </w:p>
        </w:tc>
        <w:tc>
          <w:tcPr>
            <w:tcW w:w="3054" w:type="dxa"/>
            <w:tcBorders>
              <w:top w:val="single" w:color="auto" w:sz="12" w:space="0"/>
            </w:tcBorders>
            <w:vAlign w:val="center"/>
          </w:tcPr>
          <w:p>
            <w:pPr>
              <w:spacing w:line="0" w:lineRule="atLeast"/>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rPr>
              <w:t>经单吸滤尘装置处理后车间无组织排放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861" w:type="dxa"/>
            <w:vMerge w:val="continue"/>
            <w:vAlign w:val="center"/>
          </w:tcPr>
          <w:p>
            <w:pPr>
              <w:spacing w:line="0" w:lineRule="atLeast"/>
              <w:ind w:firstLine="360"/>
              <w:jc w:val="center"/>
              <w:rPr>
                <w:rFonts w:ascii="Times New Roman" w:hAnsi="Times New Roman" w:cs="Times New Roman"/>
                <w:sz w:val="18"/>
                <w:szCs w:val="18"/>
              </w:rPr>
            </w:pPr>
          </w:p>
        </w:tc>
        <w:tc>
          <w:tcPr>
            <w:tcW w:w="782"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G2</w:t>
            </w:r>
          </w:p>
        </w:tc>
        <w:tc>
          <w:tcPr>
            <w:tcW w:w="1470"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天然气燃烧废气</w:t>
            </w:r>
          </w:p>
        </w:tc>
        <w:tc>
          <w:tcPr>
            <w:tcW w:w="1830"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导热油炉</w:t>
            </w:r>
          </w:p>
        </w:tc>
        <w:tc>
          <w:tcPr>
            <w:tcW w:w="2103"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SO</w:t>
            </w:r>
            <w:r>
              <w:rPr>
                <w:rFonts w:hint="eastAsia" w:ascii="Times New Roman" w:hAnsi="Times New Roman" w:cs="Times New Roman"/>
                <w:sz w:val="18"/>
                <w:szCs w:val="18"/>
                <w:vertAlign w:val="subscript"/>
              </w:rPr>
              <w:t>2</w:t>
            </w:r>
            <w:r>
              <w:rPr>
                <w:rFonts w:hint="eastAsia" w:ascii="Times New Roman" w:hAnsi="Times New Roman" w:cs="Times New Roman"/>
                <w:sz w:val="18"/>
                <w:szCs w:val="18"/>
              </w:rPr>
              <w:t>、N</w:t>
            </w:r>
            <w:r>
              <w:rPr>
                <w:rFonts w:ascii="Times New Roman" w:hAnsi="Times New Roman" w:cs="Times New Roman"/>
                <w:sz w:val="18"/>
                <w:szCs w:val="18"/>
              </w:rPr>
              <w:t>O</w:t>
            </w:r>
            <w:r>
              <w:rPr>
                <w:rFonts w:hint="eastAsia" w:ascii="Times New Roman" w:hAnsi="Times New Roman" w:cs="Times New Roman"/>
                <w:sz w:val="18"/>
                <w:szCs w:val="18"/>
              </w:rPr>
              <w:t>x、烟尘</w:t>
            </w:r>
          </w:p>
        </w:tc>
        <w:tc>
          <w:tcPr>
            <w:tcW w:w="3054" w:type="dxa"/>
            <w:vAlign w:val="center"/>
          </w:tcPr>
          <w:p>
            <w:pPr>
              <w:spacing w:line="0" w:lineRule="atLeast"/>
              <w:ind w:firstLine="360"/>
              <w:jc w:val="center"/>
              <w:rPr>
                <w:rFonts w:ascii="Times New Roman" w:hAnsi="Times New Roman" w:cs="Times New Roman"/>
                <w:sz w:val="18"/>
                <w:szCs w:val="18"/>
              </w:rPr>
            </w:pPr>
            <w:r>
              <w:rPr>
                <w:rFonts w:ascii="Times New Roman" w:hAnsi="Times New Roman" w:cs="Times New Roman"/>
                <w:sz w:val="18"/>
                <w:szCs w:val="18"/>
              </w:rPr>
              <w:t>直接经一根15m高排气筒排放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861" w:type="dxa"/>
            <w:vMerge w:val="restart"/>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废水</w:t>
            </w:r>
          </w:p>
        </w:tc>
        <w:tc>
          <w:tcPr>
            <w:tcW w:w="782"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W</w:t>
            </w:r>
            <w:r>
              <w:rPr>
                <w:rFonts w:hint="eastAsia" w:ascii="Times New Roman" w:hAnsi="Times New Roman" w:cs="Times New Roman"/>
                <w:sz w:val="18"/>
                <w:szCs w:val="18"/>
              </w:rPr>
              <w:t>1</w:t>
            </w:r>
          </w:p>
        </w:tc>
        <w:tc>
          <w:tcPr>
            <w:tcW w:w="1470"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生产废水</w:t>
            </w:r>
          </w:p>
        </w:tc>
        <w:tc>
          <w:tcPr>
            <w:tcW w:w="1830" w:type="dxa"/>
            <w:vAlign w:val="center"/>
          </w:tcPr>
          <w:p>
            <w:pPr>
              <w:spacing w:line="0" w:lineRule="atLeast"/>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水刺织造</w:t>
            </w:r>
          </w:p>
        </w:tc>
        <w:tc>
          <w:tcPr>
            <w:tcW w:w="2103"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SS</w:t>
            </w:r>
          </w:p>
        </w:tc>
        <w:tc>
          <w:tcPr>
            <w:tcW w:w="3054"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经自建污水站处理后排入</w:t>
            </w:r>
            <w:r>
              <w:rPr>
                <w:rFonts w:hint="eastAsia" w:ascii="Times New Roman" w:hAnsi="Times New Roman" w:cs="Times New Roman"/>
                <w:sz w:val="18"/>
                <w:szCs w:val="18"/>
              </w:rPr>
              <w:t>管网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861" w:type="dxa"/>
            <w:vMerge w:val="continue"/>
            <w:vAlign w:val="center"/>
          </w:tcPr>
          <w:p>
            <w:pPr>
              <w:spacing w:line="0" w:lineRule="atLeast"/>
              <w:ind w:firstLine="0" w:firstLineChars="0"/>
              <w:jc w:val="center"/>
              <w:rPr>
                <w:rFonts w:ascii="Times New Roman" w:hAnsi="Times New Roman" w:cs="Times New Roman"/>
                <w:sz w:val="18"/>
                <w:szCs w:val="18"/>
              </w:rPr>
            </w:pPr>
          </w:p>
        </w:tc>
        <w:tc>
          <w:tcPr>
            <w:tcW w:w="782"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W</w:t>
            </w:r>
            <w:r>
              <w:rPr>
                <w:rFonts w:hint="eastAsia" w:ascii="Times New Roman" w:hAnsi="Times New Roman" w:cs="Times New Roman"/>
                <w:sz w:val="18"/>
                <w:szCs w:val="18"/>
              </w:rPr>
              <w:t>2</w:t>
            </w:r>
          </w:p>
        </w:tc>
        <w:tc>
          <w:tcPr>
            <w:tcW w:w="1470"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生活污水</w:t>
            </w:r>
          </w:p>
        </w:tc>
        <w:tc>
          <w:tcPr>
            <w:tcW w:w="1830"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员工生活</w:t>
            </w:r>
          </w:p>
        </w:tc>
        <w:tc>
          <w:tcPr>
            <w:tcW w:w="2103"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COD、SS、NH</w:t>
            </w:r>
            <w:r>
              <w:rPr>
                <w:rFonts w:ascii="Times New Roman" w:hAnsi="Times New Roman" w:cs="Times New Roman"/>
                <w:sz w:val="18"/>
                <w:szCs w:val="18"/>
                <w:vertAlign w:val="subscript"/>
              </w:rPr>
              <w:t>3</w:t>
            </w:r>
            <w:r>
              <w:rPr>
                <w:rFonts w:ascii="Times New Roman" w:hAnsi="Times New Roman" w:cs="Times New Roman"/>
                <w:sz w:val="18"/>
                <w:szCs w:val="18"/>
              </w:rPr>
              <w:t>-N等</w:t>
            </w:r>
          </w:p>
        </w:tc>
        <w:tc>
          <w:tcPr>
            <w:tcW w:w="3054" w:type="dxa"/>
            <w:vAlign w:val="center"/>
          </w:tcPr>
          <w:p>
            <w:pPr>
              <w:spacing w:line="0" w:lineRule="atLeast"/>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rPr>
              <w:t>经化粪池预处理后排入</w:t>
            </w:r>
            <w:r>
              <w:rPr>
                <w:rFonts w:hint="eastAsia" w:ascii="Times New Roman" w:hAnsi="Times New Roman" w:cs="Times New Roman"/>
                <w:sz w:val="18"/>
                <w:szCs w:val="18"/>
              </w:rPr>
              <w:t>管网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861"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噪声</w:t>
            </w:r>
          </w:p>
        </w:tc>
        <w:tc>
          <w:tcPr>
            <w:tcW w:w="782"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N</w:t>
            </w:r>
          </w:p>
        </w:tc>
        <w:tc>
          <w:tcPr>
            <w:tcW w:w="1470"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设备噪声</w:t>
            </w:r>
          </w:p>
        </w:tc>
        <w:tc>
          <w:tcPr>
            <w:tcW w:w="1830"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设备运行</w:t>
            </w:r>
          </w:p>
        </w:tc>
        <w:tc>
          <w:tcPr>
            <w:tcW w:w="2103"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等效连续A声级</w:t>
            </w:r>
          </w:p>
        </w:tc>
        <w:tc>
          <w:tcPr>
            <w:tcW w:w="3054" w:type="dxa"/>
            <w:vAlign w:val="center"/>
          </w:tcPr>
          <w:p>
            <w:pPr>
              <w:spacing w:line="0" w:lineRule="atLeast"/>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rPr>
              <w:t>基础减振、厂房隔声、距离衰减衰减等措施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861" w:type="dxa"/>
            <w:vMerge w:val="restart"/>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固废</w:t>
            </w:r>
          </w:p>
        </w:tc>
        <w:tc>
          <w:tcPr>
            <w:tcW w:w="782"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w:t>
            </w:r>
          </w:p>
        </w:tc>
        <w:tc>
          <w:tcPr>
            <w:tcW w:w="1470"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废包装材料</w:t>
            </w:r>
          </w:p>
        </w:tc>
        <w:tc>
          <w:tcPr>
            <w:tcW w:w="1830"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生产过程中产生</w:t>
            </w:r>
          </w:p>
        </w:tc>
        <w:tc>
          <w:tcPr>
            <w:tcW w:w="2103"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纸板、纸管、塑料包装膜</w:t>
            </w:r>
          </w:p>
        </w:tc>
        <w:tc>
          <w:tcPr>
            <w:tcW w:w="3054" w:type="dxa"/>
            <w:vMerge w:val="restart"/>
            <w:vAlign w:val="center"/>
          </w:tcPr>
          <w:p>
            <w:pPr>
              <w:spacing w:line="0" w:lineRule="atLeast"/>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rPr>
              <w:t>外售给物资回收利用单位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861" w:type="dxa"/>
            <w:vMerge w:val="continue"/>
            <w:vAlign w:val="center"/>
          </w:tcPr>
          <w:p>
            <w:pPr>
              <w:spacing w:line="0" w:lineRule="atLeast"/>
              <w:ind w:firstLine="360"/>
              <w:jc w:val="center"/>
              <w:rPr>
                <w:rFonts w:ascii="Times New Roman" w:hAnsi="Times New Roman" w:cs="Times New Roman"/>
                <w:sz w:val="18"/>
                <w:szCs w:val="18"/>
              </w:rPr>
            </w:pPr>
          </w:p>
        </w:tc>
        <w:tc>
          <w:tcPr>
            <w:tcW w:w="782"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S1</w:t>
            </w:r>
          </w:p>
        </w:tc>
        <w:tc>
          <w:tcPr>
            <w:tcW w:w="1470"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废边角料</w:t>
            </w:r>
          </w:p>
        </w:tc>
        <w:tc>
          <w:tcPr>
            <w:tcW w:w="1830"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生产过程中产生</w:t>
            </w:r>
          </w:p>
        </w:tc>
        <w:tc>
          <w:tcPr>
            <w:tcW w:w="2103"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主要为无纺布</w:t>
            </w:r>
          </w:p>
        </w:tc>
        <w:tc>
          <w:tcPr>
            <w:tcW w:w="3054" w:type="dxa"/>
            <w:vMerge w:val="continue"/>
            <w:vAlign w:val="center"/>
          </w:tcPr>
          <w:p>
            <w:pPr>
              <w:spacing w:line="0" w:lineRule="atLeast"/>
              <w:ind w:firstLine="360"/>
              <w:jc w:val="center"/>
              <w:rPr>
                <w:rFonts w:ascii="Times New Roman" w:hAnsi="Times New Roman"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861" w:type="dxa"/>
            <w:vMerge w:val="continue"/>
            <w:vAlign w:val="center"/>
          </w:tcPr>
          <w:p>
            <w:pPr>
              <w:spacing w:line="0" w:lineRule="atLeast"/>
              <w:ind w:firstLine="360"/>
              <w:jc w:val="center"/>
              <w:rPr>
                <w:rFonts w:ascii="Times New Roman" w:hAnsi="Times New Roman" w:cs="Times New Roman"/>
                <w:sz w:val="18"/>
                <w:szCs w:val="18"/>
              </w:rPr>
            </w:pPr>
          </w:p>
        </w:tc>
        <w:tc>
          <w:tcPr>
            <w:tcW w:w="782"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w:t>
            </w:r>
          </w:p>
        </w:tc>
        <w:tc>
          <w:tcPr>
            <w:tcW w:w="1470"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收集粉尘</w:t>
            </w:r>
          </w:p>
        </w:tc>
        <w:tc>
          <w:tcPr>
            <w:tcW w:w="1830"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除尘</w:t>
            </w:r>
          </w:p>
        </w:tc>
        <w:tc>
          <w:tcPr>
            <w:tcW w:w="2103"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回用于生产</w:t>
            </w:r>
          </w:p>
        </w:tc>
        <w:tc>
          <w:tcPr>
            <w:tcW w:w="3054"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回用于生产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861" w:type="dxa"/>
            <w:vMerge w:val="continue"/>
            <w:vAlign w:val="center"/>
          </w:tcPr>
          <w:p>
            <w:pPr>
              <w:spacing w:line="0" w:lineRule="atLeast"/>
              <w:ind w:firstLine="360"/>
              <w:jc w:val="center"/>
              <w:rPr>
                <w:rFonts w:ascii="Times New Roman" w:hAnsi="Times New Roman" w:cs="Times New Roman"/>
                <w:sz w:val="18"/>
                <w:szCs w:val="18"/>
              </w:rPr>
            </w:pPr>
          </w:p>
        </w:tc>
        <w:tc>
          <w:tcPr>
            <w:tcW w:w="782"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w:t>
            </w:r>
          </w:p>
        </w:tc>
        <w:tc>
          <w:tcPr>
            <w:tcW w:w="1470" w:type="dxa"/>
            <w:vAlign w:val="center"/>
          </w:tcPr>
          <w:p>
            <w:pPr>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rPr>
              <w:t>废导热油</w:t>
            </w:r>
          </w:p>
        </w:tc>
        <w:tc>
          <w:tcPr>
            <w:tcW w:w="1830" w:type="dxa"/>
            <w:vAlign w:val="center"/>
          </w:tcPr>
          <w:p>
            <w:pPr>
              <w:spacing w:line="0" w:lineRule="atLeast"/>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rPr>
              <w:t>烘干工序</w:t>
            </w:r>
          </w:p>
        </w:tc>
        <w:tc>
          <w:tcPr>
            <w:tcW w:w="2103" w:type="dxa"/>
            <w:vAlign w:val="center"/>
          </w:tcPr>
          <w:p>
            <w:pPr>
              <w:spacing w:line="0" w:lineRule="atLeast"/>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rPr>
              <w:t>废导热油</w:t>
            </w:r>
          </w:p>
        </w:tc>
        <w:tc>
          <w:tcPr>
            <w:tcW w:w="3054" w:type="dxa"/>
            <w:vAlign w:val="center"/>
          </w:tcPr>
          <w:p>
            <w:pPr>
              <w:spacing w:line="0" w:lineRule="atLeast"/>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rPr>
              <w:t>委托有资质单位处置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861" w:type="dxa"/>
            <w:vMerge w:val="continue"/>
            <w:vAlign w:val="center"/>
          </w:tcPr>
          <w:p>
            <w:pPr>
              <w:spacing w:line="0" w:lineRule="atLeast"/>
              <w:ind w:firstLine="360"/>
              <w:jc w:val="center"/>
              <w:rPr>
                <w:rFonts w:ascii="Times New Roman" w:hAnsi="Times New Roman" w:cs="Times New Roman"/>
                <w:sz w:val="18"/>
                <w:szCs w:val="18"/>
              </w:rPr>
            </w:pPr>
          </w:p>
        </w:tc>
        <w:tc>
          <w:tcPr>
            <w:tcW w:w="782"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w:t>
            </w:r>
          </w:p>
        </w:tc>
        <w:tc>
          <w:tcPr>
            <w:tcW w:w="1470"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生活垃圾</w:t>
            </w:r>
          </w:p>
        </w:tc>
        <w:tc>
          <w:tcPr>
            <w:tcW w:w="1830"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员工生活</w:t>
            </w:r>
          </w:p>
        </w:tc>
        <w:tc>
          <w:tcPr>
            <w:tcW w:w="2103" w:type="dxa"/>
            <w:vAlign w:val="center"/>
          </w:tcPr>
          <w:p>
            <w:pPr>
              <w:spacing w:line="0" w:lineRule="atLeast"/>
              <w:ind w:firstLine="0" w:firstLineChars="0"/>
              <w:jc w:val="center"/>
              <w:rPr>
                <w:rFonts w:ascii="Times New Roman" w:hAnsi="Times New Roman" w:cs="Times New Roman"/>
                <w:sz w:val="18"/>
                <w:szCs w:val="18"/>
              </w:rPr>
            </w:pPr>
            <w:r>
              <w:rPr>
                <w:rFonts w:ascii="Times New Roman" w:hAnsi="Times New Roman" w:cs="Times New Roman"/>
                <w:sz w:val="18"/>
                <w:szCs w:val="18"/>
              </w:rPr>
              <w:t>生活垃圾</w:t>
            </w:r>
          </w:p>
        </w:tc>
        <w:tc>
          <w:tcPr>
            <w:tcW w:w="3054" w:type="dxa"/>
            <w:vAlign w:val="center"/>
          </w:tcPr>
          <w:p>
            <w:pPr>
              <w:spacing w:line="0" w:lineRule="atLeast"/>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rPr>
              <w:t>交由环卫部门处置</w:t>
            </w:r>
          </w:p>
        </w:tc>
      </w:tr>
    </w:tbl>
    <w:p>
      <w:pPr>
        <w:pStyle w:val="16"/>
        <w:spacing w:line="240" w:lineRule="auto"/>
        <w:ind w:firstLine="422"/>
        <w:jc w:val="center"/>
        <w:rPr>
          <w:rFonts w:ascii="Times New Roman" w:hAnsi="Times New Roman" w:eastAsia="宋体" w:cs="Times New Roman"/>
          <w:b/>
          <w:sz w:val="21"/>
          <w:szCs w:val="21"/>
        </w:rPr>
      </w:pPr>
    </w:p>
    <w:p>
      <w:pPr>
        <w:pStyle w:val="8"/>
        <w:spacing w:before="180" w:after="180"/>
        <w:rPr>
          <w:rFonts w:eastAsia="宋体" w:cs="Times New Roman"/>
          <w:sz w:val="28"/>
          <w:szCs w:val="28"/>
        </w:rPr>
      </w:pPr>
      <w:bookmarkStart w:id="193" w:name="_Toc31694"/>
      <w:bookmarkStart w:id="194" w:name="_Toc23767"/>
      <w:bookmarkStart w:id="195" w:name="_Toc132468759"/>
      <w:r>
        <w:rPr>
          <w:rFonts w:eastAsia="宋体" w:cs="Times New Roman"/>
          <w:sz w:val="28"/>
          <w:szCs w:val="28"/>
        </w:rPr>
        <w:t>2.3.5储运流程</w:t>
      </w:r>
      <w:bookmarkEnd w:id="186"/>
      <w:bookmarkEnd w:id="187"/>
      <w:bookmarkEnd w:id="188"/>
      <w:bookmarkEnd w:id="189"/>
      <w:bookmarkEnd w:id="193"/>
      <w:bookmarkEnd w:id="194"/>
      <w:bookmarkEnd w:id="195"/>
    </w:p>
    <w:p>
      <w:pPr>
        <w:pStyle w:val="9"/>
        <w:spacing w:before="156" w:beforeLines="50" w:after="156" w:afterLines="50"/>
        <w:rPr>
          <w:rFonts w:eastAsia="宋体" w:cs="Times New Roman"/>
          <w:szCs w:val="24"/>
        </w:rPr>
      </w:pPr>
      <w:bookmarkStart w:id="196" w:name="_Toc132468760"/>
      <w:r>
        <w:rPr>
          <w:rFonts w:eastAsia="宋体" w:cs="Times New Roman"/>
          <w:szCs w:val="24"/>
        </w:rPr>
        <w:t xml:space="preserve">2.3.5.1 </w:t>
      </w:r>
      <w:r>
        <w:rPr>
          <w:rFonts w:cs="Times New Roman"/>
          <w:szCs w:val="24"/>
        </w:rPr>
        <w:t>原辅料和成品储运流程</w:t>
      </w:r>
      <w:bookmarkEnd w:id="196"/>
    </w:p>
    <w:p>
      <w:pPr>
        <w:ind w:firstLine="480"/>
        <w:rPr>
          <w:rFonts w:ascii="Times New Roman" w:hAnsi="Times New Roman" w:cs="Times New Roman"/>
          <w:szCs w:val="24"/>
        </w:rPr>
      </w:pPr>
    </w:p>
    <w:p>
      <w:pPr>
        <w:ind w:firstLine="480"/>
        <w:rPr>
          <w:rFonts w:ascii="Times New Roman" w:hAnsi="Times New Roman" w:cs="Times New Roman"/>
          <w:szCs w:val="24"/>
        </w:rPr>
      </w:pPr>
      <w:r>
        <w:rPr>
          <w:rFonts w:ascii="Times New Roman" w:hAnsi="Times New Roman" w:cs="Times New Roman"/>
          <w:szCs w:val="24"/>
        </w:rPr>
        <w:t>（1）卸车流程</w:t>
      </w:r>
    </w:p>
    <w:p>
      <w:pPr>
        <w:pStyle w:val="17"/>
        <w:ind w:firstLine="480"/>
        <w:rPr>
          <w:rFonts w:ascii="Times New Roman" w:hAnsi="Times New Roman" w:cs="Times New Roman"/>
        </w:rPr>
      </w:pPr>
      <w:r>
        <w:rPr>
          <w:rFonts w:ascii="Times New Roman" w:hAnsi="Times New Roman" w:cs="Times New Roman"/>
        </w:rPr>
        <w:object>
          <v:shape id="_x0000_i1025" o:spt="75" type="#_x0000_t75" style="height:33pt;width:386.25pt;" o:ole="t" filled="f" o:preferrelative="t" stroked="f" coordsize="21600,21600">
            <v:path/>
            <v:fill on="f" focussize="0,0"/>
            <v:stroke on="f" joinstyle="miter"/>
            <v:imagedata r:id="rId28" cropright="13698f" o:title=""/>
            <o:lock v:ext="edit" aspectratio="t"/>
            <w10:wrap type="none"/>
            <w10:anchorlock/>
          </v:shape>
          <o:OLEObject Type="Embed" ProgID="Equation.3" ShapeID="_x0000_i1025" DrawAspect="Content" ObjectID="_1468075725" r:id="rId27">
            <o:LockedField>false</o:LockedField>
          </o:OLEObject>
        </w:object>
      </w:r>
    </w:p>
    <w:p>
      <w:pPr>
        <w:numPr>
          <w:ilvl w:val="0"/>
          <w:numId w:val="3"/>
        </w:numPr>
        <w:ind w:firstLine="480"/>
        <w:rPr>
          <w:rFonts w:ascii="Times New Roman" w:hAnsi="Times New Roman" w:cs="Times New Roman"/>
        </w:rPr>
      </w:pPr>
      <w:r>
        <w:rPr>
          <w:rFonts w:ascii="Times New Roman" w:hAnsi="Times New Roman" w:cs="Times New Roman"/>
          <w:szCs w:val="24"/>
        </w:rPr>
        <w:t>装车流程</w:t>
      </w:r>
    </w:p>
    <w:p>
      <w:pPr>
        <w:pStyle w:val="17"/>
        <w:ind w:firstLine="480"/>
        <w:rPr>
          <w:rFonts w:ascii="Times New Roman" w:hAnsi="Times New Roman" w:eastAsia="宋体" w:cs="Times New Roman"/>
        </w:rPr>
      </w:pPr>
      <w:r>
        <w:rPr>
          <w:rFonts w:ascii="Times New Roman" w:hAnsi="Times New Roman" w:cs="Times New Roman"/>
        </w:rPr>
        <w:object>
          <v:shape id="_x0000_i1026" o:spt="75" type="#_x0000_t75" style="height:33pt;width:386.25pt;" o:ole="t" filled="f" o:preferrelative="t" stroked="f" coordsize="21600,21600">
            <v:path/>
            <v:fill on="f" focussize="0,0"/>
            <v:stroke on="f" joinstyle="miter"/>
            <v:imagedata r:id="rId30" cropright="13698f" o:title=""/>
            <o:lock v:ext="edit" aspectratio="t"/>
            <w10:wrap type="none"/>
            <w10:anchorlock/>
          </v:shape>
          <o:OLEObject Type="Embed" ProgID="Equation.3" ShapeID="_x0000_i1026" DrawAspect="Content" ObjectID="_1468075726" r:id="rId29">
            <o:LockedField>false</o:LockedField>
          </o:OLEObject>
        </w:object>
      </w:r>
    </w:p>
    <w:p>
      <w:pPr>
        <w:pStyle w:val="9"/>
        <w:spacing w:before="156" w:after="156"/>
        <w:rPr>
          <w:rFonts w:cs="Times New Roman"/>
        </w:rPr>
      </w:pPr>
      <w:bookmarkStart w:id="197" w:name="_Toc132468761"/>
      <w:bookmarkStart w:id="198" w:name="_Toc16527"/>
      <w:r>
        <w:rPr>
          <w:rFonts w:cs="Times New Roman"/>
          <w:szCs w:val="24"/>
        </w:rPr>
        <w:t>2.3.5.2 原辅料（</w:t>
      </w:r>
      <w:r>
        <w:rPr>
          <w:rFonts w:hint="eastAsia" w:cs="Times New Roman"/>
          <w:szCs w:val="24"/>
        </w:rPr>
        <w:t>涉风险物质</w:t>
      </w:r>
      <w:r>
        <w:rPr>
          <w:rFonts w:cs="Times New Roman"/>
          <w:szCs w:val="24"/>
        </w:rPr>
        <w:t>）储存情况</w:t>
      </w:r>
      <w:bookmarkEnd w:id="197"/>
      <w:bookmarkEnd w:id="198"/>
    </w:p>
    <w:p>
      <w:pPr>
        <w:pStyle w:val="17"/>
        <w:ind w:firstLine="480"/>
        <w:jc w:val="both"/>
        <w:rPr>
          <w:rFonts w:ascii="Times New Roman" w:hAnsi="Times New Roman" w:cs="Times New Roman"/>
          <w:szCs w:val="24"/>
        </w:rPr>
      </w:pPr>
      <w:r>
        <w:rPr>
          <w:rFonts w:ascii="Times New Roman" w:hAnsi="Times New Roman" w:cs="Times New Roman"/>
          <w:szCs w:val="24"/>
        </w:rPr>
        <w:t>项目原辅料储存情况如下表</w:t>
      </w:r>
    </w:p>
    <w:p>
      <w:pPr>
        <w:pStyle w:val="17"/>
        <w:ind w:firstLine="422"/>
        <w:rPr>
          <w:rFonts w:ascii="Times New Roman" w:hAnsi="Times New Roman" w:eastAsia="宋体" w:cs="Times New Roman"/>
          <w:b/>
          <w:sz w:val="21"/>
          <w:szCs w:val="21"/>
        </w:rPr>
      </w:pPr>
      <w:r>
        <w:rPr>
          <w:rFonts w:ascii="Times New Roman" w:hAnsi="Times New Roman" w:eastAsia="宋体" w:cs="Times New Roman"/>
          <w:b/>
          <w:sz w:val="21"/>
          <w:szCs w:val="21"/>
        </w:rPr>
        <w:t>2.3-6  项目原辅料储存一览表</w:t>
      </w:r>
    </w:p>
    <w:tbl>
      <w:tblPr>
        <w:tblStyle w:val="36"/>
        <w:tblW w:w="993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677"/>
        <w:gridCol w:w="1132"/>
        <w:gridCol w:w="1186"/>
        <w:gridCol w:w="2168"/>
        <w:gridCol w:w="1746"/>
        <w:gridCol w:w="12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8" w:type="dxa"/>
            <w:vAlign w:val="center"/>
          </w:tcPr>
          <w:p>
            <w:pPr>
              <w:pStyle w:val="17"/>
              <w:ind w:firstLine="0" w:firstLineChars="0"/>
              <w:rPr>
                <w:rFonts w:ascii="Times New Roman" w:hAnsi="Times New Roman" w:cs="Times New Roman"/>
                <w:b/>
                <w:bCs/>
                <w:sz w:val="18"/>
                <w:szCs w:val="18"/>
              </w:rPr>
            </w:pPr>
            <w:r>
              <w:rPr>
                <w:rFonts w:ascii="Times New Roman" w:hAnsi="Times New Roman" w:cs="Times New Roman"/>
                <w:b/>
                <w:bCs/>
                <w:sz w:val="18"/>
                <w:szCs w:val="18"/>
              </w:rPr>
              <w:t>序号</w:t>
            </w:r>
          </w:p>
        </w:tc>
        <w:tc>
          <w:tcPr>
            <w:tcW w:w="1677" w:type="dxa"/>
            <w:vAlign w:val="center"/>
          </w:tcPr>
          <w:p>
            <w:pPr>
              <w:pStyle w:val="17"/>
              <w:ind w:firstLine="0" w:firstLineChars="0"/>
              <w:rPr>
                <w:rFonts w:ascii="Times New Roman" w:hAnsi="Times New Roman" w:cs="Times New Roman"/>
                <w:b/>
                <w:bCs/>
                <w:sz w:val="18"/>
                <w:szCs w:val="18"/>
              </w:rPr>
            </w:pPr>
            <w:r>
              <w:rPr>
                <w:rFonts w:ascii="Times New Roman" w:hAnsi="Times New Roman" w:cs="Times New Roman"/>
                <w:b/>
                <w:bCs/>
                <w:sz w:val="18"/>
                <w:szCs w:val="18"/>
              </w:rPr>
              <w:t>原辅料名称</w:t>
            </w:r>
          </w:p>
        </w:tc>
        <w:tc>
          <w:tcPr>
            <w:tcW w:w="1132" w:type="dxa"/>
            <w:vAlign w:val="center"/>
          </w:tcPr>
          <w:p>
            <w:pPr>
              <w:pStyle w:val="17"/>
              <w:ind w:firstLine="0" w:firstLineChars="0"/>
              <w:rPr>
                <w:rFonts w:ascii="Times New Roman" w:hAnsi="Times New Roman" w:cs="Times New Roman"/>
                <w:b/>
                <w:bCs/>
                <w:sz w:val="18"/>
                <w:szCs w:val="18"/>
              </w:rPr>
            </w:pPr>
            <w:r>
              <w:rPr>
                <w:rFonts w:ascii="Times New Roman" w:hAnsi="Times New Roman" w:cs="Times New Roman"/>
                <w:b/>
                <w:bCs/>
                <w:sz w:val="18"/>
                <w:szCs w:val="18"/>
              </w:rPr>
              <w:t>包装规格</w:t>
            </w:r>
          </w:p>
        </w:tc>
        <w:tc>
          <w:tcPr>
            <w:tcW w:w="1186" w:type="dxa"/>
            <w:vAlign w:val="center"/>
          </w:tcPr>
          <w:p>
            <w:pPr>
              <w:pStyle w:val="17"/>
              <w:ind w:firstLine="0" w:firstLineChars="0"/>
              <w:rPr>
                <w:rFonts w:ascii="Times New Roman" w:hAnsi="Times New Roman" w:eastAsia="宋体" w:cs="Times New Roman"/>
                <w:b/>
                <w:bCs/>
                <w:sz w:val="18"/>
                <w:szCs w:val="18"/>
              </w:rPr>
            </w:pPr>
            <w:r>
              <w:rPr>
                <w:rFonts w:ascii="Times New Roman" w:hAnsi="Times New Roman" w:cs="Times New Roman"/>
                <w:b/>
                <w:bCs/>
                <w:sz w:val="18"/>
                <w:szCs w:val="18"/>
              </w:rPr>
              <w:t>物质状态</w:t>
            </w:r>
          </w:p>
        </w:tc>
        <w:tc>
          <w:tcPr>
            <w:tcW w:w="2168" w:type="dxa"/>
            <w:vAlign w:val="center"/>
          </w:tcPr>
          <w:p>
            <w:pPr>
              <w:pStyle w:val="17"/>
              <w:ind w:firstLine="0" w:firstLineChars="0"/>
              <w:rPr>
                <w:rFonts w:ascii="Times New Roman" w:hAnsi="Times New Roman" w:cs="Times New Roman"/>
                <w:b/>
                <w:bCs/>
                <w:sz w:val="18"/>
                <w:szCs w:val="18"/>
              </w:rPr>
            </w:pPr>
            <w:r>
              <w:rPr>
                <w:rFonts w:ascii="Times New Roman" w:hAnsi="Times New Roman" w:cs="Times New Roman"/>
                <w:b/>
                <w:bCs/>
                <w:sz w:val="18"/>
                <w:szCs w:val="18"/>
              </w:rPr>
              <w:t>储存方式</w:t>
            </w:r>
          </w:p>
        </w:tc>
        <w:tc>
          <w:tcPr>
            <w:tcW w:w="1746" w:type="dxa"/>
            <w:vAlign w:val="center"/>
          </w:tcPr>
          <w:p>
            <w:pPr>
              <w:pStyle w:val="17"/>
              <w:ind w:firstLine="0" w:firstLineChars="0"/>
              <w:rPr>
                <w:rFonts w:ascii="Times New Roman" w:hAnsi="Times New Roman" w:cs="Times New Roman"/>
                <w:b/>
                <w:bCs/>
                <w:sz w:val="18"/>
                <w:szCs w:val="18"/>
              </w:rPr>
            </w:pPr>
            <w:r>
              <w:rPr>
                <w:rFonts w:ascii="Times New Roman" w:hAnsi="Times New Roman" w:cs="Times New Roman"/>
                <w:b/>
                <w:bCs/>
                <w:sz w:val="18"/>
                <w:szCs w:val="18"/>
              </w:rPr>
              <w:t>存放位置</w:t>
            </w:r>
          </w:p>
        </w:tc>
        <w:tc>
          <w:tcPr>
            <w:tcW w:w="1268" w:type="dxa"/>
            <w:vAlign w:val="center"/>
          </w:tcPr>
          <w:p>
            <w:pPr>
              <w:pStyle w:val="17"/>
              <w:ind w:firstLine="0" w:firstLineChars="0"/>
              <w:rPr>
                <w:rFonts w:ascii="Times New Roman" w:hAnsi="Times New Roman" w:cs="Times New Roman"/>
                <w:b/>
                <w:bCs/>
                <w:sz w:val="18"/>
                <w:szCs w:val="18"/>
              </w:rPr>
            </w:pPr>
            <w:r>
              <w:rPr>
                <w:rFonts w:ascii="Times New Roman" w:hAnsi="Times New Roman" w:cs="Times New Roman"/>
                <w:b/>
                <w:bCs/>
                <w:sz w:val="18"/>
                <w:szCs w:val="18"/>
              </w:rPr>
              <w:t>储存量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8" w:type="dxa"/>
            <w:vAlign w:val="center"/>
          </w:tcPr>
          <w:p>
            <w:pPr>
              <w:pStyle w:val="17"/>
              <w:ind w:firstLine="0" w:firstLineChars="0"/>
              <w:rPr>
                <w:rFonts w:ascii="Times New Roman" w:hAnsi="Times New Roman" w:cs="Times New Roman"/>
                <w:sz w:val="18"/>
                <w:szCs w:val="18"/>
              </w:rPr>
            </w:pPr>
            <w:r>
              <w:rPr>
                <w:rFonts w:hint="eastAsia" w:ascii="Times New Roman" w:hAnsi="Times New Roman" w:cs="Times New Roman"/>
                <w:sz w:val="18"/>
                <w:szCs w:val="18"/>
              </w:rPr>
              <w:t>1</w:t>
            </w:r>
          </w:p>
        </w:tc>
        <w:tc>
          <w:tcPr>
            <w:tcW w:w="1677"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油类物质</w:t>
            </w:r>
          </w:p>
        </w:tc>
        <w:tc>
          <w:tcPr>
            <w:tcW w:w="1132" w:type="dxa"/>
            <w:vAlign w:val="center"/>
          </w:tcPr>
          <w:p>
            <w:pPr>
              <w:ind w:firstLine="0" w:firstLineChars="0"/>
              <w:jc w:val="center"/>
              <w:rPr>
                <w:rFonts w:ascii="Times New Roman" w:hAnsi="Times New Roman" w:eastAsia="宋体" w:cs="Times New Roman"/>
                <w:sz w:val="18"/>
                <w:szCs w:val="18"/>
              </w:rPr>
            </w:pPr>
            <w:r>
              <w:rPr>
                <w:rFonts w:hint="eastAsia" w:ascii="Times New Roman" w:hAnsi="Times New Roman" w:cs="Times New Roman"/>
                <w:sz w:val="18"/>
                <w:szCs w:val="18"/>
              </w:rPr>
              <w:t>/</w:t>
            </w:r>
          </w:p>
        </w:tc>
        <w:tc>
          <w:tcPr>
            <w:tcW w:w="1186" w:type="dxa"/>
            <w:vAlign w:val="center"/>
          </w:tcPr>
          <w:p>
            <w:pPr>
              <w:pStyle w:val="17"/>
              <w:ind w:firstLine="0" w:firstLineChars="0"/>
              <w:rPr>
                <w:rFonts w:ascii="Times New Roman" w:hAnsi="Times New Roman" w:eastAsia="宋体" w:cs="Times New Roman"/>
                <w:kern w:val="0"/>
                <w:sz w:val="18"/>
                <w:szCs w:val="18"/>
              </w:rPr>
            </w:pPr>
            <w:r>
              <w:rPr>
                <w:rFonts w:ascii="Times New Roman" w:hAnsi="Times New Roman" w:cs="Times New Roman"/>
                <w:kern w:val="0"/>
                <w:sz w:val="18"/>
                <w:szCs w:val="18"/>
              </w:rPr>
              <w:t>液态</w:t>
            </w:r>
          </w:p>
        </w:tc>
        <w:tc>
          <w:tcPr>
            <w:tcW w:w="2168" w:type="dxa"/>
            <w:vAlign w:val="center"/>
          </w:tcPr>
          <w:p>
            <w:pPr>
              <w:pStyle w:val="17"/>
              <w:ind w:firstLine="0" w:firstLineChars="0"/>
              <w:rPr>
                <w:rFonts w:ascii="Times New Roman" w:hAnsi="Times New Roman" w:eastAsia="宋体" w:cs="Times New Roman"/>
                <w:sz w:val="18"/>
                <w:szCs w:val="18"/>
              </w:rPr>
            </w:pPr>
            <w:r>
              <w:rPr>
                <w:rFonts w:ascii="Times New Roman" w:hAnsi="Times New Roman" w:cs="Times New Roman"/>
                <w:kern w:val="0"/>
                <w:sz w:val="18"/>
                <w:szCs w:val="18"/>
              </w:rPr>
              <w:t>桶装</w:t>
            </w:r>
          </w:p>
        </w:tc>
        <w:tc>
          <w:tcPr>
            <w:tcW w:w="1746" w:type="dxa"/>
            <w:vAlign w:val="center"/>
          </w:tcPr>
          <w:p>
            <w:pPr>
              <w:spacing w:line="240" w:lineRule="auto"/>
              <w:ind w:firstLine="0" w:firstLineChars="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危化品间、</w:t>
            </w:r>
            <w:r>
              <w:rPr>
                <w:rFonts w:ascii="Times New Roman" w:hAnsi="Times New Roman" w:eastAsia="宋体" w:cs="Times New Roman"/>
                <w:sz w:val="18"/>
                <w:szCs w:val="18"/>
              </w:rPr>
              <w:t>导热油炉、</w:t>
            </w:r>
            <w:r>
              <w:rPr>
                <w:rFonts w:hint="eastAsia" w:ascii="Times New Roman" w:hAnsi="Times New Roman" w:eastAsia="宋体" w:cs="Times New Roman"/>
                <w:sz w:val="18"/>
                <w:szCs w:val="18"/>
              </w:rPr>
              <w:t>危废间</w:t>
            </w:r>
          </w:p>
        </w:tc>
        <w:tc>
          <w:tcPr>
            <w:tcW w:w="1268" w:type="dxa"/>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6</w:t>
            </w:r>
            <w:r>
              <w:rPr>
                <w:rFonts w:ascii="Times New Roman" w:hAnsi="Times New Roman" w:cs="Times New Roman"/>
                <w:sz w:val="18"/>
                <w:szCs w:val="18"/>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8" w:type="dxa"/>
            <w:vAlign w:val="center"/>
          </w:tcPr>
          <w:p>
            <w:pPr>
              <w:pStyle w:val="17"/>
              <w:ind w:firstLine="0" w:firstLineChars="0"/>
              <w:rPr>
                <w:rFonts w:ascii="Times New Roman" w:hAnsi="Times New Roman" w:cs="Times New Roman"/>
                <w:sz w:val="18"/>
                <w:szCs w:val="18"/>
              </w:rPr>
            </w:pPr>
            <w:r>
              <w:rPr>
                <w:rFonts w:hint="eastAsia" w:ascii="Times New Roman" w:hAnsi="Times New Roman" w:cs="Times New Roman"/>
                <w:sz w:val="18"/>
                <w:szCs w:val="18"/>
              </w:rPr>
              <w:t>2</w:t>
            </w:r>
          </w:p>
        </w:tc>
        <w:tc>
          <w:tcPr>
            <w:tcW w:w="1677"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次氯酸钙</w:t>
            </w:r>
          </w:p>
        </w:tc>
        <w:tc>
          <w:tcPr>
            <w:tcW w:w="1132"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200kg/桶</w:t>
            </w:r>
          </w:p>
        </w:tc>
        <w:tc>
          <w:tcPr>
            <w:tcW w:w="1186" w:type="dxa"/>
            <w:vAlign w:val="center"/>
          </w:tcPr>
          <w:p>
            <w:pPr>
              <w:pStyle w:val="17"/>
              <w:ind w:firstLine="0" w:firstLineChars="0"/>
              <w:rPr>
                <w:rFonts w:ascii="Times New Roman" w:hAnsi="Times New Roman" w:cs="Times New Roman"/>
                <w:sz w:val="18"/>
                <w:szCs w:val="18"/>
              </w:rPr>
            </w:pPr>
            <w:r>
              <w:rPr>
                <w:rFonts w:ascii="Times New Roman" w:hAnsi="Times New Roman" w:cs="Times New Roman"/>
                <w:kern w:val="0"/>
                <w:sz w:val="18"/>
                <w:szCs w:val="18"/>
              </w:rPr>
              <w:t>固态</w:t>
            </w:r>
          </w:p>
        </w:tc>
        <w:tc>
          <w:tcPr>
            <w:tcW w:w="2168" w:type="dxa"/>
            <w:vAlign w:val="center"/>
          </w:tcPr>
          <w:p>
            <w:pPr>
              <w:pStyle w:val="17"/>
              <w:ind w:firstLine="0" w:firstLineChars="0"/>
              <w:rPr>
                <w:rFonts w:ascii="Times New Roman" w:hAnsi="Times New Roman" w:cs="Times New Roman"/>
                <w:kern w:val="0"/>
                <w:sz w:val="18"/>
                <w:szCs w:val="18"/>
              </w:rPr>
            </w:pPr>
            <w:r>
              <w:rPr>
                <w:rFonts w:ascii="Times New Roman" w:hAnsi="Times New Roman" w:cs="Times New Roman"/>
                <w:kern w:val="0"/>
                <w:sz w:val="18"/>
                <w:szCs w:val="18"/>
              </w:rPr>
              <w:t>袋装</w:t>
            </w:r>
          </w:p>
        </w:tc>
        <w:tc>
          <w:tcPr>
            <w:tcW w:w="1746" w:type="dxa"/>
            <w:vAlign w:val="center"/>
          </w:tcPr>
          <w:p>
            <w:pPr>
              <w:spacing w:line="240" w:lineRule="auto"/>
              <w:ind w:firstLine="0" w:firstLineChars="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危化品间</w:t>
            </w:r>
          </w:p>
        </w:tc>
        <w:tc>
          <w:tcPr>
            <w:tcW w:w="1268" w:type="dxa"/>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t</w:t>
            </w:r>
          </w:p>
        </w:tc>
      </w:tr>
    </w:tbl>
    <w:p>
      <w:pPr>
        <w:pStyle w:val="18"/>
        <w:numPr>
          <w:ilvl w:val="0"/>
          <w:numId w:val="0"/>
        </w:numPr>
        <w:tabs>
          <w:tab w:val="clear" w:pos="2040"/>
        </w:tabs>
        <w:rPr>
          <w:rFonts w:ascii="Times New Roman" w:hAnsi="Times New Roman" w:cs="Times New Roman"/>
        </w:rPr>
      </w:pPr>
    </w:p>
    <w:p>
      <w:pPr>
        <w:pStyle w:val="7"/>
        <w:spacing w:before="260" w:after="260"/>
        <w:rPr>
          <w:rFonts w:ascii="Times New Roman" w:hAnsi="Times New Roman" w:eastAsia="宋体" w:cs="Times New Roman"/>
          <w:sz w:val="30"/>
          <w:szCs w:val="30"/>
        </w:rPr>
      </w:pPr>
      <w:bookmarkStart w:id="199" w:name="_Toc32458"/>
      <w:bookmarkStart w:id="200" w:name="_Toc523160143"/>
      <w:bookmarkStart w:id="201" w:name="_Toc510164306"/>
      <w:bookmarkStart w:id="202" w:name="_Toc529542551"/>
      <w:bookmarkStart w:id="203" w:name="_Toc132468762"/>
      <w:bookmarkStart w:id="204" w:name="_Toc523160301"/>
      <w:bookmarkStart w:id="205" w:name="_Toc8905"/>
      <w:bookmarkStart w:id="206" w:name="_Toc509234759"/>
      <w:bookmarkStart w:id="207" w:name="_Toc510164033"/>
      <w:bookmarkStart w:id="208" w:name="_Toc510164469"/>
      <w:r>
        <w:rPr>
          <w:rFonts w:ascii="Times New Roman" w:hAnsi="Times New Roman" w:eastAsia="宋体" w:cs="Times New Roman"/>
          <w:sz w:val="30"/>
          <w:szCs w:val="30"/>
        </w:rPr>
        <w:t>2.4污染物产排及治理情况</w:t>
      </w:r>
      <w:bookmarkEnd w:id="199"/>
      <w:bookmarkEnd w:id="200"/>
      <w:bookmarkEnd w:id="201"/>
      <w:bookmarkEnd w:id="202"/>
      <w:bookmarkEnd w:id="203"/>
      <w:bookmarkEnd w:id="204"/>
      <w:bookmarkEnd w:id="205"/>
      <w:bookmarkEnd w:id="206"/>
      <w:bookmarkEnd w:id="207"/>
      <w:bookmarkEnd w:id="208"/>
    </w:p>
    <w:p>
      <w:pPr>
        <w:pStyle w:val="8"/>
        <w:spacing w:before="180" w:after="180"/>
        <w:rPr>
          <w:rFonts w:eastAsia="宋体" w:cs="Times New Roman"/>
          <w:sz w:val="28"/>
          <w:szCs w:val="28"/>
        </w:rPr>
      </w:pPr>
      <w:bookmarkStart w:id="209" w:name="_Toc529542552"/>
      <w:bookmarkStart w:id="210" w:name="_Toc509234760"/>
      <w:bookmarkStart w:id="211" w:name="_Toc27698"/>
      <w:bookmarkStart w:id="212" w:name="_Toc510164034"/>
      <w:bookmarkStart w:id="213" w:name="_Toc523160302"/>
      <w:bookmarkStart w:id="214" w:name="_Toc132468763"/>
      <w:bookmarkStart w:id="215" w:name="_Toc3715"/>
      <w:r>
        <w:rPr>
          <w:rFonts w:eastAsia="宋体" w:cs="Times New Roman"/>
          <w:sz w:val="28"/>
          <w:szCs w:val="28"/>
        </w:rPr>
        <w:t>2.4.1废气</w:t>
      </w:r>
      <w:bookmarkEnd w:id="209"/>
      <w:bookmarkEnd w:id="210"/>
      <w:bookmarkEnd w:id="211"/>
      <w:bookmarkEnd w:id="212"/>
      <w:bookmarkEnd w:id="213"/>
      <w:bookmarkEnd w:id="214"/>
      <w:bookmarkEnd w:id="215"/>
    </w:p>
    <w:p>
      <w:pPr>
        <w:pStyle w:val="2"/>
        <w:spacing w:line="360" w:lineRule="auto"/>
        <w:ind w:firstLine="480" w:firstLineChars="200"/>
        <w:rPr>
          <w:rFonts w:ascii="Times New Roman" w:hAnsi="Times New Roman" w:eastAsia="宋体" w:cs="Times New Roman"/>
        </w:rPr>
      </w:pPr>
      <w:r>
        <w:rPr>
          <w:rFonts w:hint="eastAsia" w:ascii="Times New Roman" w:hAnsi="Times New Roman" w:eastAsia="宋体" w:cs="Times New Roman"/>
        </w:rPr>
        <w:t>项目废气主要为清花、梳棉粉尘和锅炉废气。</w:t>
      </w:r>
    </w:p>
    <w:p>
      <w:pPr>
        <w:pStyle w:val="2"/>
        <w:spacing w:line="360" w:lineRule="auto"/>
        <w:ind w:firstLine="480" w:firstLineChars="200"/>
        <w:rPr>
          <w:rFonts w:ascii="Times New Roman" w:hAnsi="Times New Roman" w:eastAsia="宋体" w:cs="Times New Roman"/>
          <w:color w:val="auto"/>
        </w:rPr>
      </w:pPr>
      <w:r>
        <w:rPr>
          <w:rFonts w:hint="eastAsia" w:ascii="Times New Roman" w:hAnsi="Times New Roman" w:eastAsia="宋体" w:cs="Times New Roman"/>
          <w:color w:val="auto"/>
        </w:rPr>
        <w:t>清花、梳棉（清梳联）等生产工序产生的涤纶纤维、棉花粉尘量较大，清花和梳棉（清梳联）均采用地吸引风，产生的大量涤纶纤维粉尘通过架设在机台附近的单吸滤尘装置处理后车间无组织排放。导热油炉废气直接经15m排气筒高空</w:t>
      </w:r>
      <w:r>
        <w:rPr>
          <w:rFonts w:ascii="Times New Roman" w:hAnsi="Times New Roman" w:eastAsia="宋体" w:cs="Times New Roman"/>
          <w:color w:val="auto"/>
        </w:rPr>
        <w:t>。</w:t>
      </w:r>
    </w:p>
    <w:p>
      <w:pPr>
        <w:pStyle w:val="2"/>
        <w:spacing w:line="360" w:lineRule="auto"/>
        <w:ind w:firstLine="562" w:firstLineChars="200"/>
        <w:rPr>
          <w:rFonts w:eastAsia="宋体" w:cs="Times New Roman"/>
          <w:sz w:val="28"/>
          <w:szCs w:val="28"/>
        </w:rPr>
      </w:pPr>
      <w:bookmarkStart w:id="216" w:name="_Toc523160303"/>
      <w:bookmarkStart w:id="217" w:name="_Toc25259"/>
      <w:bookmarkStart w:id="218" w:name="_Toc510164035"/>
      <w:bookmarkStart w:id="219" w:name="_Toc13760"/>
      <w:bookmarkStart w:id="220" w:name="_Toc509234761"/>
      <w:bookmarkStart w:id="221" w:name="_Toc529542553"/>
      <w:r>
        <w:rPr>
          <w:rFonts w:ascii="Times New Roman" w:hAnsi="Times New Roman" w:eastAsia="宋体" w:cs="Times New Roman"/>
          <w:b/>
          <w:bCs/>
          <w:color w:val="auto"/>
          <w:kern w:val="2"/>
          <w:sz w:val="28"/>
          <w:szCs w:val="28"/>
        </w:rPr>
        <w:t>2.4.2废水</w:t>
      </w:r>
      <w:bookmarkEnd w:id="216"/>
      <w:bookmarkEnd w:id="217"/>
      <w:bookmarkEnd w:id="218"/>
      <w:bookmarkEnd w:id="219"/>
      <w:bookmarkEnd w:id="220"/>
      <w:bookmarkEnd w:id="221"/>
    </w:p>
    <w:p>
      <w:pPr>
        <w:ind w:firstLine="480"/>
        <w:rPr>
          <w:rFonts w:ascii="Times New Roman" w:hAnsi="Times New Roman" w:cs="Times New Roman"/>
          <w:szCs w:val="24"/>
        </w:rPr>
      </w:pPr>
      <w:bookmarkStart w:id="222" w:name="_Toc22994"/>
      <w:bookmarkStart w:id="223" w:name="_Toc510164036"/>
      <w:bookmarkStart w:id="224" w:name="_Toc529542554"/>
      <w:bookmarkStart w:id="225" w:name="_Toc509234762"/>
      <w:bookmarkStart w:id="226" w:name="_Toc523160304"/>
      <w:bookmarkStart w:id="227" w:name="_Toc7039"/>
      <w:r>
        <w:rPr>
          <w:rFonts w:ascii="Times New Roman" w:hAnsi="Times New Roman" w:cs="Times New Roman"/>
          <w:szCs w:val="24"/>
        </w:rPr>
        <w:t>项目排水采用雨、污分流制，</w:t>
      </w:r>
      <w:r>
        <w:rPr>
          <w:rFonts w:ascii="Times New Roman" w:hAnsi="Times New Roman" w:cs="Times New Roman"/>
          <w:szCs w:val="24"/>
          <w:lang w:bidi="ar"/>
        </w:rPr>
        <w:t>项目废水主要为生活污水，项目生产废水经自建污水处理站处理、生活污水经化粪池处理后</w:t>
      </w:r>
      <w:r>
        <w:rPr>
          <w:rFonts w:ascii="Times New Roman" w:hAnsi="Times New Roman" w:cs="Times New Roman"/>
          <w:bCs/>
          <w:szCs w:val="24"/>
        </w:rPr>
        <w:t>达到《污水综合排放标准》（GB8978-1996）表4中三级标准及污水处理厂接管标准后，通过园区污水管网排入车埠镇污水处理站深度处理，尾水排入周边水体。</w:t>
      </w:r>
    </w:p>
    <w:p>
      <w:pPr>
        <w:pStyle w:val="8"/>
        <w:spacing w:before="180" w:after="180"/>
        <w:rPr>
          <w:rFonts w:eastAsia="宋体" w:cs="Times New Roman"/>
          <w:sz w:val="28"/>
          <w:szCs w:val="28"/>
        </w:rPr>
      </w:pPr>
      <w:bookmarkStart w:id="228" w:name="_Toc132468764"/>
      <w:r>
        <w:rPr>
          <w:rFonts w:eastAsia="宋体" w:cs="Times New Roman"/>
          <w:sz w:val="28"/>
          <w:szCs w:val="28"/>
        </w:rPr>
        <w:t>2.4.3噪声</w:t>
      </w:r>
      <w:bookmarkEnd w:id="222"/>
      <w:bookmarkEnd w:id="223"/>
      <w:bookmarkEnd w:id="224"/>
      <w:bookmarkEnd w:id="225"/>
      <w:bookmarkEnd w:id="226"/>
      <w:bookmarkEnd w:id="227"/>
      <w:bookmarkEnd w:id="228"/>
    </w:p>
    <w:p>
      <w:pPr>
        <w:ind w:firstLine="480"/>
        <w:rPr>
          <w:rFonts w:ascii="Times New Roman" w:hAnsi="Times New Roman" w:eastAsia="宋体" w:cs="Times New Roman"/>
        </w:rPr>
      </w:pPr>
      <w:bookmarkStart w:id="229" w:name="_Toc523160305"/>
      <w:bookmarkStart w:id="230" w:name="_Toc509234763"/>
      <w:bookmarkStart w:id="231" w:name="_Toc510164037"/>
      <w:bookmarkStart w:id="232" w:name="_Toc31689"/>
      <w:bookmarkStart w:id="233" w:name="_Toc529542555"/>
      <w:r>
        <w:rPr>
          <w:rFonts w:ascii="Times New Roman" w:hAnsi="Times New Roman" w:eastAsia="宋体" w:cs="Times New Roman"/>
        </w:rPr>
        <w:t>厂区内主要噪声污染源为生产设备和环保设施运行产生的。通过建筑隔音、绿化、减震降噪，选用低噪声设备、加强对噪声设备的维护管理等措施来减少噪声对周边环境的影响。</w:t>
      </w:r>
    </w:p>
    <w:p>
      <w:pPr>
        <w:pStyle w:val="8"/>
        <w:spacing w:before="180" w:after="180"/>
        <w:rPr>
          <w:rFonts w:eastAsia="宋体" w:cs="Times New Roman"/>
          <w:sz w:val="28"/>
          <w:szCs w:val="28"/>
        </w:rPr>
      </w:pPr>
      <w:bookmarkStart w:id="234" w:name="_Toc11416"/>
      <w:bookmarkStart w:id="235" w:name="_Toc132468765"/>
      <w:r>
        <w:rPr>
          <w:rFonts w:eastAsia="宋体" w:cs="Times New Roman"/>
          <w:sz w:val="28"/>
          <w:szCs w:val="28"/>
        </w:rPr>
        <w:t>2.4.4固体废物</w:t>
      </w:r>
      <w:bookmarkEnd w:id="229"/>
      <w:bookmarkEnd w:id="230"/>
      <w:bookmarkEnd w:id="231"/>
      <w:bookmarkEnd w:id="232"/>
      <w:bookmarkEnd w:id="233"/>
      <w:bookmarkEnd w:id="234"/>
      <w:bookmarkEnd w:id="235"/>
    </w:p>
    <w:p>
      <w:pPr>
        <w:adjustRightInd w:val="0"/>
        <w:snapToGrid w:val="0"/>
        <w:ind w:firstLine="480"/>
        <w:rPr>
          <w:rFonts w:ascii="Times New Roman" w:hAnsi="Times New Roman" w:cs="Times New Roman"/>
          <w:szCs w:val="24"/>
        </w:rPr>
      </w:pPr>
      <w:bookmarkStart w:id="236" w:name="_Toc510164307"/>
      <w:bookmarkStart w:id="237" w:name="_Toc510164038"/>
      <w:bookmarkStart w:id="238" w:name="_Toc509234764"/>
      <w:bookmarkStart w:id="239" w:name="_Toc510164470"/>
      <w:bookmarkStart w:id="240" w:name="_Toc523160144"/>
      <w:bookmarkStart w:id="241" w:name="_Toc529542556"/>
      <w:bookmarkStart w:id="242" w:name="_Toc523160306"/>
      <w:bookmarkStart w:id="243" w:name="_Toc31366"/>
      <w:r>
        <w:rPr>
          <w:rFonts w:ascii="Times New Roman" w:hAnsi="Times New Roman" w:cs="Times New Roman"/>
          <w:szCs w:val="24"/>
        </w:rPr>
        <w:t>根据现场调查，项目产生的固体废物主要有废包装材料、废边角料、废导热油、生活垃圾等。废导热油委托有资质单位处置；废包装材料和废边角料收集后由物资回收利用单位处理；生活垃圾收集后由环卫部门定期清运处理。</w:t>
      </w:r>
    </w:p>
    <w:p>
      <w:pPr>
        <w:pStyle w:val="7"/>
        <w:spacing w:before="260" w:after="260"/>
        <w:rPr>
          <w:rFonts w:ascii="Times New Roman" w:hAnsi="Times New Roman" w:eastAsia="宋体" w:cs="Times New Roman"/>
          <w:sz w:val="30"/>
          <w:szCs w:val="30"/>
        </w:rPr>
      </w:pPr>
      <w:bookmarkStart w:id="244" w:name="_Toc132468766"/>
      <w:bookmarkStart w:id="245" w:name="_Toc29633"/>
      <w:r>
        <w:rPr>
          <w:rFonts w:ascii="Times New Roman" w:hAnsi="Times New Roman" w:eastAsia="宋体" w:cs="Times New Roman"/>
          <w:sz w:val="30"/>
          <w:szCs w:val="30"/>
        </w:rPr>
        <w:t>2.5环境保护目标及功能划分</w:t>
      </w:r>
      <w:bookmarkEnd w:id="236"/>
      <w:bookmarkEnd w:id="237"/>
      <w:bookmarkEnd w:id="238"/>
      <w:bookmarkEnd w:id="239"/>
      <w:bookmarkEnd w:id="240"/>
      <w:bookmarkEnd w:id="241"/>
      <w:bookmarkEnd w:id="242"/>
      <w:bookmarkEnd w:id="243"/>
      <w:bookmarkEnd w:id="244"/>
      <w:bookmarkEnd w:id="245"/>
    </w:p>
    <w:p>
      <w:pPr>
        <w:pStyle w:val="8"/>
        <w:spacing w:before="180" w:after="180"/>
        <w:rPr>
          <w:rFonts w:eastAsia="宋体" w:cs="Times New Roman"/>
          <w:sz w:val="28"/>
          <w:szCs w:val="28"/>
        </w:rPr>
      </w:pPr>
      <w:bookmarkStart w:id="246" w:name="_Toc523160307"/>
      <w:bookmarkStart w:id="247" w:name="_Toc26437"/>
      <w:bookmarkStart w:id="248" w:name="_Toc509234765"/>
      <w:bookmarkStart w:id="249" w:name="_Toc132468767"/>
      <w:bookmarkStart w:id="250" w:name="_Toc25328"/>
      <w:bookmarkStart w:id="251" w:name="_Toc510164039"/>
      <w:bookmarkStart w:id="252" w:name="_Toc529542557"/>
      <w:r>
        <w:rPr>
          <w:rFonts w:eastAsia="宋体" w:cs="Times New Roman"/>
          <w:sz w:val="28"/>
          <w:szCs w:val="28"/>
        </w:rPr>
        <w:t>2.5.1环境保护目标</w:t>
      </w:r>
      <w:bookmarkEnd w:id="246"/>
      <w:bookmarkEnd w:id="247"/>
      <w:bookmarkEnd w:id="248"/>
      <w:bookmarkEnd w:id="249"/>
      <w:bookmarkEnd w:id="250"/>
      <w:bookmarkEnd w:id="251"/>
      <w:bookmarkEnd w:id="252"/>
    </w:p>
    <w:p>
      <w:pPr>
        <w:ind w:firstLine="480"/>
        <w:rPr>
          <w:rFonts w:ascii="Times New Roman" w:hAnsi="Times New Roman" w:eastAsia="宋体" w:cs="Times New Roman"/>
          <w:b/>
          <w:sz w:val="21"/>
          <w:szCs w:val="21"/>
        </w:rPr>
      </w:pPr>
      <w:r>
        <w:rPr>
          <w:rFonts w:ascii="Times New Roman" w:hAnsi="Times New Roman" w:eastAsia="宋体" w:cs="Times New Roman"/>
          <w:szCs w:val="24"/>
        </w:rPr>
        <w:t>项目周边环境保护目标如下表2.5-1所示。</w:t>
      </w:r>
    </w:p>
    <w:p>
      <w:pPr>
        <w:spacing w:line="240" w:lineRule="auto"/>
        <w:ind w:firstLine="422"/>
        <w:jc w:val="center"/>
        <w:rPr>
          <w:rFonts w:ascii="Times New Roman" w:hAnsi="Times New Roman" w:eastAsia="宋体" w:cs="Times New Roman"/>
          <w:b/>
          <w:sz w:val="21"/>
          <w:szCs w:val="21"/>
        </w:rPr>
      </w:pPr>
      <w:r>
        <w:rPr>
          <w:rFonts w:ascii="Times New Roman" w:hAnsi="Times New Roman" w:eastAsia="宋体" w:cs="Times New Roman"/>
          <w:b/>
          <w:sz w:val="21"/>
          <w:szCs w:val="21"/>
        </w:rPr>
        <w:t>表2.5-1  环境保护目标</w:t>
      </w:r>
    </w:p>
    <w:tbl>
      <w:tblPr>
        <w:tblStyle w:val="36"/>
        <w:tblW w:w="996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910"/>
        <w:gridCol w:w="811"/>
        <w:gridCol w:w="1424"/>
        <w:gridCol w:w="1576"/>
        <w:gridCol w:w="14"/>
        <w:gridCol w:w="660"/>
        <w:gridCol w:w="24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1113" w:type="dxa"/>
            <w:tcBorders>
              <w:top w:val="single" w:color="auto" w:sz="12" w:space="0"/>
              <w:bottom w:val="single" w:color="auto" w:sz="12" w:space="0"/>
            </w:tcBorders>
            <w:vAlign w:val="center"/>
          </w:tcPr>
          <w:p>
            <w:pPr>
              <w:spacing w:line="240" w:lineRule="auto"/>
              <w:ind w:firstLine="0" w:firstLineChars="0"/>
              <w:jc w:val="center"/>
              <w:rPr>
                <w:rFonts w:ascii="Times New Roman" w:hAnsi="Times New Roman" w:eastAsia="宋体" w:cs="Times New Roman"/>
                <w:b/>
                <w:kern w:val="0"/>
                <w:sz w:val="18"/>
                <w:szCs w:val="18"/>
              </w:rPr>
            </w:pPr>
            <w:bookmarkStart w:id="253" w:name="_Toc509234766"/>
            <w:bookmarkStart w:id="254" w:name="_Toc510164040"/>
            <w:bookmarkStart w:id="255" w:name="_Toc523160308"/>
            <w:bookmarkStart w:id="256" w:name="_Toc529542558"/>
            <w:r>
              <w:rPr>
                <w:rFonts w:ascii="Times New Roman" w:hAnsi="Times New Roman" w:eastAsia="宋体" w:cs="Times New Roman"/>
                <w:b/>
                <w:kern w:val="0"/>
                <w:sz w:val="18"/>
                <w:szCs w:val="18"/>
              </w:rPr>
              <w:t>环境要素</w:t>
            </w:r>
          </w:p>
        </w:tc>
        <w:tc>
          <w:tcPr>
            <w:tcW w:w="1910" w:type="dxa"/>
            <w:tcBorders>
              <w:top w:val="single" w:color="auto" w:sz="12" w:space="0"/>
              <w:bottom w:val="single" w:color="auto" w:sz="12" w:space="0"/>
            </w:tcBorders>
            <w:vAlign w:val="center"/>
          </w:tcPr>
          <w:p>
            <w:pPr>
              <w:spacing w:line="240" w:lineRule="auto"/>
              <w:ind w:firstLine="0" w:firstLineChars="0"/>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保护对象名称</w:t>
            </w:r>
          </w:p>
        </w:tc>
        <w:tc>
          <w:tcPr>
            <w:tcW w:w="811" w:type="dxa"/>
            <w:tcBorders>
              <w:top w:val="single" w:color="auto" w:sz="12" w:space="0"/>
              <w:bottom w:val="single" w:color="auto" w:sz="12" w:space="0"/>
            </w:tcBorders>
            <w:vAlign w:val="center"/>
          </w:tcPr>
          <w:p>
            <w:pPr>
              <w:spacing w:line="240" w:lineRule="auto"/>
              <w:ind w:firstLine="0" w:firstLineChars="0"/>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方位</w:t>
            </w:r>
          </w:p>
        </w:tc>
        <w:tc>
          <w:tcPr>
            <w:tcW w:w="1424" w:type="dxa"/>
            <w:tcBorders>
              <w:top w:val="single" w:color="auto" w:sz="12" w:space="0"/>
              <w:bottom w:val="single" w:color="auto" w:sz="12" w:space="0"/>
            </w:tcBorders>
            <w:vAlign w:val="center"/>
          </w:tcPr>
          <w:p>
            <w:pPr>
              <w:spacing w:line="240" w:lineRule="auto"/>
              <w:ind w:firstLine="0" w:firstLineChars="0"/>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最近距离（m）</w:t>
            </w:r>
          </w:p>
        </w:tc>
        <w:tc>
          <w:tcPr>
            <w:tcW w:w="1576" w:type="dxa"/>
            <w:tcBorders>
              <w:top w:val="single" w:color="auto" w:sz="12" w:space="0"/>
              <w:bottom w:val="single" w:color="auto" w:sz="12" w:space="0"/>
            </w:tcBorders>
            <w:vAlign w:val="center"/>
          </w:tcPr>
          <w:p>
            <w:pPr>
              <w:spacing w:line="240" w:lineRule="auto"/>
              <w:ind w:firstLine="0" w:firstLineChars="0"/>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规模（人）</w:t>
            </w:r>
          </w:p>
        </w:tc>
        <w:tc>
          <w:tcPr>
            <w:tcW w:w="674" w:type="dxa"/>
            <w:gridSpan w:val="2"/>
            <w:tcBorders>
              <w:top w:val="single" w:color="auto" w:sz="12" w:space="0"/>
              <w:bottom w:val="single" w:color="auto" w:sz="12" w:space="0"/>
            </w:tcBorders>
            <w:vAlign w:val="center"/>
          </w:tcPr>
          <w:p>
            <w:pPr>
              <w:spacing w:line="240" w:lineRule="auto"/>
              <w:ind w:firstLine="0" w:firstLineChars="0"/>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备注</w:t>
            </w:r>
          </w:p>
        </w:tc>
        <w:tc>
          <w:tcPr>
            <w:tcW w:w="2454" w:type="dxa"/>
            <w:tcBorders>
              <w:top w:val="single" w:color="auto" w:sz="12" w:space="0"/>
              <w:bottom w:val="single" w:color="auto" w:sz="12" w:space="0"/>
            </w:tcBorders>
            <w:vAlign w:val="center"/>
          </w:tcPr>
          <w:p>
            <w:pPr>
              <w:spacing w:line="240" w:lineRule="auto"/>
              <w:ind w:firstLine="0" w:firstLineChars="0"/>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保护等级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13" w:type="dxa"/>
            <w:vMerge w:val="restart"/>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环境空气</w:t>
            </w:r>
          </w:p>
        </w:tc>
        <w:tc>
          <w:tcPr>
            <w:tcW w:w="1910" w:type="dxa"/>
            <w:tcBorders>
              <w:top w:val="single" w:color="auto" w:sz="4" w:space="0"/>
              <w:bottom w:val="single" w:color="auto" w:sz="4" w:space="0"/>
            </w:tcBorders>
            <w:vAlign w:val="center"/>
          </w:tcPr>
          <w:p>
            <w:pPr>
              <w:widowControl/>
              <w:adjustRightInd w:val="0"/>
              <w:snapToGrid w:val="0"/>
              <w:spacing w:line="320" w:lineRule="exact"/>
              <w:ind w:right="-57" w:firstLine="0" w:firstLineChars="0"/>
              <w:jc w:val="center"/>
              <w:rPr>
                <w:rFonts w:ascii="Times New Roman" w:hAnsi="Times New Roman" w:eastAsia="宋体" w:cs="Times New Roman"/>
                <w:bCs/>
                <w:kern w:val="0"/>
                <w:sz w:val="18"/>
                <w:szCs w:val="18"/>
              </w:rPr>
            </w:pPr>
            <w:r>
              <w:rPr>
                <w:rFonts w:ascii="Times New Roman" w:hAnsi="Times New Roman" w:cs="Times New Roman"/>
                <w:bCs/>
                <w:sz w:val="18"/>
                <w:szCs w:val="18"/>
                <w:lang w:bidi="ar"/>
              </w:rPr>
              <w:t>大李坡</w:t>
            </w:r>
          </w:p>
        </w:tc>
        <w:tc>
          <w:tcPr>
            <w:tcW w:w="811" w:type="dxa"/>
            <w:tcBorders>
              <w:top w:val="single" w:color="auto" w:sz="4" w:space="0"/>
              <w:bottom w:val="single" w:color="auto" w:sz="4" w:space="0"/>
            </w:tcBorders>
            <w:vAlign w:val="center"/>
          </w:tcPr>
          <w:p>
            <w:pPr>
              <w:widowControl/>
              <w:adjustRightInd w:val="0"/>
              <w:snapToGrid w:val="0"/>
              <w:spacing w:line="320" w:lineRule="exact"/>
              <w:ind w:right="-57"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东</w:t>
            </w:r>
          </w:p>
        </w:tc>
        <w:tc>
          <w:tcPr>
            <w:tcW w:w="1424" w:type="dxa"/>
            <w:tcBorders>
              <w:top w:val="single" w:color="auto" w:sz="4" w:space="0"/>
              <w:bottom w:val="single" w:color="auto" w:sz="4" w:space="0"/>
            </w:tcBorders>
            <w:vAlign w:val="center"/>
          </w:tcPr>
          <w:p>
            <w:pPr>
              <w:adjustRightInd w:val="0"/>
              <w:snapToGrid w:val="0"/>
              <w:spacing w:line="320" w:lineRule="exact"/>
              <w:ind w:firstLine="0" w:firstLineChars="0"/>
              <w:jc w:val="center"/>
              <w:rPr>
                <w:rFonts w:ascii="Times New Roman" w:hAnsi="Times New Roman" w:eastAsia="宋体" w:cs="Times New Roman"/>
                <w:bCs/>
                <w:kern w:val="0"/>
                <w:sz w:val="18"/>
                <w:szCs w:val="18"/>
              </w:rPr>
            </w:pPr>
            <w:r>
              <w:rPr>
                <w:rFonts w:hint="eastAsia" w:ascii="Times New Roman" w:hAnsi="Times New Roman" w:cs="Times New Roman"/>
                <w:sz w:val="18"/>
                <w:szCs w:val="18"/>
                <w:lang w:bidi="ar"/>
              </w:rPr>
              <w:t>190</w:t>
            </w:r>
          </w:p>
        </w:tc>
        <w:tc>
          <w:tcPr>
            <w:tcW w:w="1576" w:type="dxa"/>
            <w:tcBorders>
              <w:top w:val="single" w:color="auto" w:sz="4" w:space="0"/>
              <w:bottom w:val="single" w:color="auto" w:sz="4" w:space="0"/>
            </w:tcBorders>
            <w:vAlign w:val="center"/>
          </w:tcPr>
          <w:p>
            <w:pPr>
              <w:adjustRightInd w:val="0"/>
              <w:snapToGrid w:val="0"/>
              <w:spacing w:line="320" w:lineRule="exact"/>
              <w:ind w:firstLine="0" w:firstLineChars="0"/>
              <w:jc w:val="center"/>
              <w:rPr>
                <w:rFonts w:ascii="Times New Roman" w:hAnsi="Times New Roman" w:eastAsia="宋体" w:cs="Times New Roman"/>
                <w:bCs/>
                <w:kern w:val="0"/>
                <w:sz w:val="18"/>
                <w:szCs w:val="18"/>
              </w:rPr>
            </w:pPr>
            <w:r>
              <w:rPr>
                <w:rFonts w:ascii="Times New Roman" w:hAnsi="Times New Roman" w:cs="Times New Roman"/>
                <w:sz w:val="18"/>
                <w:szCs w:val="18"/>
                <w:lang w:bidi="ar"/>
              </w:rPr>
              <w:t>1</w:t>
            </w:r>
            <w:r>
              <w:rPr>
                <w:rFonts w:hint="eastAsia" w:ascii="Times New Roman" w:hAnsi="Times New Roman" w:cs="Times New Roman"/>
                <w:sz w:val="18"/>
                <w:szCs w:val="18"/>
                <w:lang w:bidi="ar"/>
              </w:rPr>
              <w:t>0</w:t>
            </w:r>
            <w:r>
              <w:rPr>
                <w:rFonts w:ascii="Times New Roman" w:hAnsi="Times New Roman" w:cs="Times New Roman"/>
                <w:sz w:val="18"/>
                <w:szCs w:val="18"/>
                <w:lang w:bidi="ar"/>
              </w:rPr>
              <w:t>0</w:t>
            </w:r>
          </w:p>
        </w:tc>
        <w:tc>
          <w:tcPr>
            <w:tcW w:w="674" w:type="dxa"/>
            <w:gridSpan w:val="2"/>
            <w:vMerge w:val="restart"/>
            <w:vAlign w:val="center"/>
          </w:tcPr>
          <w:p>
            <w:pPr>
              <w:adjustRightInd w:val="0"/>
              <w:snapToGrid w:val="0"/>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车埠镇</w:t>
            </w:r>
          </w:p>
        </w:tc>
        <w:tc>
          <w:tcPr>
            <w:tcW w:w="2454" w:type="dxa"/>
            <w:vMerge w:val="restart"/>
            <w:vAlign w:val="center"/>
          </w:tcPr>
          <w:p>
            <w:pPr>
              <w:adjustRightInd w:val="0"/>
              <w:snapToGrid w:val="0"/>
              <w:spacing w:line="240" w:lineRule="auto"/>
              <w:ind w:firstLine="36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13" w:type="dxa"/>
            <w:vMerge w:val="continue"/>
            <w:vAlign w:val="center"/>
          </w:tcPr>
          <w:p>
            <w:pPr>
              <w:spacing w:line="240" w:lineRule="auto"/>
              <w:ind w:firstLine="360"/>
              <w:jc w:val="center"/>
              <w:rPr>
                <w:rFonts w:ascii="Times New Roman" w:hAnsi="Times New Roman" w:eastAsia="宋体" w:cs="Times New Roman"/>
                <w:bCs/>
                <w:kern w:val="0"/>
                <w:sz w:val="18"/>
                <w:szCs w:val="18"/>
              </w:rPr>
            </w:pPr>
          </w:p>
        </w:tc>
        <w:tc>
          <w:tcPr>
            <w:tcW w:w="1910" w:type="dxa"/>
            <w:tcBorders>
              <w:top w:val="single" w:color="auto" w:sz="4" w:space="0"/>
              <w:bottom w:val="single" w:color="auto" w:sz="4" w:space="0"/>
            </w:tcBorders>
            <w:vAlign w:val="center"/>
          </w:tcPr>
          <w:p>
            <w:pPr>
              <w:widowControl/>
              <w:adjustRightInd w:val="0"/>
              <w:snapToGrid w:val="0"/>
              <w:spacing w:line="320" w:lineRule="exact"/>
              <w:ind w:right="-57" w:firstLine="0" w:firstLineChars="0"/>
              <w:jc w:val="center"/>
              <w:rPr>
                <w:rFonts w:ascii="Times New Roman" w:hAnsi="Times New Roman" w:eastAsia="宋体" w:cs="Times New Roman"/>
                <w:bCs/>
                <w:kern w:val="0"/>
                <w:sz w:val="18"/>
                <w:szCs w:val="18"/>
              </w:rPr>
            </w:pPr>
            <w:r>
              <w:rPr>
                <w:rFonts w:ascii="Times New Roman" w:hAnsi="Times New Roman" w:cs="Times New Roman"/>
                <w:bCs/>
                <w:sz w:val="18"/>
                <w:szCs w:val="18"/>
                <w:lang w:bidi="ar"/>
              </w:rPr>
              <w:t>车埠村</w:t>
            </w:r>
          </w:p>
        </w:tc>
        <w:tc>
          <w:tcPr>
            <w:tcW w:w="811" w:type="dxa"/>
            <w:tcBorders>
              <w:top w:val="single" w:color="auto" w:sz="4" w:space="0"/>
              <w:bottom w:val="single" w:color="auto" w:sz="4" w:space="0"/>
            </w:tcBorders>
            <w:vAlign w:val="center"/>
          </w:tcPr>
          <w:p>
            <w:pPr>
              <w:adjustRightInd w:val="0"/>
              <w:snapToGrid w:val="0"/>
              <w:spacing w:line="320" w:lineRule="exact"/>
              <w:ind w:firstLine="0" w:firstLineChars="0"/>
              <w:jc w:val="center"/>
              <w:rPr>
                <w:rFonts w:ascii="Times New Roman" w:hAnsi="Times New Roman" w:eastAsia="宋体" w:cs="Times New Roman"/>
                <w:bCs/>
                <w:kern w:val="0"/>
                <w:sz w:val="18"/>
                <w:szCs w:val="18"/>
              </w:rPr>
            </w:pPr>
            <w:r>
              <w:rPr>
                <w:rFonts w:ascii="Times New Roman" w:hAnsi="Times New Roman" w:cs="Times New Roman"/>
                <w:sz w:val="18"/>
                <w:szCs w:val="18"/>
                <w:lang w:bidi="ar"/>
              </w:rPr>
              <w:t>北</w:t>
            </w:r>
          </w:p>
        </w:tc>
        <w:tc>
          <w:tcPr>
            <w:tcW w:w="1424" w:type="dxa"/>
            <w:tcBorders>
              <w:top w:val="single" w:color="auto" w:sz="4" w:space="0"/>
              <w:bottom w:val="single" w:color="auto" w:sz="4" w:space="0"/>
            </w:tcBorders>
            <w:vAlign w:val="center"/>
          </w:tcPr>
          <w:p>
            <w:pPr>
              <w:adjustRightInd w:val="0"/>
              <w:snapToGrid w:val="0"/>
              <w:spacing w:line="320" w:lineRule="exact"/>
              <w:ind w:firstLine="0" w:firstLineChars="0"/>
              <w:jc w:val="center"/>
              <w:rPr>
                <w:rFonts w:ascii="Times New Roman" w:hAnsi="Times New Roman" w:eastAsia="宋体" w:cs="Times New Roman"/>
                <w:bCs/>
                <w:kern w:val="0"/>
                <w:sz w:val="18"/>
                <w:szCs w:val="18"/>
              </w:rPr>
            </w:pPr>
            <w:r>
              <w:rPr>
                <w:rFonts w:hint="eastAsia" w:ascii="Times New Roman" w:hAnsi="Times New Roman" w:cs="Times New Roman"/>
                <w:sz w:val="18"/>
                <w:szCs w:val="18"/>
                <w:lang w:bidi="ar"/>
              </w:rPr>
              <w:t>335</w:t>
            </w:r>
          </w:p>
        </w:tc>
        <w:tc>
          <w:tcPr>
            <w:tcW w:w="1576" w:type="dxa"/>
            <w:tcBorders>
              <w:top w:val="single" w:color="auto" w:sz="4" w:space="0"/>
              <w:bottom w:val="single" w:color="auto" w:sz="4" w:space="0"/>
            </w:tcBorders>
            <w:vAlign w:val="center"/>
          </w:tcPr>
          <w:p>
            <w:pPr>
              <w:adjustRightInd w:val="0"/>
              <w:snapToGrid w:val="0"/>
              <w:spacing w:line="320" w:lineRule="exact"/>
              <w:ind w:firstLine="0" w:firstLineChars="0"/>
              <w:jc w:val="center"/>
              <w:rPr>
                <w:rFonts w:ascii="Times New Roman" w:hAnsi="Times New Roman" w:eastAsia="宋体" w:cs="Times New Roman"/>
                <w:bCs/>
                <w:kern w:val="0"/>
                <w:sz w:val="18"/>
                <w:szCs w:val="18"/>
              </w:rPr>
            </w:pPr>
            <w:r>
              <w:rPr>
                <w:rFonts w:hint="eastAsia" w:ascii="Times New Roman" w:hAnsi="Times New Roman" w:cs="Times New Roman"/>
                <w:sz w:val="18"/>
                <w:szCs w:val="18"/>
                <w:lang w:bidi="ar"/>
              </w:rPr>
              <w:t>10</w:t>
            </w:r>
          </w:p>
        </w:tc>
        <w:tc>
          <w:tcPr>
            <w:tcW w:w="674" w:type="dxa"/>
            <w:gridSpan w:val="2"/>
            <w:vMerge w:val="continue"/>
            <w:vAlign w:val="center"/>
          </w:tcPr>
          <w:p>
            <w:pPr>
              <w:adjustRightInd w:val="0"/>
              <w:snapToGrid w:val="0"/>
              <w:spacing w:line="240" w:lineRule="auto"/>
              <w:ind w:firstLine="360"/>
              <w:jc w:val="center"/>
              <w:rPr>
                <w:rFonts w:ascii="Times New Roman" w:hAnsi="Times New Roman" w:eastAsia="宋体" w:cs="Times New Roman"/>
                <w:bCs/>
                <w:kern w:val="0"/>
                <w:sz w:val="18"/>
                <w:szCs w:val="18"/>
              </w:rPr>
            </w:pPr>
          </w:p>
        </w:tc>
        <w:tc>
          <w:tcPr>
            <w:tcW w:w="2454" w:type="dxa"/>
            <w:vMerge w:val="continue"/>
            <w:vAlign w:val="center"/>
          </w:tcPr>
          <w:p>
            <w:pPr>
              <w:adjustRightInd w:val="0"/>
              <w:snapToGrid w:val="0"/>
              <w:spacing w:line="240" w:lineRule="auto"/>
              <w:ind w:firstLine="360"/>
              <w:jc w:val="center"/>
              <w:rPr>
                <w:rFonts w:ascii="Times New Roman" w:hAnsi="Times New Roman" w:eastAsia="宋体" w:cs="Times New Roman"/>
                <w:bCs/>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13" w:type="dxa"/>
            <w:vMerge w:val="continue"/>
            <w:vAlign w:val="center"/>
          </w:tcPr>
          <w:p>
            <w:pPr>
              <w:spacing w:line="240" w:lineRule="auto"/>
              <w:ind w:firstLine="360"/>
              <w:jc w:val="center"/>
              <w:rPr>
                <w:rFonts w:ascii="Times New Roman" w:hAnsi="Times New Roman" w:eastAsia="宋体" w:cs="Times New Roman"/>
                <w:bCs/>
                <w:kern w:val="0"/>
                <w:sz w:val="18"/>
                <w:szCs w:val="18"/>
              </w:rPr>
            </w:pPr>
          </w:p>
        </w:tc>
        <w:tc>
          <w:tcPr>
            <w:tcW w:w="1910" w:type="dxa"/>
            <w:tcBorders>
              <w:top w:val="single" w:color="auto" w:sz="4" w:space="0"/>
              <w:bottom w:val="single" w:color="auto" w:sz="4" w:space="0"/>
            </w:tcBorders>
            <w:vAlign w:val="center"/>
          </w:tcPr>
          <w:p>
            <w:pPr>
              <w:widowControl/>
              <w:adjustRightInd w:val="0"/>
              <w:snapToGrid w:val="0"/>
              <w:spacing w:line="320" w:lineRule="exact"/>
              <w:ind w:right="-57" w:firstLine="0" w:firstLineChars="0"/>
              <w:jc w:val="center"/>
              <w:rPr>
                <w:rFonts w:ascii="Times New Roman" w:hAnsi="Times New Roman" w:eastAsia="宋体" w:cs="Times New Roman"/>
                <w:sz w:val="18"/>
                <w:szCs w:val="18"/>
              </w:rPr>
            </w:pPr>
            <w:r>
              <w:rPr>
                <w:rFonts w:ascii="Times New Roman" w:hAnsi="Times New Roman" w:cs="Times New Roman"/>
                <w:bCs/>
                <w:sz w:val="18"/>
                <w:szCs w:val="18"/>
                <w:lang w:bidi="ar"/>
              </w:rPr>
              <w:t>黄土湖顾家</w:t>
            </w:r>
          </w:p>
        </w:tc>
        <w:tc>
          <w:tcPr>
            <w:tcW w:w="811" w:type="dxa"/>
            <w:tcBorders>
              <w:top w:val="single" w:color="auto" w:sz="4" w:space="0"/>
              <w:bottom w:val="single" w:color="auto" w:sz="4" w:space="0"/>
            </w:tcBorders>
            <w:vAlign w:val="center"/>
          </w:tcPr>
          <w:p>
            <w:pPr>
              <w:adjustRightInd w:val="0"/>
              <w:snapToGrid w:val="0"/>
              <w:spacing w:line="320" w:lineRule="exact"/>
              <w:ind w:firstLine="0" w:firstLineChars="0"/>
              <w:jc w:val="center"/>
              <w:rPr>
                <w:rFonts w:ascii="Times New Roman" w:hAnsi="Times New Roman" w:eastAsia="宋体" w:cs="Times New Roman"/>
                <w:bCs/>
                <w:kern w:val="0"/>
                <w:sz w:val="18"/>
                <w:szCs w:val="18"/>
              </w:rPr>
            </w:pPr>
            <w:r>
              <w:rPr>
                <w:rFonts w:ascii="Times New Roman" w:hAnsi="Times New Roman" w:cs="Times New Roman"/>
                <w:sz w:val="18"/>
                <w:szCs w:val="18"/>
                <w:lang w:bidi="ar"/>
              </w:rPr>
              <w:t>北</w:t>
            </w:r>
          </w:p>
        </w:tc>
        <w:tc>
          <w:tcPr>
            <w:tcW w:w="1424" w:type="dxa"/>
            <w:tcBorders>
              <w:top w:val="single" w:color="auto" w:sz="4" w:space="0"/>
              <w:bottom w:val="single" w:color="auto" w:sz="4" w:space="0"/>
            </w:tcBorders>
            <w:vAlign w:val="center"/>
          </w:tcPr>
          <w:p>
            <w:pPr>
              <w:adjustRightInd w:val="0"/>
              <w:snapToGrid w:val="0"/>
              <w:spacing w:line="320" w:lineRule="exact"/>
              <w:ind w:firstLine="0" w:firstLineChars="0"/>
              <w:jc w:val="center"/>
              <w:rPr>
                <w:rFonts w:ascii="Times New Roman" w:hAnsi="Times New Roman" w:eastAsia="宋体" w:cs="Times New Roman"/>
                <w:bCs/>
                <w:kern w:val="0"/>
                <w:sz w:val="18"/>
                <w:szCs w:val="18"/>
              </w:rPr>
            </w:pPr>
            <w:r>
              <w:rPr>
                <w:rFonts w:hint="eastAsia" w:ascii="Times New Roman" w:hAnsi="Times New Roman" w:cs="Times New Roman"/>
                <w:sz w:val="18"/>
                <w:szCs w:val="18"/>
                <w:lang w:bidi="ar"/>
              </w:rPr>
              <w:t>590</w:t>
            </w:r>
          </w:p>
        </w:tc>
        <w:tc>
          <w:tcPr>
            <w:tcW w:w="1576" w:type="dxa"/>
            <w:tcBorders>
              <w:top w:val="single" w:color="auto" w:sz="4" w:space="0"/>
              <w:bottom w:val="single" w:color="auto" w:sz="4" w:space="0"/>
            </w:tcBorders>
            <w:vAlign w:val="center"/>
          </w:tcPr>
          <w:p>
            <w:pPr>
              <w:adjustRightInd w:val="0"/>
              <w:snapToGrid w:val="0"/>
              <w:spacing w:line="320" w:lineRule="exact"/>
              <w:ind w:firstLine="0" w:firstLineChars="0"/>
              <w:jc w:val="center"/>
              <w:rPr>
                <w:rFonts w:ascii="Times New Roman" w:hAnsi="Times New Roman" w:eastAsia="宋体" w:cs="Times New Roman"/>
                <w:sz w:val="18"/>
                <w:szCs w:val="18"/>
              </w:rPr>
            </w:pPr>
            <w:r>
              <w:rPr>
                <w:rFonts w:hint="eastAsia" w:ascii="Times New Roman" w:hAnsi="Times New Roman" w:cs="Times New Roman"/>
                <w:sz w:val="18"/>
                <w:szCs w:val="18"/>
                <w:lang w:bidi="ar"/>
              </w:rPr>
              <w:t>15</w:t>
            </w:r>
          </w:p>
        </w:tc>
        <w:tc>
          <w:tcPr>
            <w:tcW w:w="674" w:type="dxa"/>
            <w:gridSpan w:val="2"/>
            <w:vMerge w:val="continue"/>
            <w:vAlign w:val="center"/>
          </w:tcPr>
          <w:p>
            <w:pPr>
              <w:adjustRightInd w:val="0"/>
              <w:snapToGrid w:val="0"/>
              <w:spacing w:line="240" w:lineRule="auto"/>
              <w:ind w:firstLine="360"/>
              <w:jc w:val="center"/>
              <w:rPr>
                <w:rFonts w:ascii="Times New Roman" w:hAnsi="Times New Roman" w:eastAsia="宋体" w:cs="Times New Roman"/>
                <w:bCs/>
                <w:kern w:val="0"/>
                <w:sz w:val="18"/>
                <w:szCs w:val="18"/>
              </w:rPr>
            </w:pPr>
          </w:p>
        </w:tc>
        <w:tc>
          <w:tcPr>
            <w:tcW w:w="2454" w:type="dxa"/>
            <w:vMerge w:val="continue"/>
            <w:vAlign w:val="center"/>
          </w:tcPr>
          <w:p>
            <w:pPr>
              <w:adjustRightInd w:val="0"/>
              <w:snapToGrid w:val="0"/>
              <w:spacing w:line="240" w:lineRule="auto"/>
              <w:ind w:firstLine="360"/>
              <w:jc w:val="center"/>
              <w:rPr>
                <w:rFonts w:ascii="Times New Roman" w:hAnsi="Times New Roman" w:eastAsia="宋体" w:cs="Times New Roman"/>
                <w:bCs/>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3"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水环境</w:t>
            </w:r>
          </w:p>
        </w:tc>
        <w:tc>
          <w:tcPr>
            <w:tcW w:w="1910"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陆水河</w:t>
            </w:r>
          </w:p>
        </w:tc>
        <w:tc>
          <w:tcPr>
            <w:tcW w:w="811" w:type="dxa"/>
            <w:vAlign w:val="center"/>
          </w:tcPr>
          <w:p>
            <w:pPr>
              <w:ind w:firstLine="0" w:firstLineChars="0"/>
              <w:jc w:val="center"/>
              <w:rPr>
                <w:rFonts w:ascii="Times New Roman" w:hAnsi="Times New Roman" w:eastAsia="宋体" w:cs="Times New Roman"/>
                <w:bCs/>
                <w:kern w:val="0"/>
                <w:sz w:val="18"/>
                <w:szCs w:val="18"/>
              </w:rPr>
            </w:pPr>
            <w:r>
              <w:rPr>
                <w:rFonts w:ascii="Times New Roman" w:hAnsi="Times New Roman" w:cs="Times New Roman"/>
                <w:bCs/>
                <w:kern w:val="0"/>
                <w:sz w:val="18"/>
                <w:szCs w:val="18"/>
              </w:rPr>
              <w:t>西北</w:t>
            </w:r>
          </w:p>
        </w:tc>
        <w:tc>
          <w:tcPr>
            <w:tcW w:w="1424" w:type="dxa"/>
            <w:vAlign w:val="center"/>
          </w:tcPr>
          <w:p>
            <w:pPr>
              <w:ind w:firstLine="0" w:firstLineChars="0"/>
              <w:jc w:val="center"/>
              <w:rPr>
                <w:rFonts w:ascii="Times New Roman" w:hAnsi="Times New Roman" w:eastAsia="宋体" w:cs="Times New Roman"/>
                <w:bCs/>
                <w:kern w:val="0"/>
                <w:sz w:val="18"/>
                <w:szCs w:val="18"/>
              </w:rPr>
            </w:pPr>
            <w:r>
              <w:rPr>
                <w:rFonts w:hint="eastAsia" w:ascii="Times New Roman" w:hAnsi="Times New Roman" w:cs="Times New Roman"/>
                <w:bCs/>
                <w:kern w:val="0"/>
                <w:sz w:val="18"/>
                <w:szCs w:val="18"/>
              </w:rPr>
              <w:t>660</w:t>
            </w:r>
          </w:p>
        </w:tc>
        <w:tc>
          <w:tcPr>
            <w:tcW w:w="1590" w:type="dxa"/>
            <w:gridSpan w:val="2"/>
            <w:vAlign w:val="center"/>
          </w:tcPr>
          <w:p>
            <w:pPr>
              <w:ind w:firstLine="0" w:firstLineChars="0"/>
              <w:jc w:val="center"/>
              <w:rPr>
                <w:rFonts w:ascii="Times New Roman" w:hAnsi="Times New Roman" w:eastAsia="宋体" w:cs="Times New Roman"/>
                <w:bCs/>
                <w:kern w:val="0"/>
                <w:sz w:val="18"/>
                <w:szCs w:val="18"/>
              </w:rPr>
            </w:pPr>
            <w:r>
              <w:rPr>
                <w:rFonts w:ascii="Times New Roman" w:hAnsi="Times New Roman" w:cs="Times New Roman"/>
                <w:bCs/>
                <w:kern w:val="0"/>
                <w:sz w:val="18"/>
                <w:szCs w:val="18"/>
              </w:rPr>
              <w:t>大河</w:t>
            </w:r>
          </w:p>
        </w:tc>
        <w:tc>
          <w:tcPr>
            <w:tcW w:w="660"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w:t>
            </w:r>
          </w:p>
        </w:tc>
        <w:tc>
          <w:tcPr>
            <w:tcW w:w="2454" w:type="dxa"/>
            <w:vAlign w:val="center"/>
          </w:tcPr>
          <w:p>
            <w:pPr>
              <w:adjustRightInd w:val="0"/>
              <w:snapToGrid w:val="0"/>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执行《地表水环境质量标准》（GB3838-2002）Ⅲ类标准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3"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地下水</w:t>
            </w:r>
          </w:p>
        </w:tc>
        <w:tc>
          <w:tcPr>
            <w:tcW w:w="1910"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项目所在地</w:t>
            </w:r>
          </w:p>
        </w:tc>
        <w:tc>
          <w:tcPr>
            <w:tcW w:w="811"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w:t>
            </w:r>
          </w:p>
        </w:tc>
        <w:tc>
          <w:tcPr>
            <w:tcW w:w="1424"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w:t>
            </w:r>
          </w:p>
        </w:tc>
        <w:tc>
          <w:tcPr>
            <w:tcW w:w="1590" w:type="dxa"/>
            <w:gridSpan w:val="2"/>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w:t>
            </w:r>
          </w:p>
        </w:tc>
        <w:tc>
          <w:tcPr>
            <w:tcW w:w="660"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w:t>
            </w:r>
          </w:p>
        </w:tc>
        <w:tc>
          <w:tcPr>
            <w:tcW w:w="2454" w:type="dxa"/>
            <w:vAlign w:val="center"/>
          </w:tcPr>
          <w:p>
            <w:pPr>
              <w:adjustRightInd w:val="0"/>
              <w:snapToGrid w:val="0"/>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《地下水质量标准》（GB/T14848-93）Ⅲ类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3"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土壤</w:t>
            </w:r>
          </w:p>
        </w:tc>
        <w:tc>
          <w:tcPr>
            <w:tcW w:w="1910"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项目占地范围及周边0.05km范围</w:t>
            </w:r>
          </w:p>
        </w:tc>
        <w:tc>
          <w:tcPr>
            <w:tcW w:w="811"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w:t>
            </w:r>
          </w:p>
        </w:tc>
        <w:tc>
          <w:tcPr>
            <w:tcW w:w="1424"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w:t>
            </w:r>
          </w:p>
        </w:tc>
        <w:tc>
          <w:tcPr>
            <w:tcW w:w="1590" w:type="dxa"/>
            <w:gridSpan w:val="2"/>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w:t>
            </w:r>
          </w:p>
        </w:tc>
        <w:tc>
          <w:tcPr>
            <w:tcW w:w="660"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w:t>
            </w:r>
          </w:p>
        </w:tc>
        <w:tc>
          <w:tcPr>
            <w:tcW w:w="2454" w:type="dxa"/>
            <w:vAlign w:val="center"/>
          </w:tcPr>
          <w:p>
            <w:pPr>
              <w:adjustRightInd w:val="0"/>
              <w:snapToGrid w:val="0"/>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《土壤环境质量 建设用地土壤污染风险管控标准（试行）》（GB36600-2018）中的第二类用地筛选值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3"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声环境</w:t>
            </w:r>
          </w:p>
        </w:tc>
        <w:tc>
          <w:tcPr>
            <w:tcW w:w="5735" w:type="dxa"/>
            <w:gridSpan w:val="5"/>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厂界外1米</w:t>
            </w:r>
          </w:p>
        </w:tc>
        <w:tc>
          <w:tcPr>
            <w:tcW w:w="660"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w:t>
            </w:r>
          </w:p>
        </w:tc>
        <w:tc>
          <w:tcPr>
            <w:tcW w:w="2454" w:type="dxa"/>
            <w:vAlign w:val="center"/>
          </w:tcPr>
          <w:p>
            <w:pPr>
              <w:adjustRightInd w:val="0"/>
              <w:snapToGrid w:val="0"/>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《声环境质量标准》（GB3096-2008）表1中3类标准</w:t>
            </w:r>
          </w:p>
        </w:tc>
      </w:tr>
    </w:tbl>
    <w:p>
      <w:pPr>
        <w:pStyle w:val="8"/>
        <w:spacing w:before="180" w:after="180"/>
        <w:rPr>
          <w:rFonts w:eastAsia="宋体" w:cs="Times New Roman"/>
          <w:sz w:val="28"/>
          <w:szCs w:val="28"/>
        </w:rPr>
      </w:pPr>
      <w:bookmarkStart w:id="257" w:name="_Toc132468768"/>
      <w:bookmarkStart w:id="258" w:name="_Toc29055"/>
      <w:bookmarkStart w:id="259" w:name="_Toc23406"/>
      <w:r>
        <w:rPr>
          <w:rFonts w:eastAsia="宋体" w:cs="Times New Roman"/>
          <w:sz w:val="28"/>
          <w:szCs w:val="28"/>
        </w:rPr>
        <w:t>2.5.2环境功能区划</w:t>
      </w:r>
      <w:bookmarkEnd w:id="253"/>
      <w:bookmarkEnd w:id="254"/>
      <w:bookmarkEnd w:id="255"/>
      <w:bookmarkEnd w:id="256"/>
      <w:bookmarkEnd w:id="257"/>
      <w:bookmarkEnd w:id="258"/>
      <w:bookmarkEnd w:id="259"/>
    </w:p>
    <w:p>
      <w:pPr>
        <w:adjustRightInd w:val="0"/>
        <w:snapToGrid w:val="0"/>
        <w:ind w:firstLine="480"/>
        <w:rPr>
          <w:rFonts w:ascii="Times New Roman" w:hAnsi="Times New Roman" w:eastAsia="宋体" w:cs="Times New Roman"/>
          <w:bCs/>
          <w:snapToGrid w:val="0"/>
          <w:kern w:val="0"/>
          <w:szCs w:val="20"/>
        </w:rPr>
      </w:pPr>
      <w:bookmarkStart w:id="260" w:name="_Toc169616166"/>
      <w:r>
        <w:rPr>
          <w:rFonts w:ascii="Times New Roman" w:hAnsi="Times New Roman" w:cs="Times New Roman"/>
          <w:kern w:val="0"/>
          <w:szCs w:val="24"/>
        </w:rPr>
        <w:t>根据鄂政办发[2000]10号《省人民政府办公厅转发省环境保护局关于湖北省地表水环境功能类别的通知》、《省人民政府办公厅关于印发湖北省县级以上集中式饮用水水源保护区划分方案的通知》（鄂政办发[2011]130号）、《</w:t>
      </w:r>
      <w:r>
        <w:rPr>
          <w:rFonts w:ascii="Times New Roman" w:hAnsi="Times New Roman" w:cs="Times New Roman"/>
        </w:rPr>
        <w:t>年产1000万平方米新型金属覆膜板及2000万平方米高分子复合材料（一期工程）</w:t>
      </w:r>
      <w:r>
        <w:rPr>
          <w:rFonts w:ascii="Times New Roman" w:hAnsi="Times New Roman" w:cs="Times New Roman"/>
          <w:szCs w:val="24"/>
        </w:rPr>
        <w:t>项目环境影响报告表</w:t>
      </w:r>
      <w:r>
        <w:rPr>
          <w:rFonts w:ascii="Times New Roman" w:hAnsi="Times New Roman" w:cs="Times New Roman"/>
          <w:kern w:val="0"/>
          <w:szCs w:val="24"/>
        </w:rPr>
        <w:t>》</w:t>
      </w:r>
      <w:r>
        <w:rPr>
          <w:rFonts w:ascii="Times New Roman" w:hAnsi="Times New Roman" w:cs="Times New Roman"/>
          <w:szCs w:val="24"/>
        </w:rPr>
        <w:t>（2020年5月、河北安环环保科技有限公司）</w:t>
      </w:r>
      <w:r>
        <w:rPr>
          <w:rFonts w:ascii="Times New Roman" w:hAnsi="Times New Roman" w:cs="Times New Roman"/>
          <w:kern w:val="0"/>
          <w:szCs w:val="24"/>
        </w:rPr>
        <w:t>中的内容</w:t>
      </w:r>
      <w:r>
        <w:rPr>
          <w:rFonts w:ascii="Times New Roman" w:hAnsi="Times New Roman" w:eastAsia="宋体" w:cs="Times New Roman"/>
          <w:bCs/>
          <w:snapToGrid w:val="0"/>
          <w:kern w:val="0"/>
          <w:szCs w:val="20"/>
        </w:rPr>
        <w:t>，项目所在地环境功能区划见表2.5-2。</w:t>
      </w:r>
    </w:p>
    <w:p>
      <w:pPr>
        <w:spacing w:line="240" w:lineRule="auto"/>
        <w:ind w:firstLine="422"/>
        <w:jc w:val="center"/>
        <w:rPr>
          <w:rFonts w:ascii="Times New Roman" w:hAnsi="Times New Roman" w:eastAsia="宋体" w:cs="Times New Roman"/>
          <w:b/>
          <w:sz w:val="21"/>
          <w:szCs w:val="21"/>
        </w:rPr>
      </w:pPr>
      <w:r>
        <w:rPr>
          <w:rFonts w:ascii="Times New Roman" w:hAnsi="Times New Roman" w:eastAsia="宋体" w:cs="Times New Roman"/>
          <w:b/>
          <w:sz w:val="21"/>
          <w:szCs w:val="21"/>
        </w:rPr>
        <w:t>表2.5-2  项目所在地环境功能区划一览表</w:t>
      </w:r>
    </w:p>
    <w:bookmarkEnd w:id="260"/>
    <w:tbl>
      <w:tblPr>
        <w:tblStyle w:val="36"/>
        <w:tblW w:w="985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3100"/>
        <w:gridCol w:w="56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1152" w:type="dxa"/>
            <w:tcBorders>
              <w:bottom w:val="single" w:color="auto" w:sz="12" w:space="0"/>
            </w:tcBorders>
            <w:vAlign w:val="center"/>
          </w:tcPr>
          <w:p>
            <w:pPr>
              <w:ind w:firstLine="0" w:firstLineChars="0"/>
              <w:rPr>
                <w:rFonts w:ascii="Times New Roman" w:hAnsi="Times New Roman" w:eastAsia="宋体" w:cs="Times New Roman"/>
                <w:b/>
                <w:kern w:val="0"/>
                <w:sz w:val="18"/>
                <w:szCs w:val="18"/>
              </w:rPr>
            </w:pPr>
            <w:bookmarkStart w:id="261" w:name="_Toc523160309"/>
            <w:bookmarkStart w:id="262" w:name="_Toc510164041"/>
            <w:bookmarkStart w:id="263" w:name="_Toc509234767"/>
            <w:bookmarkStart w:id="264" w:name="_Toc510164308"/>
            <w:bookmarkStart w:id="265" w:name="_Toc529542559"/>
            <w:bookmarkStart w:id="266" w:name="_Toc510164471"/>
            <w:bookmarkStart w:id="267" w:name="_Toc523160145"/>
            <w:r>
              <w:rPr>
                <w:rFonts w:ascii="Times New Roman" w:hAnsi="Times New Roman" w:eastAsia="宋体" w:cs="Times New Roman"/>
                <w:sz w:val="18"/>
                <w:szCs w:val="18"/>
              </w:rPr>
              <w:br w:type="page"/>
            </w:r>
            <w:r>
              <w:rPr>
                <w:rFonts w:ascii="Times New Roman" w:hAnsi="Times New Roman" w:eastAsia="宋体" w:cs="Times New Roman"/>
                <w:b/>
                <w:kern w:val="0"/>
                <w:sz w:val="18"/>
                <w:szCs w:val="18"/>
              </w:rPr>
              <w:t>环境要素</w:t>
            </w:r>
          </w:p>
        </w:tc>
        <w:tc>
          <w:tcPr>
            <w:tcW w:w="3100" w:type="dxa"/>
            <w:tcBorders>
              <w:bottom w:val="single" w:color="auto" w:sz="12" w:space="0"/>
            </w:tcBorders>
            <w:vAlign w:val="center"/>
          </w:tcPr>
          <w:p>
            <w:pPr>
              <w:spacing w:line="240" w:lineRule="auto"/>
              <w:ind w:firstLine="0" w:firstLineChars="0"/>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区域及范围</w:t>
            </w:r>
          </w:p>
        </w:tc>
        <w:tc>
          <w:tcPr>
            <w:tcW w:w="5602" w:type="dxa"/>
            <w:tcBorders>
              <w:bottom w:val="single" w:color="auto" w:sz="12" w:space="0"/>
            </w:tcBorders>
            <w:vAlign w:val="center"/>
          </w:tcPr>
          <w:p>
            <w:pPr>
              <w:spacing w:line="240" w:lineRule="auto"/>
              <w:ind w:firstLine="0" w:firstLineChars="0"/>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功能类别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152" w:type="dxa"/>
            <w:tcBorders>
              <w:top w:val="single" w:color="auto" w:sz="12" w:space="0"/>
              <w:bottom w:val="single" w:color="auto" w:sz="8" w:space="0"/>
            </w:tcBorders>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环境空气</w:t>
            </w:r>
          </w:p>
        </w:tc>
        <w:tc>
          <w:tcPr>
            <w:tcW w:w="3100" w:type="dxa"/>
            <w:tcBorders>
              <w:top w:val="single" w:color="auto" w:sz="12" w:space="0"/>
              <w:bottom w:val="single" w:color="auto" w:sz="8" w:space="0"/>
            </w:tcBorders>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项目所在地及周围区域</w:t>
            </w:r>
          </w:p>
        </w:tc>
        <w:tc>
          <w:tcPr>
            <w:tcW w:w="5602" w:type="dxa"/>
            <w:tcBorders>
              <w:top w:val="single" w:color="auto" w:sz="12" w:space="0"/>
              <w:bottom w:val="single" w:color="auto" w:sz="8" w:space="0"/>
            </w:tcBorders>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环境空气功能二类区，执行《环境空气质量标准》（GB3095-2012）中的二级浓度限值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8" w:hRule="atLeast"/>
        </w:trPr>
        <w:tc>
          <w:tcPr>
            <w:tcW w:w="1152"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地表水</w:t>
            </w:r>
          </w:p>
        </w:tc>
        <w:tc>
          <w:tcPr>
            <w:tcW w:w="3100" w:type="dxa"/>
            <w:vAlign w:val="center"/>
          </w:tcPr>
          <w:p>
            <w:pPr>
              <w:ind w:firstLine="0" w:firstLineChars="0"/>
              <w:jc w:val="center"/>
              <w:rPr>
                <w:rFonts w:ascii="Times New Roman" w:hAnsi="Times New Roman" w:eastAsia="宋体" w:cs="Times New Roman"/>
                <w:bCs/>
                <w:kern w:val="0"/>
                <w:sz w:val="18"/>
                <w:szCs w:val="18"/>
              </w:rPr>
            </w:pPr>
            <w:r>
              <w:rPr>
                <w:rFonts w:ascii="Times New Roman" w:hAnsi="Times New Roman" w:cs="Times New Roman"/>
                <w:bCs/>
                <w:kern w:val="0"/>
                <w:sz w:val="18"/>
                <w:szCs w:val="18"/>
              </w:rPr>
              <w:t>陆水河</w:t>
            </w:r>
          </w:p>
        </w:tc>
        <w:tc>
          <w:tcPr>
            <w:tcW w:w="5602"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执行《地表水环境质量标准》（GB3838-2002）Ⅲ类标准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152"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声环境</w:t>
            </w:r>
          </w:p>
        </w:tc>
        <w:tc>
          <w:tcPr>
            <w:tcW w:w="3100"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项目区</w:t>
            </w:r>
          </w:p>
        </w:tc>
        <w:tc>
          <w:tcPr>
            <w:tcW w:w="5602"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《声环境质量标准》（GB3096-2008）3类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152"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地下水</w:t>
            </w:r>
          </w:p>
        </w:tc>
        <w:tc>
          <w:tcPr>
            <w:tcW w:w="3100"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项目所在区域地下水水文地质单元</w:t>
            </w:r>
          </w:p>
        </w:tc>
        <w:tc>
          <w:tcPr>
            <w:tcW w:w="5602"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《地下水质量标准》（GB14848-2017）Ⅲ类标准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152"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土壤</w:t>
            </w:r>
          </w:p>
        </w:tc>
        <w:tc>
          <w:tcPr>
            <w:tcW w:w="3100"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项目占地范围及周边0.05km范围</w:t>
            </w:r>
          </w:p>
        </w:tc>
        <w:tc>
          <w:tcPr>
            <w:tcW w:w="5602" w:type="dxa"/>
            <w:vAlign w:val="center"/>
          </w:tcPr>
          <w:p>
            <w:pPr>
              <w:spacing w:line="240" w:lineRule="auto"/>
              <w:ind w:firstLine="0" w:firstLineChars="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《土壤环境质量 建设用地土壤污染风险管控标准（试行）》（GB36600-2018）中的第二类用地筛选值</w:t>
            </w:r>
          </w:p>
        </w:tc>
      </w:tr>
    </w:tbl>
    <w:p>
      <w:pPr>
        <w:pStyle w:val="6"/>
        <w:spacing w:before="320" w:after="320"/>
        <w:rPr>
          <w:rFonts w:ascii="Times New Roman" w:hAnsi="Times New Roman" w:eastAsia="宋体" w:cs="Times New Roman"/>
          <w:sz w:val="32"/>
          <w:szCs w:val="32"/>
        </w:rPr>
        <w:sectPr>
          <w:pgSz w:w="11906" w:h="16838"/>
          <w:pgMar w:top="1440" w:right="1080" w:bottom="1440" w:left="1080" w:header="851" w:footer="992" w:gutter="0"/>
          <w:pgNumType w:fmt="numberInDash"/>
          <w:cols w:space="425" w:num="1"/>
          <w:docGrid w:type="lines" w:linePitch="312" w:charSpace="0"/>
        </w:sectPr>
      </w:pPr>
      <w:bookmarkStart w:id="268" w:name="_Toc19807"/>
    </w:p>
    <w:p>
      <w:pPr>
        <w:pStyle w:val="6"/>
        <w:spacing w:before="320" w:after="320"/>
        <w:rPr>
          <w:rFonts w:ascii="Times New Roman" w:hAnsi="Times New Roman" w:eastAsia="宋体" w:cs="Times New Roman"/>
          <w:sz w:val="32"/>
          <w:szCs w:val="32"/>
        </w:rPr>
      </w:pPr>
      <w:bookmarkStart w:id="269" w:name="_Toc21960"/>
      <w:bookmarkStart w:id="270" w:name="_Toc132468769"/>
      <w:r>
        <w:rPr>
          <w:rFonts w:ascii="Times New Roman" w:hAnsi="Times New Roman" w:eastAsia="宋体" w:cs="Times New Roman"/>
          <w:sz w:val="32"/>
          <w:szCs w:val="32"/>
        </w:rPr>
        <w:t>3环境危险源</w:t>
      </w:r>
      <w:bookmarkEnd w:id="269"/>
      <w:bookmarkEnd w:id="270"/>
    </w:p>
    <w:p>
      <w:pPr>
        <w:pStyle w:val="60"/>
        <w:ind w:firstLine="480"/>
        <w:rPr>
          <w:rFonts w:ascii="Times New Roman" w:hAnsi="Times New Roman" w:eastAsia="宋体" w:cs="Times New Roman"/>
          <w:szCs w:val="24"/>
        </w:rPr>
      </w:pPr>
      <w:r>
        <w:rPr>
          <w:rFonts w:ascii="Times New Roman" w:hAnsi="Times New Roman" w:eastAsia="宋体" w:cs="Times New Roman"/>
          <w:szCs w:val="24"/>
        </w:rPr>
        <w:t>公司所经营的物料部分具有泄漏、易燃等危险危害特性，针对其特点，从对环境影响而言，泄漏、火灾是本工程重点防范类型。基于以上事故类型，对环境危害预测主要考虑泄漏、火灾影响。</w:t>
      </w:r>
    </w:p>
    <w:p>
      <w:pPr>
        <w:pStyle w:val="7"/>
        <w:spacing w:before="260" w:after="260"/>
        <w:rPr>
          <w:rFonts w:ascii="Times New Roman" w:hAnsi="Times New Roman" w:eastAsia="宋体" w:cs="Times New Roman"/>
          <w:sz w:val="30"/>
          <w:szCs w:val="30"/>
        </w:rPr>
      </w:pPr>
      <w:bookmarkStart w:id="271" w:name="_Toc17986"/>
      <w:bookmarkStart w:id="272" w:name="_Toc510164472"/>
      <w:bookmarkStart w:id="273" w:name="_Toc529542560"/>
      <w:bookmarkStart w:id="274" w:name="_Toc523160310"/>
      <w:bookmarkStart w:id="275" w:name="_Toc132468770"/>
      <w:bookmarkStart w:id="276" w:name="_Toc510164042"/>
      <w:bookmarkStart w:id="277" w:name="_Toc509234768"/>
      <w:bookmarkStart w:id="278" w:name="_Toc523160146"/>
      <w:bookmarkStart w:id="279" w:name="_Toc510164309"/>
      <w:bookmarkStart w:id="280" w:name="_Toc22894"/>
      <w:r>
        <w:rPr>
          <w:rFonts w:ascii="Times New Roman" w:hAnsi="Times New Roman" w:eastAsia="宋体" w:cs="Times New Roman"/>
          <w:sz w:val="30"/>
          <w:szCs w:val="30"/>
        </w:rPr>
        <w:t>3.1 环境风险源</w:t>
      </w:r>
      <w:bookmarkEnd w:id="271"/>
      <w:bookmarkEnd w:id="272"/>
      <w:bookmarkEnd w:id="273"/>
      <w:bookmarkEnd w:id="274"/>
      <w:bookmarkEnd w:id="275"/>
      <w:bookmarkEnd w:id="276"/>
      <w:bookmarkEnd w:id="277"/>
      <w:bookmarkEnd w:id="278"/>
      <w:bookmarkEnd w:id="279"/>
      <w:bookmarkEnd w:id="280"/>
    </w:p>
    <w:p>
      <w:pPr>
        <w:ind w:firstLine="480"/>
        <w:rPr>
          <w:rFonts w:ascii="Times New Roman" w:hAnsi="Times New Roman" w:eastAsia="宋体" w:cs="Times New Roman"/>
          <w:szCs w:val="24"/>
        </w:rPr>
      </w:pPr>
      <w:r>
        <w:rPr>
          <w:rFonts w:ascii="Times New Roman" w:hAnsi="Times New Roman" w:eastAsia="宋体" w:cs="Times New Roman"/>
          <w:szCs w:val="24"/>
        </w:rPr>
        <w:t>根据分析，项目风险源主要分布在生产车间、危废暂存间。风险源所涉及物料中，具有潜在危险性物质及其有关参数列于表3.1-1。</w:t>
      </w:r>
    </w:p>
    <w:p>
      <w:pPr>
        <w:adjustRightInd w:val="0"/>
        <w:snapToGrid w:val="0"/>
        <w:spacing w:line="240" w:lineRule="auto"/>
        <w:ind w:firstLine="0" w:firstLineChars="0"/>
        <w:jc w:val="center"/>
        <w:rPr>
          <w:rFonts w:ascii="Times New Roman" w:hAnsi="Times New Roman" w:eastAsia="宋体" w:cs="Times New Roman"/>
          <w:b/>
          <w:sz w:val="21"/>
          <w:szCs w:val="20"/>
        </w:rPr>
      </w:pPr>
      <w:r>
        <w:rPr>
          <w:rFonts w:ascii="Times New Roman" w:hAnsi="Times New Roman" w:eastAsia="宋体" w:cs="Times New Roman"/>
          <w:b/>
          <w:sz w:val="21"/>
          <w:szCs w:val="20"/>
        </w:rPr>
        <w:t>表 3.1-1  主要物质危险性判别</w:t>
      </w:r>
    </w:p>
    <w:tbl>
      <w:tblPr>
        <w:tblStyle w:val="36"/>
        <w:tblW w:w="14691" w:type="dxa"/>
        <w:tblInd w:w="-31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630"/>
        <w:gridCol w:w="1631"/>
        <w:gridCol w:w="1174"/>
        <w:gridCol w:w="990"/>
        <w:gridCol w:w="1238"/>
        <w:gridCol w:w="1134"/>
        <w:gridCol w:w="992"/>
        <w:gridCol w:w="2657"/>
        <w:gridCol w:w="1110"/>
        <w:gridCol w:w="3135"/>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25" w:hRule="atLeast"/>
          <w:tblHeader/>
        </w:trPr>
        <w:tc>
          <w:tcPr>
            <w:tcW w:w="630" w:type="dxa"/>
            <w:tcBorders>
              <w:bottom w:val="single" w:color="auto" w:sz="12" w:space="0"/>
            </w:tcBorders>
            <w:vAlign w:val="center"/>
          </w:tcPr>
          <w:p>
            <w:pPr>
              <w:adjustRightInd w:val="0"/>
              <w:spacing w:line="240" w:lineRule="auto"/>
              <w:ind w:firstLine="0" w:firstLineChars="0"/>
              <w:jc w:val="center"/>
              <w:textAlignment w:val="baseline"/>
              <w:rPr>
                <w:rFonts w:ascii="Times New Roman" w:hAnsi="Times New Roman" w:cs="Times New Roman"/>
                <w:b/>
                <w:sz w:val="18"/>
                <w:szCs w:val="18"/>
              </w:rPr>
            </w:pPr>
            <w:r>
              <w:rPr>
                <w:rFonts w:ascii="Times New Roman" w:hAnsi="Times New Roman" w:cs="Times New Roman"/>
                <w:b/>
                <w:sz w:val="18"/>
                <w:szCs w:val="18"/>
              </w:rPr>
              <w:t>项目</w:t>
            </w:r>
          </w:p>
        </w:tc>
        <w:tc>
          <w:tcPr>
            <w:tcW w:w="1631" w:type="dxa"/>
            <w:tcBorders>
              <w:bottom w:val="single" w:color="auto" w:sz="12" w:space="0"/>
            </w:tcBorders>
            <w:vAlign w:val="center"/>
          </w:tcPr>
          <w:p>
            <w:pPr>
              <w:adjustRightInd w:val="0"/>
              <w:spacing w:line="240" w:lineRule="auto"/>
              <w:ind w:firstLine="0" w:firstLineChars="0"/>
              <w:jc w:val="center"/>
              <w:textAlignment w:val="baseline"/>
              <w:rPr>
                <w:rFonts w:ascii="Times New Roman" w:hAnsi="Times New Roman" w:cs="Times New Roman"/>
                <w:b/>
                <w:sz w:val="18"/>
                <w:szCs w:val="18"/>
              </w:rPr>
            </w:pPr>
            <w:r>
              <w:rPr>
                <w:rFonts w:ascii="Times New Roman" w:hAnsi="Times New Roman" w:cs="Times New Roman"/>
                <w:b/>
                <w:sz w:val="18"/>
                <w:szCs w:val="18"/>
              </w:rPr>
              <w:t>名称</w:t>
            </w:r>
          </w:p>
        </w:tc>
        <w:tc>
          <w:tcPr>
            <w:tcW w:w="1174" w:type="dxa"/>
            <w:tcBorders>
              <w:bottom w:val="single" w:color="auto" w:sz="12" w:space="0"/>
            </w:tcBorders>
            <w:vAlign w:val="center"/>
          </w:tcPr>
          <w:p>
            <w:pPr>
              <w:adjustRightInd w:val="0"/>
              <w:spacing w:line="240" w:lineRule="auto"/>
              <w:ind w:firstLine="0" w:firstLineChars="0"/>
              <w:jc w:val="center"/>
              <w:textAlignment w:val="baseline"/>
              <w:rPr>
                <w:rFonts w:ascii="Times New Roman" w:hAnsi="Times New Roman" w:cs="Times New Roman"/>
                <w:b/>
                <w:sz w:val="18"/>
                <w:szCs w:val="18"/>
              </w:rPr>
            </w:pPr>
            <w:r>
              <w:rPr>
                <w:rFonts w:ascii="Times New Roman" w:hAnsi="Times New Roman" w:cs="Times New Roman"/>
                <w:b/>
                <w:sz w:val="18"/>
                <w:szCs w:val="18"/>
              </w:rPr>
              <w:t>最大存储量（t）</w:t>
            </w:r>
          </w:p>
        </w:tc>
        <w:tc>
          <w:tcPr>
            <w:tcW w:w="990" w:type="dxa"/>
            <w:tcBorders>
              <w:bottom w:val="single" w:color="auto" w:sz="12" w:space="0"/>
            </w:tcBorders>
            <w:vAlign w:val="center"/>
          </w:tcPr>
          <w:p>
            <w:pPr>
              <w:adjustRightInd w:val="0"/>
              <w:spacing w:line="240" w:lineRule="auto"/>
              <w:ind w:firstLine="0" w:firstLineChars="0"/>
              <w:jc w:val="center"/>
              <w:textAlignment w:val="baseline"/>
              <w:rPr>
                <w:rFonts w:ascii="Times New Roman" w:hAnsi="Times New Roman" w:cs="Times New Roman"/>
                <w:b/>
                <w:sz w:val="18"/>
                <w:szCs w:val="18"/>
              </w:rPr>
            </w:pPr>
            <w:r>
              <w:rPr>
                <w:rFonts w:ascii="Times New Roman" w:hAnsi="Times New Roman" w:cs="Times New Roman"/>
                <w:b/>
                <w:sz w:val="18"/>
                <w:szCs w:val="18"/>
              </w:rPr>
              <w:t>临界储量（t）</w:t>
            </w:r>
          </w:p>
        </w:tc>
        <w:tc>
          <w:tcPr>
            <w:tcW w:w="1238" w:type="dxa"/>
            <w:tcBorders>
              <w:bottom w:val="single" w:color="auto" w:sz="12" w:space="0"/>
            </w:tcBorders>
            <w:vAlign w:val="center"/>
          </w:tcPr>
          <w:p>
            <w:pPr>
              <w:adjustRightInd w:val="0"/>
              <w:spacing w:line="240" w:lineRule="auto"/>
              <w:ind w:firstLine="0" w:firstLineChars="0"/>
              <w:jc w:val="center"/>
              <w:textAlignment w:val="baseline"/>
              <w:rPr>
                <w:rFonts w:ascii="Times New Roman" w:hAnsi="Times New Roman" w:cs="Times New Roman"/>
                <w:b/>
                <w:sz w:val="18"/>
                <w:szCs w:val="18"/>
              </w:rPr>
            </w:pPr>
            <w:r>
              <w:rPr>
                <w:rFonts w:ascii="Times New Roman" w:hAnsi="Times New Roman" w:cs="Times New Roman"/>
                <w:b/>
                <w:sz w:val="18"/>
                <w:szCs w:val="18"/>
              </w:rPr>
              <w:t>存储位置</w:t>
            </w:r>
          </w:p>
        </w:tc>
        <w:tc>
          <w:tcPr>
            <w:tcW w:w="1134" w:type="dxa"/>
            <w:tcBorders>
              <w:bottom w:val="single" w:color="auto" w:sz="12" w:space="0"/>
            </w:tcBorders>
            <w:vAlign w:val="center"/>
          </w:tcPr>
          <w:p>
            <w:pPr>
              <w:adjustRightInd w:val="0"/>
              <w:spacing w:line="240" w:lineRule="auto"/>
              <w:ind w:firstLine="0" w:firstLineChars="0"/>
              <w:jc w:val="center"/>
              <w:textAlignment w:val="baseline"/>
              <w:rPr>
                <w:rFonts w:ascii="Times New Roman" w:hAnsi="Times New Roman" w:cs="Times New Roman"/>
                <w:b/>
                <w:sz w:val="18"/>
                <w:szCs w:val="18"/>
              </w:rPr>
            </w:pPr>
            <w:r>
              <w:rPr>
                <w:rFonts w:ascii="Times New Roman" w:hAnsi="Times New Roman" w:cs="Times New Roman"/>
                <w:b/>
                <w:sz w:val="18"/>
                <w:szCs w:val="18"/>
              </w:rPr>
              <w:t>闪点℃</w:t>
            </w:r>
          </w:p>
        </w:tc>
        <w:tc>
          <w:tcPr>
            <w:tcW w:w="992" w:type="dxa"/>
            <w:tcBorders>
              <w:bottom w:val="single" w:color="auto" w:sz="12" w:space="0"/>
            </w:tcBorders>
            <w:vAlign w:val="center"/>
          </w:tcPr>
          <w:p>
            <w:pPr>
              <w:adjustRightInd w:val="0"/>
              <w:spacing w:line="240" w:lineRule="auto"/>
              <w:ind w:firstLine="0" w:firstLineChars="0"/>
              <w:jc w:val="center"/>
              <w:textAlignment w:val="baseline"/>
              <w:rPr>
                <w:rFonts w:ascii="Times New Roman" w:hAnsi="Times New Roman" w:cs="Times New Roman"/>
                <w:b/>
                <w:sz w:val="18"/>
                <w:szCs w:val="18"/>
              </w:rPr>
            </w:pPr>
            <w:r>
              <w:rPr>
                <w:rFonts w:ascii="Times New Roman" w:hAnsi="Times New Roman" w:cs="Times New Roman"/>
                <w:b/>
                <w:sz w:val="18"/>
                <w:szCs w:val="18"/>
              </w:rPr>
              <w:t>爆炸极限</w:t>
            </w:r>
          </w:p>
          <w:p>
            <w:pPr>
              <w:adjustRightInd w:val="0"/>
              <w:spacing w:line="240" w:lineRule="auto"/>
              <w:ind w:firstLine="0" w:firstLineChars="0"/>
              <w:jc w:val="center"/>
              <w:textAlignment w:val="baseline"/>
              <w:rPr>
                <w:rFonts w:ascii="Times New Roman" w:hAnsi="Times New Roman" w:cs="Times New Roman"/>
                <w:b/>
                <w:sz w:val="18"/>
                <w:szCs w:val="18"/>
              </w:rPr>
            </w:pPr>
            <w:r>
              <w:rPr>
                <w:rFonts w:ascii="Times New Roman" w:hAnsi="Times New Roman" w:cs="Times New Roman"/>
                <w:b/>
                <w:sz w:val="18"/>
                <w:szCs w:val="18"/>
              </w:rPr>
              <w:t>(V%)</w:t>
            </w:r>
          </w:p>
        </w:tc>
        <w:tc>
          <w:tcPr>
            <w:tcW w:w="2657" w:type="dxa"/>
            <w:tcBorders>
              <w:bottom w:val="single" w:color="auto" w:sz="12" w:space="0"/>
            </w:tcBorders>
            <w:vAlign w:val="center"/>
          </w:tcPr>
          <w:p>
            <w:pPr>
              <w:adjustRightInd w:val="0"/>
              <w:spacing w:line="240" w:lineRule="auto"/>
              <w:ind w:firstLine="0" w:firstLineChars="0"/>
              <w:jc w:val="center"/>
              <w:textAlignment w:val="baseline"/>
              <w:rPr>
                <w:rFonts w:ascii="Times New Roman" w:hAnsi="Times New Roman" w:cs="Times New Roman"/>
                <w:b/>
                <w:sz w:val="18"/>
                <w:szCs w:val="18"/>
              </w:rPr>
            </w:pPr>
            <w:r>
              <w:rPr>
                <w:rFonts w:ascii="Times New Roman" w:hAnsi="Times New Roman" w:cs="Times New Roman"/>
                <w:b/>
                <w:sz w:val="18"/>
                <w:szCs w:val="18"/>
              </w:rPr>
              <w:t>急性毒性</w:t>
            </w:r>
          </w:p>
        </w:tc>
        <w:tc>
          <w:tcPr>
            <w:tcW w:w="1110" w:type="dxa"/>
            <w:tcBorders>
              <w:bottom w:val="single" w:color="auto" w:sz="12" w:space="0"/>
            </w:tcBorders>
            <w:vAlign w:val="center"/>
          </w:tcPr>
          <w:p>
            <w:pPr>
              <w:adjustRightInd w:val="0"/>
              <w:spacing w:line="240" w:lineRule="auto"/>
              <w:ind w:firstLine="0" w:firstLineChars="0"/>
              <w:jc w:val="center"/>
              <w:textAlignment w:val="baseline"/>
              <w:rPr>
                <w:rFonts w:ascii="Times New Roman" w:hAnsi="Times New Roman" w:cs="Times New Roman"/>
                <w:b/>
                <w:sz w:val="18"/>
                <w:szCs w:val="18"/>
              </w:rPr>
            </w:pPr>
            <w:r>
              <w:rPr>
                <w:rFonts w:ascii="Times New Roman" w:hAnsi="Times New Roman" w:cs="Times New Roman"/>
                <w:b/>
                <w:sz w:val="18"/>
                <w:szCs w:val="18"/>
              </w:rPr>
              <w:t>主要危害</w:t>
            </w:r>
          </w:p>
        </w:tc>
        <w:tc>
          <w:tcPr>
            <w:tcW w:w="3135" w:type="dxa"/>
            <w:tcBorders>
              <w:bottom w:val="single" w:color="auto" w:sz="12" w:space="0"/>
            </w:tcBorders>
            <w:vAlign w:val="center"/>
          </w:tcPr>
          <w:p>
            <w:pPr>
              <w:adjustRightInd w:val="0"/>
              <w:spacing w:line="240" w:lineRule="auto"/>
              <w:ind w:firstLine="0" w:firstLineChars="0"/>
              <w:jc w:val="center"/>
              <w:textAlignment w:val="baseline"/>
              <w:rPr>
                <w:rFonts w:ascii="Times New Roman" w:hAnsi="Times New Roman" w:cs="Times New Roman"/>
                <w:b/>
                <w:sz w:val="18"/>
                <w:szCs w:val="18"/>
              </w:rPr>
            </w:pPr>
            <w:r>
              <w:rPr>
                <w:rFonts w:ascii="Times New Roman" w:hAnsi="Times New Roman" w:cs="Times New Roman"/>
                <w:b/>
                <w:sz w:val="18"/>
                <w:szCs w:val="18"/>
              </w:rPr>
              <w:t>是否HJ941-2018风险物质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25" w:hRule="atLeast"/>
        </w:trPr>
        <w:tc>
          <w:tcPr>
            <w:tcW w:w="630" w:type="dxa"/>
            <w:vMerge w:val="restart"/>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原辅材料</w:t>
            </w:r>
          </w:p>
        </w:tc>
        <w:tc>
          <w:tcPr>
            <w:tcW w:w="1631" w:type="dxa"/>
            <w:vAlign w:val="center"/>
          </w:tcPr>
          <w:p>
            <w:pPr>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油类物质</w:t>
            </w:r>
          </w:p>
        </w:tc>
        <w:tc>
          <w:tcPr>
            <w:tcW w:w="1174" w:type="dxa"/>
            <w:vAlign w:val="center"/>
          </w:tcPr>
          <w:p>
            <w:pPr>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990" w:type="dxa"/>
            <w:vAlign w:val="center"/>
          </w:tcPr>
          <w:p>
            <w:pPr>
              <w:adjustRightInd w:val="0"/>
              <w:snapToGrid w:val="0"/>
              <w:spacing w:line="240" w:lineRule="auto"/>
              <w:ind w:firstLine="0" w:firstLineChars="0"/>
              <w:jc w:val="center"/>
              <w:textAlignment w:val="baseline"/>
              <w:rPr>
                <w:rFonts w:ascii="Times New Roman" w:hAnsi="Times New Roman" w:cs="Times New Roman"/>
                <w:sz w:val="18"/>
                <w:szCs w:val="18"/>
              </w:rPr>
            </w:pPr>
            <w:r>
              <w:rPr>
                <w:rFonts w:ascii="Times New Roman" w:hAnsi="Times New Roman" w:cs="Times New Roman"/>
                <w:sz w:val="18"/>
                <w:szCs w:val="18"/>
              </w:rPr>
              <w:t>2500</w:t>
            </w:r>
          </w:p>
        </w:tc>
        <w:tc>
          <w:tcPr>
            <w:tcW w:w="1238" w:type="dxa"/>
            <w:vAlign w:val="center"/>
          </w:tcPr>
          <w:p>
            <w:pPr>
              <w:adjustRightInd w:val="0"/>
              <w:snapToGrid w:val="0"/>
              <w:spacing w:line="240" w:lineRule="auto"/>
              <w:ind w:firstLine="0" w:firstLineChars="0"/>
              <w:jc w:val="center"/>
              <w:textAlignment w:val="baseline"/>
              <w:rPr>
                <w:rFonts w:ascii="Times New Roman" w:hAnsi="Times New Roman" w:cs="Times New Roman"/>
                <w:sz w:val="18"/>
                <w:szCs w:val="18"/>
                <w:highlight w:val="yellow"/>
              </w:rPr>
            </w:pPr>
            <w:r>
              <w:rPr>
                <w:rFonts w:ascii="Times New Roman" w:hAnsi="Times New Roman" w:cs="Times New Roman"/>
                <w:sz w:val="18"/>
                <w:szCs w:val="18"/>
              </w:rPr>
              <w:t>导热油炉</w:t>
            </w:r>
          </w:p>
        </w:tc>
        <w:tc>
          <w:tcPr>
            <w:tcW w:w="1134" w:type="dxa"/>
            <w:vAlign w:val="center"/>
          </w:tcPr>
          <w:p>
            <w:pPr>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216-421</w:t>
            </w:r>
          </w:p>
        </w:tc>
        <w:tc>
          <w:tcPr>
            <w:tcW w:w="992" w:type="dxa"/>
            <w:vAlign w:val="center"/>
          </w:tcPr>
          <w:p>
            <w:pPr>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2657" w:type="dxa"/>
            <w:vAlign w:val="center"/>
          </w:tcPr>
          <w:p>
            <w:pPr>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110" w:type="dxa"/>
            <w:vAlign w:val="center"/>
          </w:tcPr>
          <w:p>
            <w:pPr>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3135" w:type="dxa"/>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属于附录A中第八部分 其他类物质及污染物 第392项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25" w:hRule="atLeast"/>
        </w:trPr>
        <w:tc>
          <w:tcPr>
            <w:tcW w:w="630" w:type="dxa"/>
            <w:vMerge w:val="continue"/>
            <w:vAlign w:val="center"/>
          </w:tcPr>
          <w:p>
            <w:pPr>
              <w:spacing w:line="240" w:lineRule="auto"/>
              <w:ind w:firstLine="0" w:firstLineChars="0"/>
              <w:jc w:val="center"/>
              <w:rPr>
                <w:rFonts w:ascii="Times New Roman" w:hAnsi="Times New Roman" w:cs="Times New Roman"/>
                <w:sz w:val="18"/>
                <w:szCs w:val="18"/>
              </w:rPr>
            </w:pPr>
          </w:p>
        </w:tc>
        <w:tc>
          <w:tcPr>
            <w:tcW w:w="1631" w:type="dxa"/>
            <w:vAlign w:val="center"/>
          </w:tcPr>
          <w:p>
            <w:pPr>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次氯酸钙</w:t>
            </w:r>
          </w:p>
        </w:tc>
        <w:tc>
          <w:tcPr>
            <w:tcW w:w="1174" w:type="dxa"/>
            <w:vAlign w:val="center"/>
          </w:tcPr>
          <w:p>
            <w:pPr>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w:t>
            </w:r>
          </w:p>
        </w:tc>
        <w:tc>
          <w:tcPr>
            <w:tcW w:w="990" w:type="dxa"/>
            <w:vAlign w:val="center"/>
          </w:tcPr>
          <w:p>
            <w:pPr>
              <w:adjustRightInd w:val="0"/>
              <w:snapToGrid w:val="0"/>
              <w:spacing w:line="240" w:lineRule="auto"/>
              <w:ind w:firstLine="0" w:firstLineChars="0"/>
              <w:jc w:val="center"/>
              <w:textAlignment w:val="baseline"/>
              <w:rPr>
                <w:rFonts w:ascii="Times New Roman" w:hAnsi="Times New Roman" w:cs="Times New Roman"/>
                <w:sz w:val="18"/>
                <w:szCs w:val="18"/>
              </w:rPr>
            </w:pPr>
            <w:r>
              <w:rPr>
                <w:rFonts w:hint="eastAsia" w:ascii="Times New Roman" w:hAnsi="Times New Roman" w:cs="Times New Roman"/>
                <w:sz w:val="18"/>
                <w:szCs w:val="18"/>
              </w:rPr>
              <w:t>/</w:t>
            </w:r>
          </w:p>
        </w:tc>
        <w:tc>
          <w:tcPr>
            <w:tcW w:w="1238" w:type="dxa"/>
            <w:vAlign w:val="center"/>
          </w:tcPr>
          <w:p>
            <w:pPr>
              <w:adjustRightInd w:val="0"/>
              <w:snapToGrid w:val="0"/>
              <w:spacing w:line="240" w:lineRule="auto"/>
              <w:ind w:firstLine="0" w:firstLineChars="0"/>
              <w:jc w:val="center"/>
              <w:textAlignment w:val="baseline"/>
              <w:rPr>
                <w:rFonts w:ascii="Times New Roman" w:hAnsi="Times New Roman" w:cs="Times New Roman"/>
                <w:sz w:val="18"/>
                <w:szCs w:val="18"/>
              </w:rPr>
            </w:pPr>
            <w:r>
              <w:rPr>
                <w:rFonts w:ascii="Times New Roman" w:hAnsi="Times New Roman" w:cs="Times New Roman"/>
                <w:sz w:val="18"/>
                <w:szCs w:val="18"/>
              </w:rPr>
              <w:t>辅料仓库</w:t>
            </w:r>
          </w:p>
        </w:tc>
        <w:tc>
          <w:tcPr>
            <w:tcW w:w="1134" w:type="dxa"/>
            <w:vAlign w:val="center"/>
          </w:tcPr>
          <w:p>
            <w:pPr>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992" w:type="dxa"/>
            <w:vAlign w:val="center"/>
          </w:tcPr>
          <w:p>
            <w:pPr>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2657" w:type="dxa"/>
            <w:vAlign w:val="center"/>
          </w:tcPr>
          <w:p>
            <w:pPr>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110" w:type="dxa"/>
            <w:vAlign w:val="center"/>
          </w:tcPr>
          <w:p>
            <w:pPr>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3135" w:type="dxa"/>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属于附录A中第八部分 其他类物质及污染物 第392项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25" w:hRule="atLeast"/>
        </w:trPr>
        <w:tc>
          <w:tcPr>
            <w:tcW w:w="630" w:type="dxa"/>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产品</w:t>
            </w:r>
          </w:p>
        </w:tc>
        <w:tc>
          <w:tcPr>
            <w:tcW w:w="1631" w:type="dxa"/>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无纺布</w:t>
            </w:r>
          </w:p>
        </w:tc>
        <w:tc>
          <w:tcPr>
            <w:tcW w:w="1174" w:type="dxa"/>
            <w:vAlign w:val="center"/>
          </w:tcPr>
          <w:p>
            <w:pPr>
              <w:spacing w:line="240" w:lineRule="auto"/>
              <w:ind w:firstLine="0" w:firstLineChars="0"/>
              <w:jc w:val="center"/>
              <w:rPr>
                <w:rFonts w:ascii="Times New Roman" w:hAnsi="Times New Roman" w:eastAsia="宋体" w:cs="Times New Roman"/>
                <w:sz w:val="18"/>
                <w:szCs w:val="18"/>
              </w:rPr>
            </w:pPr>
            <w:r>
              <w:rPr>
                <w:rFonts w:hint="eastAsia" w:ascii="Times New Roman" w:hAnsi="Times New Roman" w:cs="Times New Roman"/>
                <w:sz w:val="18"/>
                <w:szCs w:val="18"/>
              </w:rPr>
              <w:t>500</w:t>
            </w:r>
          </w:p>
        </w:tc>
        <w:tc>
          <w:tcPr>
            <w:tcW w:w="990" w:type="dxa"/>
            <w:vAlign w:val="center"/>
          </w:tcPr>
          <w:p>
            <w:pPr>
              <w:adjustRightInd w:val="0"/>
              <w:snapToGrid w:val="0"/>
              <w:spacing w:line="240" w:lineRule="auto"/>
              <w:ind w:firstLine="0" w:firstLineChars="0"/>
              <w:jc w:val="center"/>
              <w:textAlignment w:val="baseline"/>
              <w:rPr>
                <w:rFonts w:ascii="Times New Roman" w:hAnsi="Times New Roman" w:cs="Times New Roman"/>
                <w:sz w:val="18"/>
                <w:szCs w:val="18"/>
              </w:rPr>
            </w:pPr>
            <w:r>
              <w:rPr>
                <w:rFonts w:ascii="Times New Roman" w:hAnsi="Times New Roman" w:cs="Times New Roman"/>
                <w:sz w:val="18"/>
                <w:szCs w:val="18"/>
              </w:rPr>
              <w:t>/</w:t>
            </w:r>
          </w:p>
        </w:tc>
        <w:tc>
          <w:tcPr>
            <w:tcW w:w="1238" w:type="dxa"/>
            <w:vAlign w:val="center"/>
          </w:tcPr>
          <w:p>
            <w:pPr>
              <w:adjustRightInd w:val="0"/>
              <w:snapToGrid w:val="0"/>
              <w:spacing w:line="240" w:lineRule="auto"/>
              <w:ind w:firstLine="0" w:firstLineChars="0"/>
              <w:jc w:val="center"/>
              <w:textAlignment w:val="baseline"/>
              <w:rPr>
                <w:rFonts w:ascii="Times New Roman" w:hAnsi="Times New Roman" w:cs="Times New Roman"/>
                <w:sz w:val="18"/>
                <w:szCs w:val="18"/>
              </w:rPr>
            </w:pPr>
            <w:r>
              <w:rPr>
                <w:rFonts w:ascii="Times New Roman" w:hAnsi="Times New Roman" w:cs="Times New Roman"/>
                <w:sz w:val="18"/>
                <w:szCs w:val="18"/>
              </w:rPr>
              <w:t>成品仓库</w:t>
            </w:r>
          </w:p>
        </w:tc>
        <w:tc>
          <w:tcPr>
            <w:tcW w:w="1134" w:type="dxa"/>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w:t>
            </w:r>
          </w:p>
        </w:tc>
        <w:tc>
          <w:tcPr>
            <w:tcW w:w="2657" w:type="dxa"/>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无资料</w:t>
            </w:r>
          </w:p>
        </w:tc>
        <w:tc>
          <w:tcPr>
            <w:tcW w:w="1110" w:type="dxa"/>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可燃</w:t>
            </w:r>
          </w:p>
        </w:tc>
        <w:tc>
          <w:tcPr>
            <w:tcW w:w="3135" w:type="dxa"/>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25" w:hRule="atLeast"/>
        </w:trPr>
        <w:tc>
          <w:tcPr>
            <w:tcW w:w="630" w:type="dxa"/>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固废</w:t>
            </w:r>
          </w:p>
        </w:tc>
        <w:tc>
          <w:tcPr>
            <w:tcW w:w="1631" w:type="dxa"/>
            <w:vAlign w:val="center"/>
          </w:tcPr>
          <w:p>
            <w:pPr>
              <w:adjustRightInd w:val="0"/>
              <w:spacing w:line="240" w:lineRule="auto"/>
              <w:ind w:firstLine="0" w:firstLineChars="0"/>
              <w:jc w:val="center"/>
              <w:textAlignment w:val="baseline"/>
              <w:rPr>
                <w:rFonts w:ascii="Times New Roman" w:hAnsi="Times New Roman" w:eastAsia="宋体" w:cs="Times New Roman"/>
                <w:sz w:val="18"/>
                <w:szCs w:val="18"/>
              </w:rPr>
            </w:pPr>
            <w:r>
              <w:rPr>
                <w:rFonts w:ascii="Times New Roman" w:hAnsi="Times New Roman" w:cs="Times New Roman"/>
                <w:sz w:val="18"/>
                <w:szCs w:val="18"/>
              </w:rPr>
              <w:t>废</w:t>
            </w:r>
            <w:r>
              <w:rPr>
                <w:rFonts w:hint="eastAsia" w:ascii="Times New Roman" w:hAnsi="Times New Roman" w:cs="Times New Roman"/>
                <w:sz w:val="18"/>
                <w:szCs w:val="18"/>
              </w:rPr>
              <w:t>油</w:t>
            </w:r>
          </w:p>
        </w:tc>
        <w:tc>
          <w:tcPr>
            <w:tcW w:w="1174" w:type="dxa"/>
            <w:vAlign w:val="center"/>
          </w:tcPr>
          <w:p>
            <w:pPr>
              <w:spacing w:line="240" w:lineRule="auto"/>
              <w:ind w:firstLine="0" w:firstLineChars="0"/>
              <w:jc w:val="center"/>
              <w:rPr>
                <w:rFonts w:ascii="Times New Roman" w:hAnsi="Times New Roman" w:cs="Times New Roman"/>
                <w:sz w:val="18"/>
                <w:szCs w:val="18"/>
                <w:highlight w:val="yellow"/>
              </w:rPr>
            </w:pPr>
            <w:r>
              <w:rPr>
                <w:rFonts w:ascii="Times New Roman" w:hAnsi="Times New Roman" w:cs="Times New Roman"/>
                <w:sz w:val="18"/>
                <w:szCs w:val="18"/>
              </w:rPr>
              <w:t>0</w:t>
            </w:r>
            <w:r>
              <w:rPr>
                <w:rFonts w:hint="eastAsia" w:ascii="Times New Roman" w:hAnsi="Times New Roman" w:cs="Times New Roman"/>
                <w:sz w:val="18"/>
                <w:szCs w:val="18"/>
              </w:rPr>
              <w:t>.3</w:t>
            </w:r>
          </w:p>
        </w:tc>
        <w:tc>
          <w:tcPr>
            <w:tcW w:w="990" w:type="dxa"/>
            <w:vAlign w:val="center"/>
          </w:tcPr>
          <w:p>
            <w:pPr>
              <w:adjustRightInd w:val="0"/>
              <w:snapToGrid w:val="0"/>
              <w:spacing w:line="240" w:lineRule="auto"/>
              <w:ind w:firstLine="0" w:firstLineChars="0"/>
              <w:jc w:val="center"/>
              <w:textAlignment w:val="baseline"/>
              <w:rPr>
                <w:rFonts w:ascii="Times New Roman" w:hAnsi="Times New Roman" w:cs="Times New Roman"/>
                <w:sz w:val="18"/>
                <w:szCs w:val="18"/>
              </w:rPr>
            </w:pPr>
            <w:r>
              <w:rPr>
                <w:rFonts w:ascii="Times New Roman" w:hAnsi="Times New Roman" w:cs="Times New Roman"/>
                <w:sz w:val="18"/>
                <w:szCs w:val="18"/>
              </w:rPr>
              <w:t>2500</w:t>
            </w:r>
          </w:p>
        </w:tc>
        <w:tc>
          <w:tcPr>
            <w:tcW w:w="1238" w:type="dxa"/>
            <w:vAlign w:val="center"/>
          </w:tcPr>
          <w:p>
            <w:pPr>
              <w:adjustRightInd w:val="0"/>
              <w:snapToGrid w:val="0"/>
              <w:spacing w:line="240" w:lineRule="auto"/>
              <w:ind w:firstLine="0" w:firstLineChars="0"/>
              <w:jc w:val="center"/>
              <w:textAlignment w:val="baseline"/>
              <w:rPr>
                <w:rFonts w:ascii="Times New Roman" w:hAnsi="Times New Roman" w:cs="Times New Roman"/>
                <w:sz w:val="18"/>
                <w:szCs w:val="18"/>
              </w:rPr>
            </w:pPr>
            <w:r>
              <w:rPr>
                <w:rFonts w:ascii="Times New Roman" w:hAnsi="Times New Roman" w:cs="Times New Roman"/>
                <w:sz w:val="18"/>
                <w:szCs w:val="18"/>
              </w:rPr>
              <w:t>危废暂存间</w:t>
            </w:r>
          </w:p>
        </w:tc>
        <w:tc>
          <w:tcPr>
            <w:tcW w:w="1134" w:type="dxa"/>
            <w:vAlign w:val="center"/>
          </w:tcPr>
          <w:p>
            <w:pPr>
              <w:spacing w:line="240" w:lineRule="auto"/>
              <w:ind w:firstLine="0" w:firstLineChars="0"/>
              <w:jc w:val="center"/>
              <w:rPr>
                <w:rFonts w:ascii="Times New Roman" w:hAnsi="Times New Roman" w:cs="Times New Roman"/>
                <w:b/>
                <w:bCs/>
                <w:sz w:val="18"/>
                <w:szCs w:val="18"/>
              </w:rPr>
            </w:pPr>
            <w:r>
              <w:rPr>
                <w:rFonts w:ascii="Times New Roman" w:hAnsi="Times New Roman" w:cs="Times New Roman"/>
                <w:sz w:val="18"/>
                <w:szCs w:val="18"/>
              </w:rPr>
              <w:t>/</w:t>
            </w:r>
          </w:p>
        </w:tc>
        <w:tc>
          <w:tcPr>
            <w:tcW w:w="992" w:type="dxa"/>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w:t>
            </w:r>
          </w:p>
        </w:tc>
        <w:tc>
          <w:tcPr>
            <w:tcW w:w="2657" w:type="dxa"/>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无资料</w:t>
            </w:r>
          </w:p>
        </w:tc>
        <w:tc>
          <w:tcPr>
            <w:tcW w:w="1110" w:type="dxa"/>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可燃</w:t>
            </w:r>
          </w:p>
        </w:tc>
        <w:tc>
          <w:tcPr>
            <w:tcW w:w="3135" w:type="dxa"/>
            <w:vAlign w:val="center"/>
          </w:tcPr>
          <w:p>
            <w:pPr>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属于附录A中第八部分 其他类物质及污染物 第392项</w:t>
            </w:r>
          </w:p>
        </w:tc>
      </w:tr>
    </w:tbl>
    <w:p>
      <w:pPr>
        <w:pStyle w:val="17"/>
        <w:ind w:firstLine="422"/>
        <w:rPr>
          <w:rFonts w:ascii="Times New Roman" w:hAnsi="Times New Roman" w:eastAsia="宋体" w:cs="Times New Roman"/>
          <w:b/>
          <w:sz w:val="21"/>
          <w:szCs w:val="20"/>
        </w:rPr>
      </w:pPr>
    </w:p>
    <w:p>
      <w:pPr>
        <w:pStyle w:val="18"/>
        <w:numPr>
          <w:ilvl w:val="0"/>
          <w:numId w:val="0"/>
        </w:numPr>
        <w:rPr>
          <w:rFonts w:ascii="Times New Roman" w:hAnsi="Times New Roman" w:cs="Times New Roman"/>
        </w:rPr>
      </w:pPr>
    </w:p>
    <w:p>
      <w:pPr>
        <w:ind w:firstLine="0" w:firstLineChars="0"/>
        <w:rPr>
          <w:rFonts w:ascii="Times New Roman" w:hAnsi="Times New Roman" w:eastAsia="宋体" w:cs="Times New Roman"/>
          <w:sz w:val="32"/>
          <w:szCs w:val="32"/>
        </w:rPr>
      </w:pPr>
    </w:p>
    <w:p>
      <w:pPr>
        <w:pStyle w:val="17"/>
        <w:spacing w:line="240" w:lineRule="auto"/>
        <w:ind w:firstLine="0" w:firstLineChars="0"/>
        <w:jc w:val="both"/>
        <w:rPr>
          <w:rFonts w:ascii="Times New Roman" w:hAnsi="Times New Roman" w:eastAsia="宋体" w:cs="Times New Roman"/>
        </w:rPr>
        <w:sectPr>
          <w:pgSz w:w="16838" w:h="11906" w:orient="landscape"/>
          <w:pgMar w:top="1440" w:right="1080" w:bottom="1440" w:left="1080" w:header="851" w:footer="992" w:gutter="0"/>
          <w:pgNumType w:fmt="numberInDash"/>
          <w:cols w:space="425" w:num="1"/>
          <w:docGrid w:type="lines" w:linePitch="312" w:charSpace="0"/>
        </w:sectPr>
      </w:pPr>
    </w:p>
    <w:bookmarkEnd w:id="261"/>
    <w:bookmarkEnd w:id="262"/>
    <w:bookmarkEnd w:id="263"/>
    <w:bookmarkEnd w:id="264"/>
    <w:bookmarkEnd w:id="265"/>
    <w:bookmarkEnd w:id="266"/>
    <w:bookmarkEnd w:id="267"/>
    <w:bookmarkEnd w:id="268"/>
    <w:p>
      <w:pPr>
        <w:pStyle w:val="7"/>
        <w:spacing w:before="260" w:after="260"/>
        <w:rPr>
          <w:rFonts w:ascii="Times New Roman" w:hAnsi="Times New Roman" w:eastAsia="宋体" w:cs="Times New Roman"/>
          <w:sz w:val="30"/>
          <w:szCs w:val="30"/>
        </w:rPr>
      </w:pPr>
      <w:bookmarkStart w:id="281" w:name="_Toc3202"/>
      <w:bookmarkStart w:id="282" w:name="_Toc132468771"/>
      <w:bookmarkStart w:id="283" w:name="_Toc20689"/>
      <w:r>
        <w:rPr>
          <w:rFonts w:ascii="Times New Roman" w:hAnsi="Times New Roman" w:eastAsia="宋体" w:cs="Times New Roman"/>
          <w:sz w:val="30"/>
          <w:szCs w:val="30"/>
        </w:rPr>
        <w:t>3.2 环境风险</w:t>
      </w:r>
      <w:bookmarkStart w:id="284" w:name="_Toc529542565"/>
      <w:bookmarkStart w:id="285" w:name="_Toc523160316"/>
      <w:bookmarkStart w:id="286" w:name="_Toc523160147"/>
      <w:r>
        <w:rPr>
          <w:rFonts w:ascii="Times New Roman" w:hAnsi="Times New Roman" w:eastAsia="宋体" w:cs="Times New Roman"/>
          <w:sz w:val="30"/>
          <w:szCs w:val="30"/>
        </w:rPr>
        <w:t>评估结论</w:t>
      </w:r>
      <w:bookmarkEnd w:id="281"/>
      <w:bookmarkEnd w:id="282"/>
      <w:bookmarkEnd w:id="283"/>
    </w:p>
    <w:bookmarkEnd w:id="284"/>
    <w:bookmarkEnd w:id="285"/>
    <w:bookmarkEnd w:id="286"/>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赤壁恒瑞非织造材料有限公司是同时涉及大气和水环境事件风险的企业，根据《企业突发环境事件风险分级方法》（HJ941-2018），分别计算突发大气环境事件风险分级和突发水环境事件风险分级。</w:t>
      </w:r>
    </w:p>
    <w:p>
      <w:pPr>
        <w:pStyle w:val="8"/>
        <w:spacing w:before="180" w:after="180"/>
        <w:rPr>
          <w:rFonts w:eastAsia="宋体" w:cs="Times New Roman"/>
          <w:sz w:val="28"/>
          <w:szCs w:val="28"/>
        </w:rPr>
      </w:pPr>
      <w:bookmarkStart w:id="287" w:name="_Toc529542566"/>
      <w:bookmarkStart w:id="288" w:name="_Toc132468772"/>
      <w:bookmarkStart w:id="289" w:name="_Toc25531"/>
      <w:bookmarkStart w:id="290" w:name="_Toc5210"/>
      <w:bookmarkStart w:id="291" w:name="_Toc523160317"/>
      <w:r>
        <w:rPr>
          <w:rFonts w:eastAsia="宋体" w:cs="Times New Roman"/>
          <w:sz w:val="28"/>
          <w:szCs w:val="28"/>
        </w:rPr>
        <w:t>3.2.1环境风险等级</w:t>
      </w:r>
      <w:bookmarkEnd w:id="287"/>
      <w:bookmarkEnd w:id="288"/>
      <w:bookmarkEnd w:id="289"/>
      <w:bookmarkEnd w:id="290"/>
      <w:bookmarkEnd w:id="291"/>
    </w:p>
    <w:p>
      <w:pPr>
        <w:ind w:firstLine="464"/>
        <w:rPr>
          <w:rFonts w:ascii="Times New Roman" w:hAnsi="Times New Roman" w:eastAsia="宋体" w:cs="Times New Roman"/>
          <w:spacing w:val="-4"/>
          <w:kern w:val="0"/>
          <w:szCs w:val="24"/>
        </w:rPr>
      </w:pPr>
      <w:r>
        <w:rPr>
          <w:rFonts w:ascii="Times New Roman" w:hAnsi="Times New Roman" w:eastAsia="宋体" w:cs="Times New Roman"/>
          <w:spacing w:val="-4"/>
          <w:kern w:val="0"/>
          <w:szCs w:val="24"/>
        </w:rPr>
        <w:t>按数值大小将Q值划分为4个水平，分别为：（1）Q＜1，以Q0表示，企业直接评为一般环境风险等级；（2）1≤Q＜10，以Q1表示；（3）10≤Q＜100，以Q2表示；（4）Q≥100，以Q3表示。</w:t>
      </w:r>
    </w:p>
    <w:p>
      <w:pPr>
        <w:ind w:firstLine="464"/>
        <w:rPr>
          <w:rFonts w:ascii="Times New Roman" w:hAnsi="Times New Roman" w:eastAsia="宋体" w:cs="Times New Roman"/>
          <w:spacing w:val="-4"/>
          <w:kern w:val="0"/>
          <w:szCs w:val="24"/>
        </w:rPr>
      </w:pPr>
      <w:r>
        <w:rPr>
          <w:rFonts w:ascii="Times New Roman" w:hAnsi="Times New Roman" w:eastAsia="宋体" w:cs="Times New Roman"/>
          <w:spacing w:val="-4"/>
          <w:kern w:val="0"/>
          <w:szCs w:val="24"/>
        </w:rPr>
        <w:t>根据《赤壁恒瑞非织造材料有限公司环境风险评估报告》，企业Q</w:t>
      </w:r>
      <w:r>
        <w:rPr>
          <w:rFonts w:ascii="Times New Roman" w:hAnsi="Times New Roman" w:eastAsia="宋体" w:cs="Times New Roman"/>
          <w:spacing w:val="-4"/>
          <w:kern w:val="0"/>
          <w:szCs w:val="24"/>
          <w:vertAlign w:val="subscript"/>
        </w:rPr>
        <w:t>气</w:t>
      </w:r>
      <w:r>
        <w:rPr>
          <w:rFonts w:ascii="Times New Roman" w:hAnsi="Times New Roman" w:eastAsia="宋体" w:cs="Times New Roman"/>
          <w:spacing w:val="-4"/>
          <w:kern w:val="0"/>
          <w:szCs w:val="24"/>
        </w:rPr>
        <w:t>为</w:t>
      </w:r>
      <w:r>
        <w:rPr>
          <w:rFonts w:ascii="Times New Roman" w:hAnsi="Times New Roman" w:cs="Times New Roman"/>
          <w:bCs/>
          <w:szCs w:val="24"/>
        </w:rPr>
        <w:t>0.</w:t>
      </w:r>
      <w:r>
        <w:rPr>
          <w:rFonts w:hint="eastAsia" w:ascii="Times New Roman" w:hAnsi="Times New Roman" w:cs="Times New Roman"/>
          <w:bCs/>
          <w:szCs w:val="24"/>
        </w:rPr>
        <w:t>0024</w:t>
      </w:r>
      <w:r>
        <w:rPr>
          <w:rFonts w:ascii="Times New Roman" w:hAnsi="Times New Roman" w:eastAsia="宋体" w:cs="Times New Roman"/>
          <w:spacing w:val="-4"/>
          <w:kern w:val="0"/>
          <w:szCs w:val="24"/>
        </w:rPr>
        <w:t>，以</w:t>
      </w:r>
      <w:r>
        <w:rPr>
          <w:rFonts w:ascii="Times New Roman" w:hAnsi="Times New Roman" w:eastAsia="宋体" w:cs="Times New Roman"/>
          <w:b/>
          <w:bCs/>
          <w:spacing w:val="-4"/>
          <w:kern w:val="0"/>
          <w:szCs w:val="24"/>
        </w:rPr>
        <w:t>Q0</w:t>
      </w:r>
      <w:r>
        <w:rPr>
          <w:rFonts w:ascii="Times New Roman" w:hAnsi="Times New Roman" w:eastAsia="宋体" w:cs="Times New Roman"/>
          <w:spacing w:val="-4"/>
          <w:kern w:val="0"/>
          <w:szCs w:val="24"/>
        </w:rPr>
        <w:t>表示，Q</w:t>
      </w:r>
      <w:r>
        <w:rPr>
          <w:rFonts w:ascii="Times New Roman" w:hAnsi="Times New Roman" w:eastAsia="宋体" w:cs="Times New Roman"/>
          <w:spacing w:val="-4"/>
          <w:kern w:val="0"/>
          <w:szCs w:val="24"/>
          <w:vertAlign w:val="subscript"/>
        </w:rPr>
        <w:t>水</w:t>
      </w:r>
      <w:r>
        <w:rPr>
          <w:rFonts w:ascii="Times New Roman" w:hAnsi="Times New Roman" w:eastAsia="宋体" w:cs="Times New Roman"/>
          <w:spacing w:val="-4"/>
          <w:kern w:val="0"/>
          <w:szCs w:val="24"/>
        </w:rPr>
        <w:t>为</w:t>
      </w:r>
      <w:r>
        <w:rPr>
          <w:rFonts w:hint="eastAsia" w:ascii="Times New Roman" w:hAnsi="Times New Roman" w:cs="Times New Roman"/>
          <w:bCs/>
          <w:spacing w:val="-4"/>
          <w:kern w:val="0"/>
          <w:szCs w:val="24"/>
        </w:rPr>
        <w:t>0.0024</w:t>
      </w:r>
      <w:r>
        <w:rPr>
          <w:rFonts w:ascii="Times New Roman" w:hAnsi="Times New Roman" w:eastAsia="宋体" w:cs="Times New Roman"/>
          <w:spacing w:val="-4"/>
          <w:kern w:val="0"/>
          <w:szCs w:val="24"/>
        </w:rPr>
        <w:t>，以</w:t>
      </w:r>
      <w:r>
        <w:rPr>
          <w:rFonts w:ascii="Times New Roman" w:hAnsi="Times New Roman" w:eastAsia="宋体" w:cs="Times New Roman"/>
          <w:b/>
          <w:bCs/>
          <w:spacing w:val="-4"/>
          <w:kern w:val="0"/>
          <w:szCs w:val="24"/>
        </w:rPr>
        <w:t>Q</w:t>
      </w:r>
      <w:r>
        <w:rPr>
          <w:rFonts w:hint="eastAsia" w:ascii="Times New Roman" w:hAnsi="Times New Roman" w:eastAsia="宋体" w:cs="Times New Roman"/>
          <w:b/>
          <w:bCs/>
          <w:spacing w:val="-4"/>
          <w:kern w:val="0"/>
          <w:szCs w:val="24"/>
        </w:rPr>
        <w:t>0</w:t>
      </w:r>
      <w:r>
        <w:rPr>
          <w:rFonts w:ascii="Times New Roman" w:hAnsi="Times New Roman" w:eastAsia="宋体" w:cs="Times New Roman"/>
          <w:spacing w:val="-4"/>
          <w:kern w:val="0"/>
          <w:szCs w:val="24"/>
        </w:rPr>
        <w:t>表示</w:t>
      </w:r>
      <w:r>
        <w:rPr>
          <w:rFonts w:ascii="Times New Roman" w:hAnsi="Times New Roman" w:cs="Times New Roman"/>
          <w:bCs/>
          <w:spacing w:val="-4"/>
          <w:kern w:val="0"/>
          <w:szCs w:val="24"/>
        </w:rPr>
        <w:t>，企业直接评为一般环境风险等级</w:t>
      </w:r>
      <w:r>
        <w:rPr>
          <w:rFonts w:ascii="Times New Roman" w:hAnsi="Times New Roman" w:eastAsia="宋体" w:cs="Times New Roman"/>
          <w:spacing w:val="-4"/>
          <w:kern w:val="0"/>
          <w:szCs w:val="24"/>
        </w:rPr>
        <w:t>，本项目风险等级为：</w:t>
      </w:r>
      <w:r>
        <w:rPr>
          <w:rFonts w:ascii="Times New Roman" w:hAnsi="Times New Roman" w:eastAsia="宋体" w:cs="Times New Roman"/>
          <w:b/>
          <w:bCs/>
          <w:spacing w:val="-4"/>
          <w:kern w:val="0"/>
          <w:szCs w:val="24"/>
        </w:rPr>
        <w:t>一</w:t>
      </w:r>
      <w:r>
        <w:rPr>
          <w:rFonts w:ascii="Times New Roman" w:hAnsi="Times New Roman" w:cs="Times New Roman"/>
          <w:b/>
          <w:spacing w:val="-4"/>
          <w:kern w:val="0"/>
          <w:szCs w:val="24"/>
        </w:rPr>
        <w:t>般“[一般-大气（Q0）+一般-水（Q</w:t>
      </w:r>
      <w:r>
        <w:rPr>
          <w:rFonts w:hint="eastAsia" w:ascii="Times New Roman" w:hAnsi="Times New Roman" w:cs="Times New Roman"/>
          <w:b/>
          <w:spacing w:val="-4"/>
          <w:kern w:val="0"/>
          <w:szCs w:val="24"/>
        </w:rPr>
        <w:t>0</w:t>
      </w:r>
      <w:r>
        <w:rPr>
          <w:rFonts w:ascii="Times New Roman" w:hAnsi="Times New Roman" w:cs="Times New Roman"/>
          <w:b/>
          <w:spacing w:val="-4"/>
          <w:kern w:val="0"/>
          <w:szCs w:val="24"/>
        </w:rPr>
        <w:t>）]”</w:t>
      </w:r>
      <w:r>
        <w:rPr>
          <w:rFonts w:ascii="Times New Roman" w:hAnsi="Times New Roman" w:eastAsia="宋体" w:cs="Times New Roman"/>
          <w:spacing w:val="-4"/>
          <w:kern w:val="0"/>
          <w:szCs w:val="24"/>
        </w:rPr>
        <w:t>。</w:t>
      </w:r>
    </w:p>
    <w:p>
      <w:pPr>
        <w:pStyle w:val="8"/>
        <w:spacing w:before="180" w:after="180"/>
        <w:rPr>
          <w:rFonts w:eastAsia="宋体" w:cs="Times New Roman"/>
          <w:sz w:val="28"/>
          <w:szCs w:val="28"/>
        </w:rPr>
      </w:pPr>
      <w:bookmarkStart w:id="292" w:name="_Toc523160318"/>
      <w:bookmarkStart w:id="293" w:name="_Toc31381"/>
      <w:bookmarkStart w:id="294" w:name="_Toc529542567"/>
      <w:bookmarkStart w:id="295" w:name="_Toc132468773"/>
      <w:bookmarkStart w:id="296" w:name="_Toc27156"/>
      <w:r>
        <w:rPr>
          <w:rFonts w:eastAsia="宋体" w:cs="Times New Roman"/>
          <w:sz w:val="28"/>
          <w:szCs w:val="28"/>
        </w:rPr>
        <w:t>3.2.2可能发生的突发环境事件情景及危害后果</w:t>
      </w:r>
      <w:bookmarkEnd w:id="292"/>
      <w:bookmarkEnd w:id="293"/>
      <w:bookmarkEnd w:id="294"/>
      <w:bookmarkEnd w:id="295"/>
      <w:bookmarkEnd w:id="296"/>
    </w:p>
    <w:p>
      <w:pPr>
        <w:spacing w:line="240" w:lineRule="auto"/>
        <w:ind w:firstLine="422"/>
        <w:jc w:val="center"/>
        <w:rPr>
          <w:rFonts w:ascii="Times New Roman" w:hAnsi="Times New Roman" w:eastAsia="宋体" w:cs="Times New Roman"/>
          <w:b/>
          <w:sz w:val="21"/>
          <w:szCs w:val="21"/>
        </w:rPr>
      </w:pPr>
      <w:r>
        <w:rPr>
          <w:rFonts w:ascii="Times New Roman" w:hAnsi="Times New Roman" w:eastAsia="宋体" w:cs="Times New Roman"/>
          <w:b/>
          <w:sz w:val="21"/>
          <w:szCs w:val="21"/>
        </w:rPr>
        <w:t>表3.2-1  本企业突发环境事件对环境风险受体影响范围和程度</w:t>
      </w:r>
    </w:p>
    <w:tbl>
      <w:tblPr>
        <w:tblStyle w:val="36"/>
        <w:tblW w:w="99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6236"/>
        <w:gridCol w:w="1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tcBorders>
              <w:bottom w:val="single" w:color="auto" w:sz="12" w:space="0"/>
            </w:tcBorders>
            <w:vAlign w:val="center"/>
          </w:tcPr>
          <w:p>
            <w:pPr>
              <w:pStyle w:val="84"/>
              <w:rPr>
                <w:rFonts w:eastAsia="宋体"/>
                <w:b/>
                <w:sz w:val="18"/>
                <w:szCs w:val="18"/>
              </w:rPr>
            </w:pPr>
            <w:r>
              <w:rPr>
                <w:rFonts w:eastAsia="宋体"/>
                <w:b/>
                <w:sz w:val="18"/>
                <w:szCs w:val="18"/>
              </w:rPr>
              <w:t>情景</w:t>
            </w:r>
          </w:p>
        </w:tc>
        <w:tc>
          <w:tcPr>
            <w:tcW w:w="1701" w:type="dxa"/>
            <w:tcBorders>
              <w:bottom w:val="single" w:color="auto" w:sz="12" w:space="0"/>
            </w:tcBorders>
            <w:vAlign w:val="center"/>
          </w:tcPr>
          <w:p>
            <w:pPr>
              <w:pStyle w:val="84"/>
              <w:rPr>
                <w:rFonts w:eastAsia="宋体"/>
                <w:b/>
                <w:sz w:val="18"/>
                <w:szCs w:val="18"/>
              </w:rPr>
            </w:pPr>
            <w:r>
              <w:rPr>
                <w:rFonts w:eastAsia="宋体"/>
                <w:b/>
                <w:sz w:val="18"/>
                <w:szCs w:val="18"/>
              </w:rPr>
              <w:t>突发事件类型</w:t>
            </w:r>
          </w:p>
        </w:tc>
        <w:tc>
          <w:tcPr>
            <w:tcW w:w="6236" w:type="dxa"/>
            <w:tcBorders>
              <w:bottom w:val="single" w:color="auto" w:sz="12" w:space="0"/>
            </w:tcBorders>
            <w:vAlign w:val="center"/>
          </w:tcPr>
          <w:p>
            <w:pPr>
              <w:pStyle w:val="84"/>
              <w:rPr>
                <w:rFonts w:eastAsia="宋体"/>
                <w:b/>
                <w:sz w:val="18"/>
                <w:szCs w:val="18"/>
              </w:rPr>
            </w:pPr>
            <w:r>
              <w:rPr>
                <w:rFonts w:eastAsia="宋体"/>
                <w:b/>
                <w:sz w:val="18"/>
                <w:szCs w:val="18"/>
              </w:rPr>
              <w:t>对环境风险受体的影响范围及程度</w:t>
            </w:r>
          </w:p>
        </w:tc>
        <w:tc>
          <w:tcPr>
            <w:tcW w:w="1208" w:type="dxa"/>
            <w:tcBorders>
              <w:bottom w:val="single" w:color="auto" w:sz="12" w:space="0"/>
            </w:tcBorders>
            <w:vAlign w:val="center"/>
          </w:tcPr>
          <w:p>
            <w:pPr>
              <w:pStyle w:val="84"/>
              <w:rPr>
                <w:rFonts w:eastAsia="宋体"/>
                <w:b/>
                <w:sz w:val="18"/>
                <w:szCs w:val="18"/>
              </w:rPr>
            </w:pPr>
            <w:r>
              <w:rPr>
                <w:rFonts w:eastAsia="宋体"/>
                <w:b/>
                <w:sz w:val="18"/>
                <w:szCs w:val="18"/>
              </w:rPr>
              <w:t>预估突发环境事件级别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817" w:type="dxa"/>
            <w:tcBorders>
              <w:top w:val="single" w:color="auto" w:sz="12" w:space="0"/>
              <w:bottom w:val="single" w:color="auto" w:sz="4" w:space="0"/>
            </w:tcBorders>
            <w:vAlign w:val="center"/>
          </w:tcPr>
          <w:p>
            <w:pPr>
              <w:pStyle w:val="84"/>
              <w:rPr>
                <w:rFonts w:eastAsia="宋体"/>
                <w:sz w:val="18"/>
                <w:szCs w:val="18"/>
              </w:rPr>
            </w:pPr>
            <w:r>
              <w:rPr>
                <w:rFonts w:eastAsia="宋体"/>
                <w:sz w:val="18"/>
                <w:szCs w:val="18"/>
              </w:rPr>
              <w:t>情景1</w:t>
            </w:r>
          </w:p>
        </w:tc>
        <w:tc>
          <w:tcPr>
            <w:tcW w:w="1701" w:type="dxa"/>
            <w:tcBorders>
              <w:top w:val="single" w:color="auto" w:sz="12" w:space="0"/>
              <w:bottom w:val="single" w:color="auto" w:sz="4" w:space="0"/>
            </w:tcBorders>
            <w:vAlign w:val="center"/>
          </w:tcPr>
          <w:p>
            <w:pPr>
              <w:pStyle w:val="84"/>
              <w:rPr>
                <w:rFonts w:eastAsia="宋体"/>
                <w:sz w:val="18"/>
                <w:szCs w:val="18"/>
              </w:rPr>
            </w:pPr>
            <w:r>
              <w:rPr>
                <w:rFonts w:eastAsia="宋体"/>
                <w:sz w:val="18"/>
                <w:szCs w:val="18"/>
              </w:rPr>
              <w:t>油类物质泄漏事故引发的大气污染</w:t>
            </w:r>
          </w:p>
        </w:tc>
        <w:tc>
          <w:tcPr>
            <w:tcW w:w="6236" w:type="dxa"/>
            <w:tcBorders>
              <w:top w:val="single" w:color="auto" w:sz="12" w:space="0"/>
              <w:bottom w:val="single" w:color="auto" w:sz="4" w:space="0"/>
            </w:tcBorders>
            <w:vAlign w:val="center"/>
          </w:tcPr>
          <w:p>
            <w:pPr>
              <w:pStyle w:val="17"/>
              <w:ind w:firstLine="360"/>
              <w:jc w:val="left"/>
              <w:rPr>
                <w:rFonts w:ascii="Times New Roman" w:hAnsi="Times New Roman" w:eastAsia="宋体" w:cs="Times New Roman"/>
                <w:sz w:val="18"/>
                <w:szCs w:val="18"/>
              </w:rPr>
            </w:pPr>
            <w:r>
              <w:rPr>
                <w:rFonts w:ascii="Times New Roman" w:hAnsi="Times New Roman" w:eastAsia="宋体" w:cs="Times New Roman"/>
                <w:sz w:val="18"/>
                <w:szCs w:val="18"/>
              </w:rPr>
              <w:t>由计算结果可知，不会对周边居民造成生命威胁。</w:t>
            </w:r>
          </w:p>
        </w:tc>
        <w:tc>
          <w:tcPr>
            <w:tcW w:w="1208" w:type="dxa"/>
            <w:tcBorders>
              <w:top w:val="single" w:color="auto" w:sz="12" w:space="0"/>
              <w:bottom w:val="single" w:color="auto" w:sz="4" w:space="0"/>
            </w:tcBorders>
            <w:vAlign w:val="center"/>
          </w:tcPr>
          <w:p>
            <w:pPr>
              <w:pStyle w:val="84"/>
              <w:rPr>
                <w:rFonts w:eastAsia="宋体"/>
                <w:sz w:val="18"/>
                <w:szCs w:val="18"/>
              </w:rPr>
            </w:pPr>
            <w:r>
              <w:rPr>
                <w:rFonts w:eastAsia="宋体"/>
                <w:sz w:val="18"/>
                <w:szCs w:val="18"/>
              </w:rPr>
              <w:fldChar w:fldCharType="begin"/>
            </w:r>
            <w:r>
              <w:rPr>
                <w:rFonts w:eastAsia="宋体"/>
                <w:sz w:val="18"/>
                <w:szCs w:val="18"/>
              </w:rPr>
              <w:instrText xml:space="preserve"> = 2 \* ROMAN \* MERGEFORMAT </w:instrText>
            </w:r>
            <w:r>
              <w:rPr>
                <w:rFonts w:eastAsia="宋体"/>
                <w:sz w:val="18"/>
                <w:szCs w:val="18"/>
              </w:rPr>
              <w:fldChar w:fldCharType="separate"/>
            </w:r>
            <w:r>
              <w:rPr>
                <w:rFonts w:eastAsia="宋体"/>
                <w:sz w:val="18"/>
                <w:szCs w:val="18"/>
              </w:rPr>
              <w:t>II</w:t>
            </w:r>
            <w:r>
              <w:rPr>
                <w:rFonts w:eastAsia="宋体"/>
                <w:sz w:val="18"/>
                <w:szCs w:val="18"/>
              </w:rPr>
              <w:fldChar w:fldCharType="end"/>
            </w:r>
            <w:r>
              <w:rPr>
                <w:rFonts w:eastAsia="宋体"/>
                <w:sz w:val="18"/>
                <w:szCs w:val="18"/>
              </w:rPr>
              <w:t>-Ⅲ级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817" w:type="dxa"/>
            <w:tcBorders>
              <w:top w:val="single" w:color="auto" w:sz="4" w:space="0"/>
            </w:tcBorders>
            <w:vAlign w:val="center"/>
          </w:tcPr>
          <w:p>
            <w:pPr>
              <w:pStyle w:val="84"/>
              <w:rPr>
                <w:rFonts w:eastAsia="宋体"/>
                <w:sz w:val="18"/>
                <w:szCs w:val="18"/>
              </w:rPr>
            </w:pPr>
            <w:r>
              <w:rPr>
                <w:rFonts w:eastAsia="宋体"/>
                <w:sz w:val="18"/>
                <w:szCs w:val="18"/>
              </w:rPr>
              <w:t>情景2</w:t>
            </w:r>
          </w:p>
        </w:tc>
        <w:tc>
          <w:tcPr>
            <w:tcW w:w="1701" w:type="dxa"/>
            <w:tcBorders>
              <w:top w:val="single" w:color="auto" w:sz="4" w:space="0"/>
              <w:bottom w:val="single" w:color="auto" w:sz="4" w:space="0"/>
            </w:tcBorders>
            <w:vAlign w:val="center"/>
          </w:tcPr>
          <w:p>
            <w:pPr>
              <w:pStyle w:val="84"/>
              <w:jc w:val="both"/>
              <w:rPr>
                <w:rFonts w:eastAsia="宋体"/>
                <w:sz w:val="18"/>
                <w:szCs w:val="18"/>
              </w:rPr>
            </w:pPr>
            <w:r>
              <w:rPr>
                <w:rFonts w:eastAsia="宋体"/>
                <w:sz w:val="18"/>
                <w:szCs w:val="18"/>
              </w:rPr>
              <w:t>危化品火灾爆炸次生大气污染</w:t>
            </w:r>
          </w:p>
        </w:tc>
        <w:tc>
          <w:tcPr>
            <w:tcW w:w="6236" w:type="dxa"/>
            <w:tcBorders>
              <w:top w:val="single" w:color="auto" w:sz="4" w:space="0"/>
              <w:bottom w:val="single" w:color="auto" w:sz="4" w:space="0"/>
            </w:tcBorders>
            <w:vAlign w:val="center"/>
          </w:tcPr>
          <w:p>
            <w:pPr>
              <w:pStyle w:val="2"/>
              <w:ind w:firstLine="360" w:firstLineChars="200"/>
              <w:rPr>
                <w:rFonts w:ascii="Times New Roman" w:hAnsi="Times New Roman" w:eastAsia="宋体" w:cs="Times New Roman"/>
                <w:color w:val="auto"/>
                <w:kern w:val="2"/>
                <w:sz w:val="18"/>
                <w:szCs w:val="18"/>
              </w:rPr>
            </w:pPr>
            <w:r>
              <w:rPr>
                <w:rFonts w:ascii="Times New Roman" w:hAnsi="Times New Roman" w:eastAsia="宋体" w:cs="Times New Roman"/>
                <w:color w:val="auto"/>
                <w:kern w:val="2"/>
                <w:sz w:val="18"/>
                <w:szCs w:val="18"/>
              </w:rPr>
              <w:t>由计算结果可知，</w:t>
            </w:r>
            <w:r>
              <w:rPr>
                <w:rFonts w:hint="eastAsia" w:ascii="Times New Roman" w:hAnsi="Times New Roman" w:eastAsia="宋体" w:cs="Times New Roman"/>
                <w:color w:val="auto"/>
                <w:kern w:val="2"/>
                <w:sz w:val="18"/>
                <w:szCs w:val="18"/>
              </w:rPr>
              <w:t>该情景</w:t>
            </w:r>
            <w:r>
              <w:rPr>
                <w:rFonts w:ascii="Times New Roman" w:hAnsi="Times New Roman" w:eastAsia="宋体" w:cs="Times New Roman"/>
                <w:color w:val="auto"/>
                <w:kern w:val="2"/>
                <w:sz w:val="18"/>
                <w:szCs w:val="18"/>
              </w:rPr>
              <w:t>产生的最远距离为400m，将会对现场暴露人员造成急性中毒危害，甚至有可能对居民造成生命威胁，故发生火灾后应及时通知疏散周边的居民。</w:t>
            </w:r>
          </w:p>
        </w:tc>
        <w:tc>
          <w:tcPr>
            <w:tcW w:w="1208" w:type="dxa"/>
            <w:tcBorders>
              <w:top w:val="single" w:color="auto" w:sz="4" w:space="0"/>
              <w:bottom w:val="single" w:color="auto" w:sz="4" w:space="0"/>
            </w:tcBorders>
            <w:vAlign w:val="center"/>
          </w:tcPr>
          <w:p>
            <w:pPr>
              <w:pStyle w:val="84"/>
              <w:rPr>
                <w:rFonts w:eastAsia="宋体"/>
                <w:sz w:val="18"/>
                <w:szCs w:val="18"/>
              </w:rPr>
            </w:pPr>
            <w:r>
              <w:rPr>
                <w:rFonts w:eastAsia="宋体"/>
                <w:sz w:val="18"/>
                <w:szCs w:val="18"/>
              </w:rPr>
              <w:fldChar w:fldCharType="begin"/>
            </w:r>
            <w:r>
              <w:rPr>
                <w:rFonts w:eastAsia="宋体"/>
                <w:sz w:val="18"/>
                <w:szCs w:val="18"/>
              </w:rPr>
              <w:instrText xml:space="preserve"> = 1 \* ROMAN </w:instrText>
            </w:r>
            <w:r>
              <w:rPr>
                <w:rFonts w:eastAsia="宋体"/>
                <w:sz w:val="18"/>
                <w:szCs w:val="18"/>
              </w:rPr>
              <w:fldChar w:fldCharType="separate"/>
            </w:r>
            <w:r>
              <w:rPr>
                <w:rFonts w:eastAsia="宋体"/>
                <w:sz w:val="18"/>
                <w:szCs w:val="18"/>
              </w:rPr>
              <w:t>I</w:t>
            </w:r>
            <w:r>
              <w:rPr>
                <w:rFonts w:eastAsia="宋体"/>
                <w:sz w:val="18"/>
                <w:szCs w:val="18"/>
              </w:rPr>
              <w:fldChar w:fldCharType="end"/>
            </w:r>
            <w:r>
              <w:rPr>
                <w:rFonts w:eastAsia="宋体"/>
                <w:sz w:val="18"/>
                <w:szCs w:val="18"/>
              </w:rPr>
              <w:t>-Ⅲ级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pStyle w:val="84"/>
              <w:rPr>
                <w:rFonts w:eastAsia="宋体"/>
                <w:sz w:val="18"/>
                <w:szCs w:val="18"/>
              </w:rPr>
            </w:pPr>
            <w:r>
              <w:rPr>
                <w:rFonts w:eastAsia="宋体"/>
                <w:sz w:val="18"/>
                <w:szCs w:val="18"/>
              </w:rPr>
              <w:t>情景3</w:t>
            </w:r>
          </w:p>
        </w:tc>
        <w:tc>
          <w:tcPr>
            <w:tcW w:w="1701" w:type="dxa"/>
            <w:vAlign w:val="center"/>
          </w:tcPr>
          <w:p>
            <w:pPr>
              <w:pStyle w:val="84"/>
              <w:rPr>
                <w:rFonts w:eastAsia="宋体"/>
                <w:sz w:val="18"/>
                <w:szCs w:val="18"/>
              </w:rPr>
            </w:pPr>
            <w:r>
              <w:rPr>
                <w:rFonts w:eastAsia="宋体"/>
                <w:sz w:val="18"/>
                <w:szCs w:val="18"/>
              </w:rPr>
              <w:t>泄漏事故及火灾事故衍生水污染</w:t>
            </w:r>
          </w:p>
        </w:tc>
        <w:tc>
          <w:tcPr>
            <w:tcW w:w="6236" w:type="dxa"/>
            <w:vAlign w:val="center"/>
          </w:tcPr>
          <w:p>
            <w:pPr>
              <w:pStyle w:val="17"/>
              <w:spacing w:line="240" w:lineRule="auto"/>
              <w:ind w:firstLine="0" w:firstLineChars="0"/>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厂区内设置有污水收集池，排水沟、沉淀池，合计620m</w:t>
            </w:r>
            <w:r>
              <w:rPr>
                <w:rFonts w:hint="eastAsia" w:ascii="Times New Roman" w:hAnsi="Times New Roman" w:eastAsia="宋体" w:cs="Times New Roman"/>
                <w:sz w:val="18"/>
                <w:szCs w:val="18"/>
                <w:vertAlign w:val="superscript"/>
              </w:rPr>
              <w:t>3</w:t>
            </w:r>
            <w:r>
              <w:rPr>
                <w:rFonts w:ascii="Times New Roman" w:hAnsi="Times New Roman" w:eastAsia="宋体" w:cs="Times New Roman"/>
                <w:kern w:val="0"/>
                <w:sz w:val="18"/>
                <w:szCs w:val="18"/>
              </w:rPr>
              <w:t>，</w:t>
            </w:r>
            <w:r>
              <w:rPr>
                <w:rFonts w:ascii="Times New Roman" w:hAnsi="Times New Roman" w:eastAsia="宋体" w:cs="Times New Roman"/>
                <w:sz w:val="18"/>
                <w:szCs w:val="18"/>
              </w:rPr>
              <w:t>能够满足事故废水收集要求。</w:t>
            </w:r>
          </w:p>
        </w:tc>
        <w:tc>
          <w:tcPr>
            <w:tcW w:w="1208" w:type="dxa"/>
            <w:vAlign w:val="center"/>
          </w:tcPr>
          <w:p>
            <w:pPr>
              <w:pStyle w:val="84"/>
              <w:rPr>
                <w:rFonts w:eastAsia="宋体"/>
                <w:sz w:val="18"/>
                <w:szCs w:val="18"/>
              </w:rPr>
            </w:pPr>
            <w:r>
              <w:rPr>
                <w:rFonts w:eastAsia="宋体"/>
                <w:sz w:val="18"/>
                <w:szCs w:val="18"/>
              </w:rPr>
              <w:fldChar w:fldCharType="begin"/>
            </w:r>
            <w:r>
              <w:rPr>
                <w:rFonts w:eastAsia="宋体"/>
                <w:sz w:val="18"/>
                <w:szCs w:val="18"/>
              </w:rPr>
              <w:instrText xml:space="preserve"> = 2 \* ROMAN \* MERGEFORMAT </w:instrText>
            </w:r>
            <w:r>
              <w:rPr>
                <w:rFonts w:eastAsia="宋体"/>
                <w:sz w:val="18"/>
                <w:szCs w:val="18"/>
              </w:rPr>
              <w:fldChar w:fldCharType="separate"/>
            </w:r>
            <w:r>
              <w:rPr>
                <w:rFonts w:eastAsia="宋体"/>
                <w:sz w:val="18"/>
                <w:szCs w:val="18"/>
              </w:rPr>
              <w:t>II</w:t>
            </w:r>
            <w:r>
              <w:rPr>
                <w:rFonts w:eastAsia="宋体"/>
                <w:sz w:val="18"/>
                <w:szCs w:val="18"/>
              </w:rPr>
              <w:fldChar w:fldCharType="end"/>
            </w:r>
            <w:r>
              <w:rPr>
                <w:rFonts w:eastAsia="宋体"/>
                <w:sz w:val="18"/>
                <w:szCs w:val="18"/>
              </w:rPr>
              <w:t>-Ⅲ级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pStyle w:val="84"/>
              <w:rPr>
                <w:rFonts w:eastAsia="宋体"/>
                <w:sz w:val="18"/>
                <w:szCs w:val="18"/>
              </w:rPr>
            </w:pPr>
            <w:r>
              <w:rPr>
                <w:rFonts w:eastAsia="宋体"/>
                <w:sz w:val="18"/>
                <w:szCs w:val="18"/>
              </w:rPr>
              <w:t>情景4</w:t>
            </w:r>
          </w:p>
        </w:tc>
        <w:tc>
          <w:tcPr>
            <w:tcW w:w="1701" w:type="dxa"/>
            <w:vAlign w:val="center"/>
          </w:tcPr>
          <w:p>
            <w:pPr>
              <w:pStyle w:val="84"/>
              <w:rPr>
                <w:rFonts w:eastAsia="宋体"/>
                <w:sz w:val="18"/>
                <w:szCs w:val="18"/>
              </w:rPr>
            </w:pPr>
            <w:r>
              <w:rPr>
                <w:rFonts w:eastAsia="宋体"/>
                <w:sz w:val="18"/>
                <w:szCs w:val="18"/>
              </w:rPr>
              <w:t>污染治理设施非正常运行</w:t>
            </w:r>
          </w:p>
        </w:tc>
        <w:tc>
          <w:tcPr>
            <w:tcW w:w="6236" w:type="dxa"/>
            <w:vAlign w:val="center"/>
          </w:tcPr>
          <w:p>
            <w:pPr>
              <w:pStyle w:val="84"/>
              <w:jc w:val="both"/>
              <w:rPr>
                <w:rFonts w:eastAsia="宋体"/>
                <w:sz w:val="18"/>
                <w:szCs w:val="18"/>
              </w:rPr>
            </w:pPr>
            <w:r>
              <w:rPr>
                <w:rFonts w:eastAsia="宋体"/>
                <w:sz w:val="18"/>
                <w:szCs w:val="18"/>
              </w:rPr>
              <w:t>本企业的废气处理装置异常，导致颗粒物严重超标，随风扩散至周围大气环境。</w:t>
            </w:r>
          </w:p>
        </w:tc>
        <w:tc>
          <w:tcPr>
            <w:tcW w:w="1208" w:type="dxa"/>
            <w:vAlign w:val="center"/>
          </w:tcPr>
          <w:p>
            <w:pPr>
              <w:pStyle w:val="84"/>
              <w:rPr>
                <w:rFonts w:eastAsia="宋体"/>
                <w:sz w:val="18"/>
                <w:szCs w:val="18"/>
              </w:rPr>
            </w:pPr>
            <w:r>
              <w:rPr>
                <w:rFonts w:eastAsia="宋体"/>
                <w:sz w:val="18"/>
                <w:szCs w:val="18"/>
              </w:rPr>
              <w:fldChar w:fldCharType="begin"/>
            </w:r>
            <w:r>
              <w:rPr>
                <w:rFonts w:eastAsia="宋体"/>
                <w:sz w:val="18"/>
                <w:szCs w:val="18"/>
              </w:rPr>
              <w:instrText xml:space="preserve"> = 2 \* ROMAN \* MERGEFORMAT </w:instrText>
            </w:r>
            <w:r>
              <w:rPr>
                <w:rFonts w:eastAsia="宋体"/>
                <w:sz w:val="18"/>
                <w:szCs w:val="18"/>
              </w:rPr>
              <w:fldChar w:fldCharType="separate"/>
            </w:r>
            <w:r>
              <w:rPr>
                <w:rFonts w:eastAsia="宋体"/>
                <w:sz w:val="18"/>
                <w:szCs w:val="18"/>
              </w:rPr>
              <w:t>II</w:t>
            </w:r>
            <w:r>
              <w:rPr>
                <w:rFonts w:eastAsia="宋体"/>
                <w:sz w:val="18"/>
                <w:szCs w:val="18"/>
              </w:rPr>
              <w:fldChar w:fldCharType="end"/>
            </w:r>
            <w:r>
              <w:rPr>
                <w:rFonts w:eastAsia="宋体"/>
                <w:sz w:val="18"/>
                <w:szCs w:val="18"/>
              </w:rPr>
              <w:t>-Ⅲ级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pStyle w:val="84"/>
              <w:rPr>
                <w:rFonts w:eastAsia="宋体"/>
                <w:sz w:val="18"/>
                <w:szCs w:val="18"/>
              </w:rPr>
            </w:pPr>
            <w:r>
              <w:rPr>
                <w:rFonts w:eastAsia="宋体"/>
                <w:sz w:val="18"/>
                <w:szCs w:val="18"/>
              </w:rPr>
              <w:t>情景5</w:t>
            </w:r>
          </w:p>
        </w:tc>
        <w:tc>
          <w:tcPr>
            <w:tcW w:w="1701" w:type="dxa"/>
            <w:vAlign w:val="center"/>
          </w:tcPr>
          <w:p>
            <w:pPr>
              <w:pStyle w:val="84"/>
              <w:rPr>
                <w:rFonts w:eastAsia="宋体"/>
                <w:sz w:val="18"/>
                <w:szCs w:val="18"/>
              </w:rPr>
            </w:pPr>
            <w:r>
              <w:rPr>
                <w:rFonts w:eastAsia="宋体"/>
                <w:sz w:val="18"/>
                <w:szCs w:val="18"/>
              </w:rPr>
              <w:t>危废暂存间管理失误</w:t>
            </w:r>
          </w:p>
        </w:tc>
        <w:tc>
          <w:tcPr>
            <w:tcW w:w="6236" w:type="dxa"/>
            <w:vAlign w:val="center"/>
          </w:tcPr>
          <w:p>
            <w:pPr>
              <w:pStyle w:val="84"/>
              <w:jc w:val="left"/>
              <w:rPr>
                <w:rFonts w:eastAsia="宋体"/>
                <w:sz w:val="18"/>
                <w:szCs w:val="18"/>
              </w:rPr>
            </w:pPr>
            <w:r>
              <w:rPr>
                <w:rFonts w:eastAsia="宋体"/>
                <w:sz w:val="18"/>
                <w:szCs w:val="18"/>
              </w:rPr>
              <w:t>本企业产生的危险废物暂存危废间中，后期危废交由有资质单位进行处理，若危废暂存间管理不当，导致废导热油等泄露，污染土壤、地下水以及环境空气。</w:t>
            </w:r>
          </w:p>
        </w:tc>
        <w:tc>
          <w:tcPr>
            <w:tcW w:w="1208" w:type="dxa"/>
            <w:vAlign w:val="center"/>
          </w:tcPr>
          <w:p>
            <w:pPr>
              <w:pStyle w:val="84"/>
              <w:rPr>
                <w:rFonts w:eastAsia="宋体"/>
                <w:sz w:val="18"/>
                <w:szCs w:val="18"/>
              </w:rPr>
            </w:pPr>
            <w:r>
              <w:rPr>
                <w:rFonts w:eastAsia="宋体"/>
                <w:sz w:val="18"/>
                <w:szCs w:val="18"/>
              </w:rPr>
              <w:fldChar w:fldCharType="begin"/>
            </w:r>
            <w:r>
              <w:rPr>
                <w:rFonts w:eastAsia="宋体"/>
                <w:sz w:val="18"/>
                <w:szCs w:val="18"/>
              </w:rPr>
              <w:instrText xml:space="preserve"> = 2 \* ROMAN </w:instrText>
            </w:r>
            <w:r>
              <w:rPr>
                <w:rFonts w:eastAsia="宋体"/>
                <w:sz w:val="18"/>
                <w:szCs w:val="18"/>
              </w:rPr>
              <w:fldChar w:fldCharType="separate"/>
            </w:r>
            <w:r>
              <w:rPr>
                <w:rFonts w:eastAsia="宋体"/>
                <w:sz w:val="18"/>
                <w:szCs w:val="18"/>
              </w:rPr>
              <w:t>II</w:t>
            </w:r>
            <w:r>
              <w:rPr>
                <w:rFonts w:eastAsia="宋体"/>
                <w:sz w:val="18"/>
                <w:szCs w:val="18"/>
              </w:rPr>
              <w:fldChar w:fldCharType="end"/>
            </w:r>
            <w:r>
              <w:rPr>
                <w:rFonts w:eastAsia="宋体"/>
                <w:sz w:val="18"/>
                <w:szCs w:val="18"/>
              </w:rPr>
              <w:t>-Ⅲ级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17" w:type="dxa"/>
            <w:vMerge w:val="restart"/>
            <w:vAlign w:val="center"/>
          </w:tcPr>
          <w:p>
            <w:pPr>
              <w:pStyle w:val="84"/>
              <w:rPr>
                <w:rFonts w:eastAsia="宋体"/>
                <w:sz w:val="18"/>
                <w:szCs w:val="18"/>
              </w:rPr>
            </w:pPr>
            <w:r>
              <w:rPr>
                <w:rFonts w:eastAsia="宋体"/>
                <w:sz w:val="18"/>
                <w:szCs w:val="18"/>
              </w:rPr>
              <w:t>情景6</w:t>
            </w:r>
          </w:p>
        </w:tc>
        <w:tc>
          <w:tcPr>
            <w:tcW w:w="1701" w:type="dxa"/>
            <w:vMerge w:val="restart"/>
            <w:vAlign w:val="center"/>
          </w:tcPr>
          <w:p>
            <w:pPr>
              <w:pStyle w:val="84"/>
              <w:rPr>
                <w:rFonts w:eastAsia="宋体"/>
                <w:sz w:val="18"/>
                <w:szCs w:val="18"/>
              </w:rPr>
            </w:pPr>
            <w:r>
              <w:rPr>
                <w:rFonts w:eastAsia="宋体"/>
                <w:sz w:val="18"/>
                <w:szCs w:val="18"/>
              </w:rPr>
              <w:t>通讯或者运输故障</w:t>
            </w:r>
          </w:p>
        </w:tc>
        <w:tc>
          <w:tcPr>
            <w:tcW w:w="6236" w:type="dxa"/>
            <w:vAlign w:val="center"/>
          </w:tcPr>
          <w:p>
            <w:pPr>
              <w:pStyle w:val="84"/>
              <w:jc w:val="left"/>
              <w:rPr>
                <w:rFonts w:eastAsia="宋体"/>
                <w:sz w:val="18"/>
                <w:szCs w:val="18"/>
              </w:rPr>
            </w:pPr>
            <w:r>
              <w:rPr>
                <w:rFonts w:eastAsia="宋体"/>
                <w:sz w:val="18"/>
                <w:szCs w:val="18"/>
              </w:rPr>
              <w:t>因通讯不畅致使最佳事故救援时间延误。</w:t>
            </w:r>
          </w:p>
        </w:tc>
        <w:tc>
          <w:tcPr>
            <w:tcW w:w="1208" w:type="dxa"/>
            <w:vMerge w:val="restart"/>
            <w:vAlign w:val="center"/>
          </w:tcPr>
          <w:p>
            <w:pPr>
              <w:pStyle w:val="84"/>
              <w:rPr>
                <w:rFonts w:eastAsia="宋体"/>
                <w:sz w:val="18"/>
                <w:szCs w:val="18"/>
              </w:rPr>
            </w:pPr>
            <w:r>
              <w:rPr>
                <w:rFonts w:eastAsia="宋体"/>
                <w:sz w:val="18"/>
                <w:szCs w:val="18"/>
              </w:rPr>
              <w:fldChar w:fldCharType="begin"/>
            </w:r>
            <w:r>
              <w:rPr>
                <w:rFonts w:eastAsia="宋体"/>
                <w:sz w:val="18"/>
                <w:szCs w:val="18"/>
              </w:rPr>
              <w:instrText xml:space="preserve"> = 2 \* ROMAN </w:instrText>
            </w:r>
            <w:r>
              <w:rPr>
                <w:rFonts w:eastAsia="宋体"/>
                <w:sz w:val="18"/>
                <w:szCs w:val="18"/>
              </w:rPr>
              <w:fldChar w:fldCharType="separate"/>
            </w:r>
            <w:r>
              <w:rPr>
                <w:rFonts w:eastAsia="宋体"/>
                <w:sz w:val="18"/>
                <w:szCs w:val="18"/>
              </w:rPr>
              <w:t>II</w:t>
            </w:r>
            <w:r>
              <w:rPr>
                <w:rFonts w:eastAsia="宋体"/>
                <w:sz w:val="18"/>
                <w:szCs w:val="18"/>
              </w:rPr>
              <w:fldChar w:fldCharType="end"/>
            </w:r>
            <w:r>
              <w:rPr>
                <w:rFonts w:eastAsia="宋体"/>
                <w:sz w:val="18"/>
                <w:szCs w:val="18"/>
              </w:rPr>
              <w:t>-Ⅲ级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17" w:type="dxa"/>
            <w:vMerge w:val="continue"/>
            <w:vAlign w:val="center"/>
          </w:tcPr>
          <w:p>
            <w:pPr>
              <w:pStyle w:val="84"/>
              <w:jc w:val="left"/>
              <w:rPr>
                <w:rFonts w:eastAsia="宋体"/>
              </w:rPr>
            </w:pPr>
          </w:p>
        </w:tc>
        <w:tc>
          <w:tcPr>
            <w:tcW w:w="1701" w:type="dxa"/>
            <w:vMerge w:val="continue"/>
            <w:vAlign w:val="center"/>
          </w:tcPr>
          <w:p>
            <w:pPr>
              <w:pStyle w:val="84"/>
              <w:jc w:val="left"/>
              <w:rPr>
                <w:rFonts w:eastAsia="宋体"/>
              </w:rPr>
            </w:pPr>
          </w:p>
        </w:tc>
        <w:tc>
          <w:tcPr>
            <w:tcW w:w="6236" w:type="dxa"/>
            <w:vAlign w:val="center"/>
          </w:tcPr>
          <w:p>
            <w:pPr>
              <w:pStyle w:val="84"/>
              <w:jc w:val="both"/>
              <w:rPr>
                <w:rFonts w:eastAsia="宋体"/>
                <w:sz w:val="18"/>
                <w:szCs w:val="18"/>
              </w:rPr>
            </w:pPr>
            <w:r>
              <w:rPr>
                <w:rFonts w:eastAsia="宋体"/>
                <w:sz w:val="18"/>
                <w:szCs w:val="18"/>
              </w:rPr>
              <w:t>运输故障可能出现危险化学品泄漏事故。</w:t>
            </w:r>
          </w:p>
        </w:tc>
        <w:tc>
          <w:tcPr>
            <w:tcW w:w="1208" w:type="dxa"/>
            <w:vMerge w:val="continue"/>
            <w:vAlign w:val="center"/>
          </w:tcPr>
          <w:p>
            <w:pPr>
              <w:pStyle w:val="84"/>
              <w:rPr>
                <w:rFonts w:eastAsia="宋体"/>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817" w:type="dxa"/>
            <w:vAlign w:val="center"/>
          </w:tcPr>
          <w:p>
            <w:pPr>
              <w:pStyle w:val="84"/>
              <w:rPr>
                <w:rFonts w:eastAsia="宋体"/>
                <w:sz w:val="18"/>
                <w:szCs w:val="18"/>
              </w:rPr>
            </w:pPr>
            <w:r>
              <w:rPr>
                <w:rFonts w:eastAsia="宋体"/>
                <w:sz w:val="18"/>
                <w:szCs w:val="18"/>
              </w:rPr>
              <w:t>情景7</w:t>
            </w:r>
          </w:p>
        </w:tc>
        <w:tc>
          <w:tcPr>
            <w:tcW w:w="1701" w:type="dxa"/>
            <w:vAlign w:val="center"/>
          </w:tcPr>
          <w:p>
            <w:pPr>
              <w:pStyle w:val="84"/>
              <w:rPr>
                <w:rFonts w:eastAsia="宋体"/>
                <w:sz w:val="18"/>
                <w:szCs w:val="18"/>
              </w:rPr>
            </w:pPr>
            <w:r>
              <w:rPr>
                <w:rFonts w:eastAsia="宋体"/>
                <w:sz w:val="18"/>
                <w:szCs w:val="18"/>
              </w:rPr>
              <w:t>各种自然灾害、极端天气或不利气象条件</w:t>
            </w:r>
          </w:p>
        </w:tc>
        <w:tc>
          <w:tcPr>
            <w:tcW w:w="6236" w:type="dxa"/>
            <w:vAlign w:val="center"/>
          </w:tcPr>
          <w:p>
            <w:pPr>
              <w:pStyle w:val="84"/>
              <w:jc w:val="left"/>
              <w:rPr>
                <w:rFonts w:eastAsia="宋体"/>
                <w:sz w:val="18"/>
                <w:szCs w:val="18"/>
              </w:rPr>
            </w:pPr>
            <w:r>
              <w:rPr>
                <w:rFonts w:eastAsia="宋体"/>
                <w:sz w:val="18"/>
                <w:szCs w:val="18"/>
              </w:rPr>
              <w:t>考虑暴雨、洪水、地震时导致污水处理设施废水不正常排放。</w:t>
            </w:r>
          </w:p>
        </w:tc>
        <w:tc>
          <w:tcPr>
            <w:tcW w:w="1208" w:type="dxa"/>
            <w:vAlign w:val="center"/>
          </w:tcPr>
          <w:p>
            <w:pPr>
              <w:pStyle w:val="84"/>
              <w:rPr>
                <w:rFonts w:eastAsia="宋体"/>
                <w:sz w:val="18"/>
                <w:szCs w:val="18"/>
              </w:rPr>
            </w:pPr>
            <w:r>
              <w:rPr>
                <w:rFonts w:eastAsia="宋体"/>
                <w:sz w:val="18"/>
                <w:szCs w:val="18"/>
              </w:rPr>
              <w:fldChar w:fldCharType="begin"/>
            </w:r>
            <w:r>
              <w:rPr>
                <w:rFonts w:eastAsia="宋体"/>
                <w:sz w:val="18"/>
                <w:szCs w:val="18"/>
              </w:rPr>
              <w:instrText xml:space="preserve"> = 2 \* ROMAN </w:instrText>
            </w:r>
            <w:r>
              <w:rPr>
                <w:rFonts w:eastAsia="宋体"/>
                <w:sz w:val="18"/>
                <w:szCs w:val="18"/>
              </w:rPr>
              <w:fldChar w:fldCharType="separate"/>
            </w:r>
            <w:r>
              <w:rPr>
                <w:rFonts w:eastAsia="宋体"/>
                <w:sz w:val="18"/>
                <w:szCs w:val="18"/>
              </w:rPr>
              <w:t>II</w:t>
            </w:r>
            <w:r>
              <w:rPr>
                <w:rFonts w:eastAsia="宋体"/>
                <w:sz w:val="18"/>
                <w:szCs w:val="18"/>
              </w:rPr>
              <w:fldChar w:fldCharType="end"/>
            </w:r>
            <w:r>
              <w:rPr>
                <w:rFonts w:eastAsia="宋体"/>
                <w:sz w:val="18"/>
                <w:szCs w:val="18"/>
              </w:rPr>
              <w:t>-Ⅲ级</w:t>
            </w:r>
          </w:p>
        </w:tc>
      </w:tr>
    </w:tbl>
    <w:p>
      <w:pPr>
        <w:pStyle w:val="7"/>
        <w:spacing w:before="260" w:after="260"/>
        <w:rPr>
          <w:rFonts w:ascii="Times New Roman" w:hAnsi="Times New Roman" w:eastAsia="宋体" w:cs="Times New Roman"/>
          <w:sz w:val="30"/>
          <w:szCs w:val="30"/>
        </w:rPr>
      </w:pPr>
      <w:bookmarkStart w:id="297" w:name="_Toc21809"/>
      <w:bookmarkStart w:id="298" w:name="_Toc523160319"/>
      <w:bookmarkStart w:id="299" w:name="_Toc523160148"/>
      <w:bookmarkStart w:id="300" w:name="_Toc529542568"/>
      <w:bookmarkStart w:id="301" w:name="_Toc27535"/>
      <w:bookmarkStart w:id="302" w:name="_Toc132468774"/>
      <w:r>
        <w:rPr>
          <w:rFonts w:ascii="Times New Roman" w:hAnsi="Times New Roman" w:eastAsia="宋体" w:cs="Times New Roman"/>
          <w:sz w:val="30"/>
          <w:szCs w:val="30"/>
        </w:rPr>
        <w:t>3.3 应急能力评估</w:t>
      </w:r>
      <w:bookmarkEnd w:id="297"/>
      <w:bookmarkEnd w:id="298"/>
      <w:bookmarkEnd w:id="299"/>
      <w:bookmarkEnd w:id="300"/>
      <w:bookmarkEnd w:id="301"/>
      <w:bookmarkEnd w:id="302"/>
    </w:p>
    <w:p>
      <w:pPr>
        <w:ind w:firstLine="480"/>
        <w:rPr>
          <w:rFonts w:ascii="Times New Roman" w:hAnsi="Times New Roman" w:eastAsia="宋体" w:cs="Times New Roman"/>
          <w:szCs w:val="24"/>
        </w:rPr>
      </w:pPr>
      <w:r>
        <w:rPr>
          <w:rFonts w:ascii="Times New Roman" w:hAnsi="Times New Roman" w:eastAsia="宋体" w:cs="Times New Roman"/>
          <w:szCs w:val="24"/>
        </w:rPr>
        <w:t>目前公司已经在安全管理方面形成了较为完善的规章制度和组织机构，如班长岗位责任制、安全生产责任制，以及各个岗位的操作规程。除此之外，公司领导班子还在组织机构上加强了对安全、环保的管理，成立了事故应急救援指挥中心、环保领导小组等机构，配备有兼职安全环保管理人员，具体负责企业日常的安全环保管理、检查和技术措施的落实，事故隐患整改、安全教育组织培训，这在一定程度上降低了事故发生的可能性。</w:t>
      </w:r>
    </w:p>
    <w:p>
      <w:pPr>
        <w:ind w:firstLine="480"/>
        <w:rPr>
          <w:rFonts w:ascii="Times New Roman" w:hAnsi="Times New Roman" w:eastAsia="宋体" w:cs="Times New Roman"/>
          <w:szCs w:val="24"/>
        </w:rPr>
      </w:pPr>
      <w:r>
        <w:rPr>
          <w:rFonts w:ascii="Times New Roman" w:hAnsi="Times New Roman" w:eastAsia="宋体" w:cs="Times New Roman"/>
          <w:szCs w:val="24"/>
        </w:rPr>
        <w:t>企业应建立健全三级防护体系，形成三级预警体系。</w:t>
      </w:r>
    </w:p>
    <w:p>
      <w:pPr>
        <w:ind w:firstLine="480"/>
        <w:rPr>
          <w:rFonts w:ascii="Times New Roman" w:hAnsi="Times New Roman" w:eastAsia="宋体" w:cs="Times New Roman"/>
          <w:szCs w:val="24"/>
        </w:rPr>
      </w:pPr>
      <w:r>
        <w:rPr>
          <w:rFonts w:ascii="Times New Roman" w:hAnsi="Times New Roman" w:eastAsia="宋体" w:cs="Times New Roman"/>
          <w:szCs w:val="24"/>
        </w:rPr>
        <w:t>一级防护体系：</w:t>
      </w:r>
    </w:p>
    <w:p>
      <w:pPr>
        <w:ind w:firstLine="480"/>
        <w:rPr>
          <w:rFonts w:ascii="Times New Roman" w:hAnsi="Times New Roman" w:cs="Times New Roman"/>
        </w:rPr>
      </w:pPr>
      <w:r>
        <w:rPr>
          <w:rFonts w:ascii="Times New Roman" w:hAnsi="Times New Roman" w:cs="Times New Roman"/>
        </w:rPr>
        <w:t>（1）企业在危化品间和危废暂存间内关键点位安装了可燃气体报警装置、监控探头。</w:t>
      </w:r>
    </w:p>
    <w:p>
      <w:pPr>
        <w:pStyle w:val="17"/>
        <w:ind w:firstLine="480"/>
        <w:jc w:val="both"/>
        <w:rPr>
          <w:rFonts w:ascii="Times New Roman" w:hAnsi="Times New Roman" w:cs="Times New Roman"/>
        </w:rPr>
      </w:pPr>
      <w:r>
        <w:rPr>
          <w:rFonts w:ascii="Times New Roman" w:hAnsi="Times New Roman" w:cs="Times New Roman"/>
        </w:rPr>
        <w:t>（2）危化品间和危废暂存间设置了围坎，能够有效控制泄露物质流出。</w:t>
      </w:r>
    </w:p>
    <w:p>
      <w:pPr>
        <w:pStyle w:val="18"/>
        <w:numPr>
          <w:ilvl w:val="0"/>
          <w:numId w:val="0"/>
        </w:numPr>
        <w:tabs>
          <w:tab w:val="clear" w:pos="2040"/>
        </w:tabs>
        <w:ind w:left="480" w:leftChars="200"/>
        <w:rPr>
          <w:rFonts w:ascii="Times New Roman" w:hAnsi="Times New Roman" w:cs="Times New Roman"/>
        </w:rPr>
      </w:pPr>
      <w:r>
        <w:rPr>
          <w:rFonts w:ascii="Times New Roman" w:hAnsi="Times New Roman" w:cs="Times New Roman"/>
        </w:rPr>
        <w:t>（3）危化品间和危废暂存间设置防静电措施。</w:t>
      </w:r>
    </w:p>
    <w:p>
      <w:pPr>
        <w:ind w:firstLine="480"/>
        <w:rPr>
          <w:rFonts w:ascii="Times New Roman" w:hAnsi="Times New Roman" w:eastAsia="宋体" w:cs="Times New Roman"/>
          <w:szCs w:val="24"/>
        </w:rPr>
      </w:pPr>
      <w:r>
        <w:rPr>
          <w:rFonts w:ascii="Times New Roman" w:hAnsi="Times New Roman" w:eastAsia="宋体" w:cs="Times New Roman"/>
          <w:szCs w:val="24"/>
        </w:rPr>
        <w:t>二级防护体系：</w:t>
      </w:r>
    </w:p>
    <w:p>
      <w:pPr>
        <w:ind w:firstLine="480"/>
        <w:rPr>
          <w:rFonts w:ascii="Times New Roman" w:hAnsi="Times New Roman" w:eastAsia="宋体" w:cs="Times New Roman"/>
          <w:szCs w:val="24"/>
        </w:rPr>
      </w:pPr>
      <w:r>
        <w:rPr>
          <w:rFonts w:hint="eastAsia" w:ascii="Times New Roman" w:hAnsi="Times New Roman" w:cs="Times New Roman"/>
        </w:rPr>
        <w:t>厂区内设置有污水收集池，排水沟、沉淀池，</w:t>
      </w:r>
      <w:r>
        <w:rPr>
          <w:rFonts w:ascii="Times New Roman" w:hAnsi="Times New Roman" w:cs="Times New Roman"/>
        </w:rPr>
        <w:t>配套建设了导流设施，进行了防腐、防渗处理，确保泄露物料或消防水不出厂区。</w:t>
      </w:r>
    </w:p>
    <w:p>
      <w:pPr>
        <w:ind w:firstLine="480"/>
        <w:rPr>
          <w:rFonts w:ascii="Times New Roman" w:hAnsi="Times New Roman" w:eastAsia="宋体" w:cs="Times New Roman"/>
          <w:szCs w:val="24"/>
        </w:rPr>
      </w:pPr>
      <w:r>
        <w:rPr>
          <w:rFonts w:ascii="Times New Roman" w:hAnsi="Times New Roman" w:eastAsia="宋体" w:cs="Times New Roman"/>
          <w:szCs w:val="24"/>
        </w:rPr>
        <w:t>三级防护体系：</w:t>
      </w:r>
    </w:p>
    <w:p>
      <w:pPr>
        <w:pStyle w:val="2"/>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szCs w:val="21"/>
        </w:rPr>
        <w:t>目前企业在雨污总排口放置了若干沙袋用于截流</w:t>
      </w:r>
      <w:r>
        <w:rPr>
          <w:rFonts w:ascii="Times New Roman" w:hAnsi="Times New Roman" w:eastAsia="宋体" w:cs="Times New Roman"/>
          <w:color w:val="auto"/>
        </w:rPr>
        <w:t>，进一步防止泄漏物或消防用水进入厂区雨水管网，通过雨水排口流出厂外。</w:t>
      </w:r>
    </w:p>
    <w:p>
      <w:pPr>
        <w:ind w:firstLine="480"/>
        <w:rPr>
          <w:rFonts w:ascii="Times New Roman" w:hAnsi="Times New Roman" w:eastAsia="宋体" w:cs="Times New Roman"/>
          <w:szCs w:val="24"/>
        </w:rPr>
      </w:pPr>
      <w:r>
        <w:rPr>
          <w:rFonts w:ascii="Times New Roman" w:hAnsi="Times New Roman" w:eastAsia="宋体" w:cs="Times New Roman"/>
        </w:rPr>
        <w:t>公司应急设施及装备均位于生产车间及厂界内，企业需补充拟出的需补充物资，各类物资应该确保风险发生条件下应急资源可以第一时间满足应急时间内投入应急的风险事故之中，同时企业每3个月定期对应急物资进行检查、对损坏的进行更换、对使用完的进行补充</w:t>
      </w:r>
      <w:r>
        <w:rPr>
          <w:rFonts w:ascii="Times New Roman" w:hAnsi="Times New Roman" w:eastAsia="宋体" w:cs="Times New Roman"/>
          <w:szCs w:val="24"/>
        </w:rPr>
        <w:t>。</w:t>
      </w:r>
    </w:p>
    <w:p>
      <w:pPr>
        <w:ind w:firstLine="480"/>
        <w:rPr>
          <w:rFonts w:ascii="Times New Roman" w:hAnsi="Times New Roman" w:eastAsia="宋体" w:cs="Times New Roman"/>
          <w:szCs w:val="24"/>
        </w:rPr>
      </w:pPr>
    </w:p>
    <w:p>
      <w:pPr>
        <w:pStyle w:val="6"/>
        <w:rPr>
          <w:rFonts w:ascii="Times New Roman" w:hAnsi="Times New Roman" w:eastAsia="宋体" w:cs="Times New Roman"/>
        </w:rPr>
        <w:sectPr>
          <w:pgSz w:w="11906" w:h="16838"/>
          <w:pgMar w:top="1440" w:right="1080" w:bottom="1440" w:left="1080" w:header="851" w:footer="992" w:gutter="0"/>
          <w:pgNumType w:fmt="numberInDash"/>
          <w:cols w:space="425" w:num="1"/>
          <w:docGrid w:type="lines" w:linePitch="312" w:charSpace="0"/>
        </w:sectPr>
      </w:pPr>
      <w:bookmarkStart w:id="303" w:name="_Toc510164479"/>
      <w:bookmarkStart w:id="304" w:name="_Toc509234777"/>
      <w:bookmarkStart w:id="305" w:name="_Toc510164316"/>
      <w:bookmarkStart w:id="306" w:name="_Toc510164052"/>
    </w:p>
    <w:bookmarkEnd w:id="303"/>
    <w:bookmarkEnd w:id="304"/>
    <w:bookmarkEnd w:id="305"/>
    <w:bookmarkEnd w:id="306"/>
    <w:p>
      <w:pPr>
        <w:pStyle w:val="6"/>
        <w:spacing w:before="320" w:after="320"/>
        <w:rPr>
          <w:rFonts w:ascii="Times New Roman" w:hAnsi="Times New Roman" w:eastAsia="宋体" w:cs="Times New Roman"/>
          <w:sz w:val="32"/>
          <w:szCs w:val="32"/>
        </w:rPr>
      </w:pPr>
      <w:bookmarkStart w:id="307" w:name="_Toc529542569"/>
      <w:bookmarkStart w:id="308" w:name="_Toc523160320"/>
      <w:bookmarkStart w:id="309" w:name="_Toc510164321"/>
      <w:bookmarkStart w:id="310" w:name="_Toc510164067"/>
      <w:bookmarkStart w:id="311" w:name="_Toc523160149"/>
      <w:bookmarkStart w:id="312" w:name="_Toc132468775"/>
      <w:bookmarkStart w:id="313" w:name="_Toc29394"/>
      <w:bookmarkStart w:id="314" w:name="_Toc509234792"/>
      <w:bookmarkStart w:id="315" w:name="_Toc510164484"/>
      <w:bookmarkStart w:id="316" w:name="_Toc19223"/>
      <w:r>
        <w:rPr>
          <w:rFonts w:ascii="Times New Roman" w:hAnsi="Times New Roman" w:eastAsia="宋体" w:cs="Times New Roman"/>
          <w:sz w:val="32"/>
          <w:szCs w:val="32"/>
        </w:rPr>
        <w:t>4应急组织体系</w:t>
      </w:r>
      <w:bookmarkEnd w:id="307"/>
      <w:bookmarkEnd w:id="308"/>
      <w:bookmarkEnd w:id="309"/>
      <w:bookmarkEnd w:id="310"/>
      <w:bookmarkEnd w:id="311"/>
      <w:bookmarkEnd w:id="312"/>
      <w:bookmarkEnd w:id="313"/>
      <w:bookmarkEnd w:id="314"/>
      <w:bookmarkEnd w:id="315"/>
      <w:bookmarkEnd w:id="316"/>
    </w:p>
    <w:p>
      <w:pPr>
        <w:pStyle w:val="7"/>
        <w:spacing w:before="260" w:after="260"/>
        <w:rPr>
          <w:rFonts w:ascii="Times New Roman" w:hAnsi="Times New Roman" w:eastAsia="宋体" w:cs="Times New Roman"/>
          <w:sz w:val="30"/>
          <w:szCs w:val="30"/>
        </w:rPr>
      </w:pPr>
      <w:bookmarkStart w:id="317" w:name="_Toc510164068"/>
      <w:bookmarkStart w:id="318" w:name="_Toc510164485"/>
      <w:bookmarkStart w:id="319" w:name="_Toc31947"/>
      <w:bookmarkStart w:id="320" w:name="_Toc12466"/>
      <w:bookmarkStart w:id="321" w:name="_Toc523160321"/>
      <w:bookmarkStart w:id="322" w:name="_Toc529542570"/>
      <w:bookmarkStart w:id="323" w:name="_Toc132468776"/>
      <w:bookmarkStart w:id="324" w:name="_Toc510164322"/>
      <w:bookmarkStart w:id="325" w:name="_Toc523160150"/>
      <w:bookmarkStart w:id="326" w:name="_Toc509234793"/>
      <w:r>
        <w:rPr>
          <w:rFonts w:ascii="Times New Roman" w:hAnsi="Times New Roman" w:eastAsia="宋体" w:cs="Times New Roman"/>
          <w:sz w:val="30"/>
          <w:szCs w:val="30"/>
        </w:rPr>
        <w:t>4.1组织体系</w:t>
      </w:r>
      <w:bookmarkEnd w:id="317"/>
      <w:bookmarkEnd w:id="318"/>
      <w:bookmarkEnd w:id="319"/>
      <w:bookmarkEnd w:id="320"/>
      <w:bookmarkEnd w:id="321"/>
      <w:bookmarkEnd w:id="322"/>
      <w:bookmarkEnd w:id="323"/>
      <w:bookmarkEnd w:id="324"/>
      <w:bookmarkEnd w:id="325"/>
      <w:bookmarkEnd w:id="326"/>
    </w:p>
    <w:p>
      <w:pPr>
        <w:ind w:firstLine="480"/>
        <w:rPr>
          <w:rFonts w:ascii="Times New Roman" w:hAnsi="Times New Roman" w:eastAsia="宋体" w:cs="Times New Roman"/>
          <w:szCs w:val="24"/>
        </w:rPr>
      </w:pPr>
      <w:r>
        <w:rPr>
          <w:rFonts w:ascii="Times New Roman" w:hAnsi="Times New Roman" w:eastAsia="宋体" w:cs="Times New Roman"/>
          <w:szCs w:val="24"/>
        </w:rPr>
        <w:t>为确保一旦发生环境风险事故时指挥有力，分工负责，抢险快速，处理得当，成立环境风险事故应急救援“指挥部”。发生重大事故时，以指挥部为基础，成立“环境风险事故应急救援指挥部”。</w:t>
      </w:r>
    </w:p>
    <w:p>
      <w:pPr>
        <w:ind w:firstLine="480"/>
        <w:rPr>
          <w:rFonts w:ascii="Times New Roman" w:hAnsi="Times New Roman" w:eastAsia="宋体" w:cs="Times New Roman"/>
          <w:b/>
          <w:sz w:val="21"/>
          <w:szCs w:val="21"/>
        </w:rPr>
      </w:pPr>
      <w:r>
        <w:rPr>
          <w:rFonts w:ascii="Times New Roman" w:hAnsi="Times New Roman" w:eastAsia="宋体" w:cs="Times New Roman"/>
          <w:szCs w:val="24"/>
        </w:rPr>
        <w:t>环境风险事故应急指挥部由经理及各部门负责人组成。指挥部负责应急救援工作的现场指挥及日常应急管理事务与协调，在事故状态下，应急救援指挥部设在事故现场，负责协调和指挥现场的应急救援工作。</w:t>
      </w:r>
    </w:p>
    <w:p>
      <w:pPr>
        <w:spacing w:line="240" w:lineRule="auto"/>
        <w:ind w:firstLine="0" w:firstLineChars="0"/>
        <w:jc w:val="center"/>
        <w:rPr>
          <w:rFonts w:ascii="Times New Roman" w:hAnsi="Times New Roman" w:eastAsia="宋体" w:cs="Times New Roman"/>
          <w:b/>
          <w:sz w:val="21"/>
          <w:szCs w:val="21"/>
        </w:rPr>
      </w:pPr>
      <w:r>
        <w:rPr>
          <w:rFonts w:ascii="Times New Roman" w:hAnsi="Times New Roman" w:eastAsia="宋体" w:cs="Times New Roman"/>
          <w:b/>
          <w:sz w:val="21"/>
          <w:szCs w:val="21"/>
        </w:rPr>
        <w:t>表4.1-1  应急救援成员通讯录</w:t>
      </w:r>
    </w:p>
    <w:tbl>
      <w:tblPr>
        <w:tblStyle w:val="36"/>
        <w:tblW w:w="9962"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50"/>
        <w:gridCol w:w="2732"/>
        <w:gridCol w:w="4023"/>
        <w:gridCol w:w="245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vMerge w:val="restart"/>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序号</w:t>
            </w:r>
          </w:p>
        </w:tc>
        <w:tc>
          <w:tcPr>
            <w:tcW w:w="2732" w:type="dxa"/>
            <w:vMerge w:val="restart"/>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应急职责</w:t>
            </w:r>
          </w:p>
        </w:tc>
        <w:tc>
          <w:tcPr>
            <w:tcW w:w="6480" w:type="dxa"/>
            <w:gridSpan w:val="2"/>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现有应急人员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vMerge w:val="continue"/>
            <w:tcBorders>
              <w:tl2br w:val="nil"/>
              <w:tr2bl w:val="nil"/>
            </w:tcBorders>
            <w:vAlign w:val="center"/>
          </w:tcPr>
          <w:p>
            <w:pPr>
              <w:ind w:firstLine="360"/>
              <w:jc w:val="center"/>
              <w:rPr>
                <w:rFonts w:ascii="Times New Roman" w:hAnsi="Times New Roman" w:cs="Times New Roman"/>
                <w:sz w:val="18"/>
                <w:szCs w:val="18"/>
              </w:rPr>
            </w:pPr>
          </w:p>
        </w:tc>
        <w:tc>
          <w:tcPr>
            <w:tcW w:w="2732" w:type="dxa"/>
            <w:vMerge w:val="continue"/>
            <w:tcBorders>
              <w:tl2br w:val="nil"/>
              <w:tr2bl w:val="nil"/>
            </w:tcBorders>
            <w:vAlign w:val="center"/>
          </w:tcPr>
          <w:p>
            <w:pPr>
              <w:ind w:firstLine="360"/>
              <w:jc w:val="center"/>
              <w:rPr>
                <w:rFonts w:ascii="Times New Roman" w:hAnsi="Times New Roman" w:cs="Times New Roman"/>
                <w:sz w:val="18"/>
                <w:szCs w:val="18"/>
              </w:rPr>
            </w:pPr>
          </w:p>
        </w:tc>
        <w:tc>
          <w:tcPr>
            <w:tcW w:w="4023"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姓名</w:t>
            </w:r>
          </w:p>
        </w:tc>
        <w:tc>
          <w:tcPr>
            <w:tcW w:w="2457"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联系电话</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1</w:t>
            </w:r>
          </w:p>
        </w:tc>
        <w:tc>
          <w:tcPr>
            <w:tcW w:w="2732"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总指挥</w:t>
            </w:r>
          </w:p>
        </w:tc>
        <w:tc>
          <w:tcPr>
            <w:tcW w:w="4023"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曾治国</w:t>
            </w:r>
          </w:p>
        </w:tc>
        <w:tc>
          <w:tcPr>
            <w:tcW w:w="2457"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18207241006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2</w:t>
            </w:r>
          </w:p>
        </w:tc>
        <w:tc>
          <w:tcPr>
            <w:tcW w:w="2732"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副总指挥</w:t>
            </w:r>
          </w:p>
        </w:tc>
        <w:tc>
          <w:tcPr>
            <w:tcW w:w="4023"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孙成斌</w:t>
            </w:r>
          </w:p>
        </w:tc>
        <w:tc>
          <w:tcPr>
            <w:tcW w:w="2457"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13886500551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3</w:t>
            </w:r>
          </w:p>
        </w:tc>
        <w:tc>
          <w:tcPr>
            <w:tcW w:w="2732"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综合协调组</w:t>
            </w:r>
          </w:p>
        </w:tc>
        <w:tc>
          <w:tcPr>
            <w:tcW w:w="4023"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胡正益</w:t>
            </w:r>
          </w:p>
        </w:tc>
        <w:tc>
          <w:tcPr>
            <w:tcW w:w="2457"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18727840446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vMerge w:val="restart"/>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2732" w:type="dxa"/>
            <w:vMerge w:val="restart"/>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现场处置组</w:t>
            </w:r>
          </w:p>
        </w:tc>
        <w:tc>
          <w:tcPr>
            <w:tcW w:w="4023"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吴汉平</w:t>
            </w:r>
          </w:p>
        </w:tc>
        <w:tc>
          <w:tcPr>
            <w:tcW w:w="2457"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13797232799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vMerge w:val="continue"/>
            <w:tcBorders>
              <w:tl2br w:val="nil"/>
              <w:tr2bl w:val="nil"/>
            </w:tcBorders>
            <w:vAlign w:val="center"/>
          </w:tcPr>
          <w:p>
            <w:pPr>
              <w:ind w:firstLine="0" w:firstLineChars="0"/>
              <w:jc w:val="center"/>
              <w:rPr>
                <w:rFonts w:ascii="Times New Roman" w:hAnsi="Times New Roman" w:cs="Times New Roman"/>
                <w:sz w:val="18"/>
                <w:szCs w:val="18"/>
              </w:rPr>
            </w:pPr>
          </w:p>
        </w:tc>
        <w:tc>
          <w:tcPr>
            <w:tcW w:w="2732" w:type="dxa"/>
            <w:vMerge w:val="continue"/>
            <w:tcBorders>
              <w:tl2br w:val="nil"/>
              <w:tr2bl w:val="nil"/>
            </w:tcBorders>
            <w:vAlign w:val="center"/>
          </w:tcPr>
          <w:p>
            <w:pPr>
              <w:ind w:firstLine="0" w:firstLineChars="0"/>
              <w:jc w:val="center"/>
              <w:rPr>
                <w:rFonts w:ascii="Times New Roman" w:hAnsi="Times New Roman" w:cs="Times New Roman"/>
                <w:sz w:val="18"/>
                <w:szCs w:val="18"/>
              </w:rPr>
            </w:pPr>
          </w:p>
        </w:tc>
        <w:tc>
          <w:tcPr>
            <w:tcW w:w="4023"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胡朝东</w:t>
            </w:r>
          </w:p>
        </w:tc>
        <w:tc>
          <w:tcPr>
            <w:tcW w:w="2457"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15997988598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2732"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后勤保障组</w:t>
            </w:r>
          </w:p>
        </w:tc>
        <w:tc>
          <w:tcPr>
            <w:tcW w:w="4023"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宋明舟</w:t>
            </w:r>
          </w:p>
        </w:tc>
        <w:tc>
          <w:tcPr>
            <w:tcW w:w="2457"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13617156133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2732"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善后处理组</w:t>
            </w:r>
          </w:p>
        </w:tc>
        <w:tc>
          <w:tcPr>
            <w:tcW w:w="4023"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胡朝东</w:t>
            </w:r>
          </w:p>
        </w:tc>
        <w:tc>
          <w:tcPr>
            <w:tcW w:w="2457"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15997988598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7</w:t>
            </w:r>
          </w:p>
        </w:tc>
        <w:tc>
          <w:tcPr>
            <w:tcW w:w="2732"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应急监测组</w:t>
            </w:r>
          </w:p>
        </w:tc>
        <w:tc>
          <w:tcPr>
            <w:tcW w:w="4023"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刘志勇</w:t>
            </w:r>
          </w:p>
        </w:tc>
        <w:tc>
          <w:tcPr>
            <w:tcW w:w="2457"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15207244545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66" w:hRule="atLeast"/>
        </w:trPr>
        <w:tc>
          <w:tcPr>
            <w:tcW w:w="750"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8</w:t>
            </w:r>
          </w:p>
        </w:tc>
        <w:tc>
          <w:tcPr>
            <w:tcW w:w="2732"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应急专家</w:t>
            </w:r>
          </w:p>
        </w:tc>
        <w:tc>
          <w:tcPr>
            <w:tcW w:w="6480" w:type="dxa"/>
            <w:gridSpan w:val="2"/>
            <w:tcBorders>
              <w:tl2br w:val="nil"/>
              <w:tr2bl w:val="nil"/>
            </w:tcBorders>
            <w:vAlign w:val="center"/>
          </w:tcPr>
          <w:p>
            <w:pPr>
              <w:ind w:firstLine="361"/>
              <w:jc w:val="center"/>
              <w:rPr>
                <w:rFonts w:ascii="Times New Roman" w:hAnsi="Times New Roman" w:cs="Times New Roman"/>
                <w:sz w:val="18"/>
                <w:szCs w:val="18"/>
              </w:rPr>
            </w:pPr>
            <w:r>
              <w:rPr>
                <w:rFonts w:ascii="Times New Roman" w:hAnsi="Times New Roman" w:cs="Times New Roman"/>
                <w:b/>
                <w:bCs/>
                <w:sz w:val="18"/>
                <w:szCs w:val="18"/>
              </w:rPr>
              <w:t>求助环境管理部门及专家库成员进行指导支持</w:t>
            </w:r>
          </w:p>
        </w:tc>
      </w:tr>
    </w:tbl>
    <w:p>
      <w:pPr>
        <w:pStyle w:val="2"/>
        <w:jc w:val="center"/>
        <w:rPr>
          <w:rFonts w:ascii="Times New Roman" w:hAnsi="Times New Roman" w:eastAsia="宋体" w:cs="Times New Roman"/>
          <w:color w:val="auto"/>
        </w:rPr>
      </w:pPr>
      <w:r>
        <w:drawing>
          <wp:inline distT="0" distB="0" distL="0" distR="0">
            <wp:extent cx="4029710" cy="237299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4030634" cy="2374088"/>
                    </a:xfrm>
                    <a:prstGeom prst="rect">
                      <a:avLst/>
                    </a:prstGeom>
                  </pic:spPr>
                </pic:pic>
              </a:graphicData>
            </a:graphic>
          </wp:inline>
        </w:drawing>
      </w:r>
    </w:p>
    <w:p>
      <w:pPr>
        <w:ind w:firstLine="422"/>
        <w:jc w:val="center"/>
        <w:rPr>
          <w:rFonts w:ascii="Times New Roman" w:hAnsi="Times New Roman" w:eastAsia="宋体" w:cs="Times New Roman"/>
        </w:rPr>
      </w:pPr>
      <w:bookmarkStart w:id="327" w:name="_Toc22453"/>
      <w:bookmarkStart w:id="328" w:name="_Toc523160322"/>
      <w:bookmarkStart w:id="329" w:name="_Toc529542571"/>
      <w:bookmarkStart w:id="330" w:name="_Toc510164069"/>
      <w:bookmarkStart w:id="331" w:name="_Toc509234794"/>
      <w:bookmarkStart w:id="332" w:name="_Toc510164323"/>
      <w:bookmarkStart w:id="333" w:name="_Toc510164486"/>
      <w:bookmarkStart w:id="334" w:name="_Toc523160151"/>
      <w:r>
        <w:rPr>
          <w:rFonts w:ascii="Times New Roman" w:hAnsi="Times New Roman" w:eastAsia="宋体" w:cs="Times New Roman"/>
          <w:b/>
          <w:bCs/>
          <w:sz w:val="21"/>
          <w:szCs w:val="21"/>
        </w:rPr>
        <w:t>图4.1-1  应急组织体系图</w:t>
      </w:r>
    </w:p>
    <w:p>
      <w:pPr>
        <w:pStyle w:val="7"/>
        <w:spacing w:before="260" w:after="260"/>
        <w:rPr>
          <w:rFonts w:ascii="Times New Roman" w:hAnsi="Times New Roman" w:eastAsia="宋体" w:cs="Times New Roman"/>
          <w:sz w:val="30"/>
          <w:szCs w:val="30"/>
        </w:rPr>
      </w:pPr>
      <w:bookmarkStart w:id="335" w:name="_Toc132468777"/>
      <w:bookmarkStart w:id="336" w:name="_Toc32694"/>
      <w:r>
        <w:rPr>
          <w:rFonts w:ascii="Times New Roman" w:hAnsi="Times New Roman" w:eastAsia="宋体" w:cs="Times New Roman"/>
          <w:sz w:val="30"/>
          <w:szCs w:val="30"/>
        </w:rPr>
        <w:t>4.2指挥机构及职责</w:t>
      </w:r>
      <w:bookmarkEnd w:id="327"/>
      <w:bookmarkEnd w:id="328"/>
      <w:bookmarkEnd w:id="329"/>
      <w:bookmarkEnd w:id="330"/>
      <w:bookmarkEnd w:id="331"/>
      <w:bookmarkEnd w:id="332"/>
      <w:bookmarkEnd w:id="333"/>
      <w:bookmarkEnd w:id="334"/>
      <w:bookmarkEnd w:id="335"/>
      <w:bookmarkEnd w:id="336"/>
    </w:p>
    <w:p>
      <w:pPr>
        <w:pStyle w:val="8"/>
        <w:spacing w:before="180" w:after="180"/>
        <w:rPr>
          <w:rFonts w:eastAsia="宋体" w:cs="Times New Roman"/>
          <w:sz w:val="28"/>
          <w:szCs w:val="28"/>
        </w:rPr>
      </w:pPr>
      <w:bookmarkStart w:id="337" w:name="_Toc4596"/>
      <w:bookmarkStart w:id="338" w:name="_Toc510164070"/>
      <w:bookmarkStart w:id="339" w:name="_Toc523160323"/>
      <w:bookmarkStart w:id="340" w:name="_Toc509234795"/>
      <w:bookmarkStart w:id="341" w:name="_Toc529542572"/>
      <w:bookmarkStart w:id="342" w:name="_Toc132468778"/>
      <w:bookmarkStart w:id="343" w:name="_Toc21520"/>
      <w:r>
        <w:rPr>
          <w:rFonts w:eastAsia="宋体" w:cs="Times New Roman"/>
          <w:sz w:val="28"/>
          <w:szCs w:val="28"/>
        </w:rPr>
        <w:t>4.2.1应急救援指挥部</w:t>
      </w:r>
      <w:bookmarkEnd w:id="337"/>
      <w:bookmarkEnd w:id="338"/>
      <w:bookmarkEnd w:id="339"/>
      <w:bookmarkEnd w:id="340"/>
      <w:bookmarkEnd w:id="341"/>
      <w:bookmarkEnd w:id="342"/>
      <w:bookmarkEnd w:id="343"/>
    </w:p>
    <w:p>
      <w:pPr>
        <w:ind w:firstLine="480"/>
        <w:rPr>
          <w:rFonts w:ascii="Times New Roman" w:hAnsi="Times New Roman" w:eastAsia="宋体" w:cs="Times New Roman"/>
          <w:szCs w:val="24"/>
        </w:rPr>
      </w:pPr>
      <w:r>
        <w:rPr>
          <w:rFonts w:ascii="Times New Roman" w:hAnsi="Times New Roman" w:eastAsia="宋体" w:cs="Times New Roman"/>
          <w:szCs w:val="24"/>
        </w:rPr>
        <w:t>总指挥：</w:t>
      </w:r>
      <w:r>
        <w:rPr>
          <w:rFonts w:ascii="Times New Roman" w:hAnsi="Times New Roman" w:cs="Times New Roman"/>
          <w:szCs w:val="24"/>
        </w:rPr>
        <w:t>曾治国</w:t>
      </w:r>
      <w:r>
        <w:rPr>
          <w:rFonts w:ascii="Times New Roman" w:hAnsi="Times New Roman" w:eastAsia="宋体" w:cs="Times New Roman"/>
          <w:szCs w:val="24"/>
        </w:rPr>
        <w:t>（总经理） 电话：</w:t>
      </w:r>
      <w:r>
        <w:rPr>
          <w:rFonts w:ascii="Times New Roman" w:hAnsi="Times New Roman" w:cs="Times New Roman"/>
          <w:szCs w:val="24"/>
        </w:rPr>
        <w:t>18207241006</w:t>
      </w:r>
    </w:p>
    <w:p>
      <w:pPr>
        <w:ind w:firstLine="480"/>
        <w:rPr>
          <w:rFonts w:ascii="Times New Roman" w:hAnsi="Times New Roman" w:eastAsia="宋体" w:cs="Times New Roman"/>
          <w:szCs w:val="24"/>
        </w:rPr>
      </w:pPr>
      <w:r>
        <w:rPr>
          <w:rFonts w:ascii="Times New Roman" w:hAnsi="Times New Roman" w:eastAsia="宋体" w:cs="Times New Roman"/>
          <w:szCs w:val="24"/>
        </w:rPr>
        <w:t>副总指挥：</w:t>
      </w:r>
      <w:r>
        <w:rPr>
          <w:rFonts w:ascii="Times New Roman" w:hAnsi="Times New Roman" w:cs="Times New Roman"/>
          <w:szCs w:val="24"/>
        </w:rPr>
        <w:t>孙成斌</w:t>
      </w:r>
      <w:r>
        <w:rPr>
          <w:rFonts w:ascii="Times New Roman" w:hAnsi="Times New Roman" w:eastAsia="宋体" w:cs="Times New Roman"/>
          <w:szCs w:val="24"/>
        </w:rPr>
        <w:t>（副总经理） 电话：</w:t>
      </w:r>
      <w:r>
        <w:rPr>
          <w:rFonts w:ascii="Times New Roman" w:hAnsi="Times New Roman" w:cs="Times New Roman"/>
          <w:szCs w:val="24"/>
        </w:rPr>
        <w:t>13886500551</w:t>
      </w:r>
    </w:p>
    <w:p>
      <w:pPr>
        <w:pStyle w:val="17"/>
        <w:ind w:firstLine="480"/>
        <w:jc w:val="both"/>
        <w:rPr>
          <w:rFonts w:ascii="Times New Roman" w:hAnsi="Times New Roman" w:eastAsia="宋体" w:cs="Times New Roman"/>
        </w:rPr>
      </w:pPr>
      <w:r>
        <w:rPr>
          <w:rFonts w:ascii="Times New Roman" w:hAnsi="Times New Roman" w:eastAsia="宋体" w:cs="Times New Roman"/>
        </w:rPr>
        <w:t>赤壁恒瑞非织造材料有限公司关键岗位实施A/B岗替代制度，A、B岗工作制度，是指在合理设置工作岗位、完善工作职责的基础上，在相近岗位之间，实行顶岗或互为备岗的制度。两个相近岗位互为A、B岗，A岗为工作第一责任人，B岗为第二责任人，当A岗因故不在岗时，B岗自动顶岗，及时办理根据工作性质可以即时办理的一般性事务和紧急事务。</w:t>
      </w:r>
    </w:p>
    <w:p>
      <w:pPr>
        <w:ind w:firstLine="480"/>
        <w:rPr>
          <w:rFonts w:ascii="Times New Roman" w:hAnsi="Times New Roman" w:eastAsia="宋体" w:cs="Times New Roman"/>
          <w:szCs w:val="24"/>
        </w:rPr>
      </w:pPr>
      <w:r>
        <w:rPr>
          <w:rFonts w:ascii="Times New Roman" w:hAnsi="Times New Roman" w:eastAsia="宋体" w:cs="Times New Roman"/>
          <w:szCs w:val="24"/>
        </w:rPr>
        <w:t>发生突发环境事故时，总指挥为总经理，若总指挥（A</w:t>
      </w:r>
      <w:r>
        <w:rPr>
          <w:rFonts w:ascii="Times New Roman" w:hAnsi="Times New Roman" w:eastAsia="宋体" w:cs="Times New Roman"/>
        </w:rPr>
        <w:t>岗</w:t>
      </w:r>
      <w:r>
        <w:rPr>
          <w:rFonts w:ascii="Times New Roman" w:hAnsi="Times New Roman" w:eastAsia="宋体" w:cs="Times New Roman"/>
          <w:szCs w:val="24"/>
        </w:rPr>
        <w:t>）不在时，由副总指挥（</w:t>
      </w:r>
      <w:r>
        <w:rPr>
          <w:rFonts w:ascii="Times New Roman" w:hAnsi="Times New Roman" w:eastAsia="宋体" w:cs="Times New Roman"/>
        </w:rPr>
        <w:t>B岗</w:t>
      </w:r>
      <w:r>
        <w:rPr>
          <w:rFonts w:ascii="Times New Roman" w:hAnsi="Times New Roman" w:eastAsia="宋体" w:cs="Times New Roman"/>
          <w:szCs w:val="24"/>
        </w:rPr>
        <w:t>）为临时指挥，每个应急处置组的组长互为A/B岗，负责全厂应急救援工作的组织和指挥。</w:t>
      </w:r>
    </w:p>
    <w:p>
      <w:pPr>
        <w:pStyle w:val="8"/>
        <w:spacing w:before="180" w:after="180"/>
        <w:rPr>
          <w:rFonts w:eastAsia="宋体" w:cs="Times New Roman"/>
          <w:sz w:val="28"/>
          <w:szCs w:val="28"/>
        </w:rPr>
      </w:pPr>
      <w:bookmarkStart w:id="344" w:name="_Toc132468779"/>
      <w:bookmarkStart w:id="345" w:name="_Toc510164071"/>
      <w:bookmarkStart w:id="346" w:name="_Toc4133"/>
      <w:bookmarkStart w:id="347" w:name="_Toc509234796"/>
      <w:bookmarkStart w:id="348" w:name="_Toc8654"/>
      <w:bookmarkStart w:id="349" w:name="_Toc529542573"/>
      <w:bookmarkStart w:id="350" w:name="_Toc523160324"/>
      <w:r>
        <w:rPr>
          <w:rFonts w:eastAsia="宋体" w:cs="Times New Roman"/>
          <w:sz w:val="28"/>
          <w:szCs w:val="28"/>
        </w:rPr>
        <w:t>4.2.2应急救援指挥部职责</w:t>
      </w:r>
      <w:bookmarkEnd w:id="344"/>
      <w:bookmarkEnd w:id="345"/>
      <w:bookmarkEnd w:id="346"/>
      <w:bookmarkEnd w:id="347"/>
      <w:bookmarkEnd w:id="348"/>
      <w:bookmarkEnd w:id="349"/>
      <w:bookmarkEnd w:id="350"/>
    </w:p>
    <w:p>
      <w:pPr>
        <w:autoSpaceDE w:val="0"/>
        <w:autoSpaceDN w:val="0"/>
        <w:adjustRightInd w:val="0"/>
        <w:ind w:firstLine="480"/>
        <w:jc w:val="left"/>
        <w:rPr>
          <w:rFonts w:cs="Times New Roman" w:asciiTheme="minorEastAsia" w:hAnsiTheme="minorEastAsia"/>
          <w:kern w:val="0"/>
          <w:szCs w:val="24"/>
        </w:rPr>
      </w:pPr>
      <w:r>
        <w:rPr>
          <w:rFonts w:cs="Times New Roman" w:asciiTheme="minorEastAsia" w:hAnsiTheme="minorEastAsia"/>
          <w:kern w:val="0"/>
          <w:szCs w:val="24"/>
        </w:rPr>
        <w:t>①贯彻执行国家、当地政府、上级主管部门关于突发环境事件发生和应急救援的方针、政策及有关规定。</w:t>
      </w:r>
    </w:p>
    <w:p>
      <w:pPr>
        <w:autoSpaceDE w:val="0"/>
        <w:autoSpaceDN w:val="0"/>
        <w:adjustRightInd w:val="0"/>
        <w:ind w:firstLine="480"/>
        <w:jc w:val="left"/>
        <w:rPr>
          <w:rFonts w:cs="Times New Roman" w:asciiTheme="minorEastAsia" w:hAnsiTheme="minorEastAsia"/>
          <w:kern w:val="0"/>
          <w:szCs w:val="24"/>
        </w:rPr>
      </w:pPr>
      <w:r>
        <w:rPr>
          <w:rFonts w:cs="Times New Roman" w:asciiTheme="minorEastAsia" w:hAnsiTheme="minorEastAsia"/>
          <w:kern w:val="0"/>
          <w:szCs w:val="24"/>
        </w:rPr>
        <w:t>②组织制定、修改突发环境事件应急救援预案，组建应急救援队伍，有计划地组织应急救援培训和演习。</w:t>
      </w:r>
    </w:p>
    <w:p>
      <w:pPr>
        <w:autoSpaceDE w:val="0"/>
        <w:autoSpaceDN w:val="0"/>
        <w:adjustRightInd w:val="0"/>
        <w:ind w:firstLine="480"/>
        <w:jc w:val="left"/>
        <w:rPr>
          <w:rFonts w:cs="Times New Roman" w:asciiTheme="minorEastAsia" w:hAnsiTheme="minorEastAsia"/>
          <w:kern w:val="0"/>
          <w:szCs w:val="24"/>
        </w:rPr>
      </w:pPr>
      <w:r>
        <w:rPr>
          <w:rFonts w:cs="Times New Roman" w:asciiTheme="minorEastAsia" w:hAnsiTheme="minorEastAsia"/>
          <w:kern w:val="0"/>
          <w:szCs w:val="24"/>
        </w:rPr>
        <w:t>③审批并落实突发环境事件应急救援所需的监测仪器、防护器材、救援器材等的购置。</w:t>
      </w:r>
    </w:p>
    <w:p>
      <w:pPr>
        <w:autoSpaceDE w:val="0"/>
        <w:autoSpaceDN w:val="0"/>
        <w:adjustRightInd w:val="0"/>
        <w:ind w:firstLine="480"/>
        <w:jc w:val="left"/>
        <w:rPr>
          <w:rFonts w:cs="Times New Roman" w:asciiTheme="minorEastAsia" w:hAnsiTheme="minorEastAsia"/>
          <w:kern w:val="0"/>
          <w:szCs w:val="24"/>
        </w:rPr>
      </w:pPr>
      <w:r>
        <w:rPr>
          <w:rFonts w:cs="Times New Roman" w:asciiTheme="minorEastAsia" w:hAnsiTheme="minorEastAsia"/>
          <w:kern w:val="0"/>
          <w:szCs w:val="24"/>
        </w:rPr>
        <w:t>④检查、督促做好突发环境事件的预防措施和应急救援的各项准备工作。</w:t>
      </w:r>
    </w:p>
    <w:p>
      <w:pPr>
        <w:autoSpaceDE w:val="0"/>
        <w:autoSpaceDN w:val="0"/>
        <w:adjustRightInd w:val="0"/>
        <w:ind w:firstLine="480"/>
        <w:jc w:val="left"/>
        <w:rPr>
          <w:rFonts w:cs="Times New Roman" w:asciiTheme="minorEastAsia" w:hAnsiTheme="minorEastAsia"/>
          <w:kern w:val="0"/>
          <w:szCs w:val="24"/>
        </w:rPr>
      </w:pPr>
      <w:r>
        <w:rPr>
          <w:rFonts w:cs="Times New Roman" w:asciiTheme="minorEastAsia" w:hAnsiTheme="minorEastAsia"/>
          <w:kern w:val="0"/>
          <w:szCs w:val="24"/>
        </w:rPr>
        <w:t>⑤批准应急救援的启动和终止。</w:t>
      </w:r>
    </w:p>
    <w:p>
      <w:pPr>
        <w:autoSpaceDE w:val="0"/>
        <w:autoSpaceDN w:val="0"/>
        <w:adjustRightInd w:val="0"/>
        <w:ind w:firstLine="480"/>
        <w:jc w:val="left"/>
        <w:rPr>
          <w:rFonts w:cs="Times New Roman" w:asciiTheme="minorEastAsia" w:hAnsiTheme="minorEastAsia"/>
          <w:kern w:val="0"/>
          <w:szCs w:val="24"/>
        </w:rPr>
      </w:pPr>
      <w:r>
        <w:rPr>
          <w:rFonts w:cs="Times New Roman" w:asciiTheme="minorEastAsia" w:hAnsiTheme="minorEastAsia"/>
          <w:kern w:val="0"/>
          <w:szCs w:val="24"/>
        </w:rPr>
        <w:t>⑥及时向上级有关部门报告突发环境事件的具体情况，必要时向有关单位发出增援请求，并向周边单位通报相关情况。</w:t>
      </w:r>
    </w:p>
    <w:p>
      <w:pPr>
        <w:autoSpaceDE w:val="0"/>
        <w:autoSpaceDN w:val="0"/>
        <w:adjustRightInd w:val="0"/>
        <w:ind w:firstLine="480"/>
        <w:jc w:val="left"/>
        <w:rPr>
          <w:rFonts w:cs="Times New Roman" w:asciiTheme="minorEastAsia" w:hAnsiTheme="minorEastAsia"/>
          <w:kern w:val="0"/>
          <w:szCs w:val="24"/>
        </w:rPr>
      </w:pPr>
      <w:r>
        <w:rPr>
          <w:rFonts w:cs="Times New Roman" w:asciiTheme="minorEastAsia" w:hAnsiTheme="minorEastAsia"/>
          <w:kern w:val="0"/>
          <w:szCs w:val="24"/>
        </w:rPr>
        <w:t>⑦组织指挥救援队伍实施救援行动，负责人员、资源配置、应急队伍的调动。</w:t>
      </w:r>
    </w:p>
    <w:p>
      <w:pPr>
        <w:autoSpaceDE w:val="0"/>
        <w:autoSpaceDN w:val="0"/>
        <w:adjustRightInd w:val="0"/>
        <w:ind w:firstLine="480"/>
        <w:jc w:val="left"/>
        <w:rPr>
          <w:rFonts w:cs="Times New Roman" w:asciiTheme="minorEastAsia" w:hAnsiTheme="minorEastAsia"/>
          <w:kern w:val="0"/>
          <w:szCs w:val="24"/>
        </w:rPr>
      </w:pPr>
      <w:r>
        <w:rPr>
          <w:rFonts w:cs="Times New Roman" w:asciiTheme="minorEastAsia" w:hAnsiTheme="minorEastAsia"/>
          <w:kern w:val="0"/>
          <w:szCs w:val="24"/>
        </w:rPr>
        <w:t>⑧协调事件现场有关工作。配合政府部门对环境进行恢复、事件调查等工作。</w:t>
      </w:r>
    </w:p>
    <w:p>
      <w:pPr>
        <w:autoSpaceDE w:val="0"/>
        <w:autoSpaceDN w:val="0"/>
        <w:adjustRightInd w:val="0"/>
        <w:ind w:firstLine="480"/>
        <w:jc w:val="left"/>
        <w:rPr>
          <w:rFonts w:ascii="Times New Roman" w:hAnsi="Times New Roman" w:eastAsia="宋体" w:cs="Times New Roman"/>
          <w:kern w:val="0"/>
          <w:szCs w:val="24"/>
        </w:rPr>
      </w:pPr>
      <w:r>
        <w:rPr>
          <w:rFonts w:cs="Times New Roman" w:asciiTheme="minorEastAsia" w:hAnsiTheme="minorEastAsia"/>
          <w:kern w:val="0"/>
          <w:szCs w:val="24"/>
        </w:rPr>
        <w:t>⑨负责</w:t>
      </w:r>
      <w:r>
        <w:rPr>
          <w:rFonts w:ascii="Times New Roman" w:hAnsi="Times New Roman" w:eastAsia="宋体" w:cs="Times New Roman"/>
          <w:kern w:val="0"/>
          <w:szCs w:val="24"/>
        </w:rPr>
        <w:t>对员工进行应急知识和基本防护方法的培训，向周边企业、敏感点等提供本单位有关危险化学品特性、救援知识等的宣传材料。</w:t>
      </w:r>
    </w:p>
    <w:p>
      <w:pPr>
        <w:pStyle w:val="8"/>
        <w:spacing w:before="180" w:after="180"/>
        <w:rPr>
          <w:rFonts w:eastAsia="宋体" w:cs="Times New Roman"/>
          <w:sz w:val="28"/>
          <w:szCs w:val="28"/>
        </w:rPr>
      </w:pPr>
      <w:bookmarkStart w:id="351" w:name="_Toc529542574"/>
      <w:bookmarkStart w:id="352" w:name="_Toc523160325"/>
      <w:bookmarkStart w:id="353" w:name="_Toc4396"/>
      <w:bookmarkStart w:id="354" w:name="_Toc32554"/>
      <w:bookmarkStart w:id="355" w:name="_Toc509234797"/>
      <w:bookmarkStart w:id="356" w:name="_Toc132468780"/>
      <w:bookmarkStart w:id="357" w:name="_Toc510164072"/>
      <w:r>
        <w:rPr>
          <w:rFonts w:eastAsia="宋体" w:cs="Times New Roman"/>
          <w:sz w:val="28"/>
          <w:szCs w:val="28"/>
        </w:rPr>
        <w:t>4.2.3应急救援指挥部成员职责</w:t>
      </w:r>
      <w:bookmarkEnd w:id="351"/>
      <w:bookmarkEnd w:id="352"/>
      <w:bookmarkEnd w:id="353"/>
      <w:bookmarkEnd w:id="354"/>
      <w:bookmarkEnd w:id="355"/>
      <w:bookmarkEnd w:id="356"/>
      <w:bookmarkEnd w:id="357"/>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应急指挥中心是根据公司的管理结构特点、突发环境事件应急反应的特点和实际需要而成立的非常设机构，为公司的应急组织的最高指挥机构。为了便于向上级报告、求援和协调公司内部各部门在应急反应中的各项行动，应急指挥中心成员由公司主要负责人组成，具体组成人员如下：</w:t>
      </w:r>
    </w:p>
    <w:p>
      <w:pPr>
        <w:ind w:firstLine="480"/>
        <w:rPr>
          <w:rFonts w:ascii="Times New Roman" w:hAnsi="Times New Roman" w:eastAsia="宋体" w:cs="Times New Roman"/>
          <w:szCs w:val="24"/>
        </w:rPr>
      </w:pPr>
      <w:r>
        <w:rPr>
          <w:rFonts w:ascii="Times New Roman" w:hAnsi="Times New Roman" w:eastAsia="宋体" w:cs="Times New Roman"/>
          <w:szCs w:val="24"/>
        </w:rPr>
        <w:t>总指挥：</w:t>
      </w:r>
      <w:r>
        <w:rPr>
          <w:rFonts w:ascii="Times New Roman" w:hAnsi="Times New Roman" w:cs="Times New Roman"/>
          <w:szCs w:val="24"/>
        </w:rPr>
        <w:t>曾治国</w:t>
      </w:r>
      <w:r>
        <w:rPr>
          <w:rFonts w:ascii="Times New Roman" w:hAnsi="Times New Roman" w:eastAsia="宋体" w:cs="Times New Roman"/>
          <w:szCs w:val="24"/>
        </w:rPr>
        <w:t>（总经理） 电话：</w:t>
      </w:r>
      <w:r>
        <w:rPr>
          <w:rFonts w:ascii="Times New Roman" w:hAnsi="Times New Roman" w:cs="Times New Roman"/>
          <w:szCs w:val="24"/>
        </w:rPr>
        <w:t>18207241006</w:t>
      </w:r>
    </w:p>
    <w:p>
      <w:pPr>
        <w:ind w:firstLine="480"/>
        <w:rPr>
          <w:rFonts w:ascii="Times New Roman" w:hAnsi="Times New Roman" w:eastAsia="宋体" w:cs="Times New Roman"/>
          <w:szCs w:val="24"/>
        </w:rPr>
      </w:pPr>
      <w:r>
        <w:rPr>
          <w:rFonts w:ascii="Times New Roman" w:hAnsi="Times New Roman" w:eastAsia="宋体" w:cs="Times New Roman"/>
          <w:szCs w:val="24"/>
        </w:rPr>
        <w:t>副总指挥：</w:t>
      </w:r>
      <w:r>
        <w:rPr>
          <w:rFonts w:ascii="Times New Roman" w:hAnsi="Times New Roman" w:cs="Times New Roman"/>
          <w:szCs w:val="24"/>
        </w:rPr>
        <w:t>孙成斌</w:t>
      </w:r>
      <w:r>
        <w:rPr>
          <w:rFonts w:ascii="Times New Roman" w:hAnsi="Times New Roman" w:eastAsia="宋体" w:cs="Times New Roman"/>
          <w:szCs w:val="24"/>
        </w:rPr>
        <w:t>（副总经理） 电话：</w:t>
      </w:r>
      <w:r>
        <w:rPr>
          <w:rFonts w:ascii="Times New Roman" w:hAnsi="Times New Roman" w:cs="Times New Roman"/>
          <w:szCs w:val="24"/>
        </w:rPr>
        <w:t>13886500551</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职责：</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（1）组织制定突发环境事件应急预案，统一安排、组织救援预案的实施；</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（2）下达公司应急预案启动及关闭命令，同时负责事故抢险救援指挥工作，根据抢险救援需要合理配置人、财、物资源，积极组织抢险救援工作，防止事故扩大；</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（3）核实遇阶、遇难人员，汇报和通报事故有关情况，向上级救援机构发出救援请求。随时和事故现场指挥人员保持联系，发布救援指令；</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（4）宣布现场抢险工作结束，制定恢复生产安全措施；</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（5）做好稳定社会秩序、伤亡人员的善后和安抚工作；</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（6）接受上级有关部门的指导，配合有关部门进行事故调查处理工作。</w:t>
      </w:r>
    </w:p>
    <w:p>
      <w:pPr>
        <w:pStyle w:val="8"/>
        <w:spacing w:before="180" w:after="180"/>
        <w:rPr>
          <w:rFonts w:eastAsia="宋体" w:cs="Times New Roman"/>
          <w:sz w:val="28"/>
          <w:szCs w:val="28"/>
        </w:rPr>
      </w:pPr>
      <w:bookmarkStart w:id="358" w:name="_Toc132468781"/>
      <w:r>
        <w:rPr>
          <w:rFonts w:hint="eastAsia" w:eastAsia="宋体" w:cs="Times New Roman"/>
          <w:sz w:val="28"/>
          <w:szCs w:val="28"/>
        </w:rPr>
        <w:t>4.2.4应急办公室</w:t>
      </w:r>
      <w:bookmarkEnd w:id="358"/>
    </w:p>
    <w:p>
      <w:pPr>
        <w:ind w:firstLine="480"/>
        <w:jc w:val="left"/>
        <w:rPr>
          <w:rFonts w:ascii="Times New Roman" w:hAnsi="Times New Roman" w:eastAsia="宋体" w:cs="Times New Roman"/>
          <w:szCs w:val="24"/>
          <w:lang w:val="zh-CN"/>
        </w:rPr>
      </w:pPr>
      <w:r>
        <w:rPr>
          <w:rFonts w:hint="eastAsia" w:ascii="Times New Roman" w:hAnsi="Times New Roman" w:eastAsia="宋体" w:cs="Times New Roman"/>
          <w:szCs w:val="24"/>
          <w:lang w:val="zh-CN"/>
        </w:rPr>
        <w:t>赤壁恒瑞非织造材料有限公司应急办公室设在安全办公室，是应急救援指挥的日常办事机构，是赤壁恒瑞非织造材料有限公司应急管理的常设机构，负责平时的应急准备及突发事件时接受报告、信息报送、组织联络应急状态下各职能部门的沟通协调。</w:t>
      </w:r>
    </w:p>
    <w:p>
      <w:pPr>
        <w:pStyle w:val="8"/>
        <w:spacing w:before="180" w:after="180"/>
        <w:rPr>
          <w:rFonts w:eastAsia="宋体" w:cs="Times New Roman"/>
          <w:sz w:val="28"/>
          <w:szCs w:val="28"/>
        </w:rPr>
      </w:pPr>
      <w:bookmarkStart w:id="359" w:name="_Toc515435503"/>
      <w:bookmarkStart w:id="360" w:name="_Toc523160326"/>
      <w:bookmarkStart w:id="361" w:name="_Toc5697"/>
      <w:bookmarkStart w:id="362" w:name="_Toc529542575"/>
      <w:bookmarkStart w:id="363" w:name="_Toc7231"/>
      <w:bookmarkStart w:id="364" w:name="_Toc132468782"/>
      <w:r>
        <w:rPr>
          <w:rFonts w:eastAsia="宋体" w:cs="Times New Roman"/>
          <w:sz w:val="28"/>
          <w:szCs w:val="28"/>
        </w:rPr>
        <w:t>4.2.</w:t>
      </w:r>
      <w:bookmarkEnd w:id="359"/>
      <w:bookmarkEnd w:id="360"/>
      <w:bookmarkEnd w:id="361"/>
      <w:bookmarkEnd w:id="362"/>
      <w:bookmarkEnd w:id="363"/>
      <w:bookmarkStart w:id="365" w:name="_Toc515435504"/>
      <w:bookmarkStart w:id="366" w:name="_Toc529542576"/>
      <w:bookmarkStart w:id="367" w:name="_Toc15781"/>
      <w:bookmarkStart w:id="368" w:name="_Toc523160327"/>
      <w:bookmarkStart w:id="369" w:name="_Toc19142"/>
      <w:r>
        <w:rPr>
          <w:rFonts w:hint="eastAsia" w:eastAsia="宋体" w:cs="Times New Roman"/>
          <w:sz w:val="28"/>
          <w:szCs w:val="28"/>
        </w:rPr>
        <w:t>5</w:t>
      </w:r>
      <w:r>
        <w:rPr>
          <w:rFonts w:eastAsia="宋体" w:cs="Times New Roman"/>
          <w:sz w:val="28"/>
          <w:szCs w:val="28"/>
        </w:rPr>
        <w:t xml:space="preserve"> 应急工作组构成及职责</w:t>
      </w:r>
      <w:bookmarkEnd w:id="364"/>
      <w:bookmarkEnd w:id="365"/>
      <w:bookmarkEnd w:id="366"/>
      <w:bookmarkEnd w:id="367"/>
      <w:bookmarkEnd w:id="368"/>
      <w:bookmarkEnd w:id="369"/>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构成：</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应急工作组由</w:t>
      </w:r>
      <w:r>
        <w:rPr>
          <w:rFonts w:ascii="Times New Roman" w:hAnsi="Times New Roman" w:eastAsia="宋体" w:cs="Times New Roman"/>
          <w:szCs w:val="24"/>
        </w:rPr>
        <w:t>综合协调组</w:t>
      </w:r>
      <w:r>
        <w:rPr>
          <w:rFonts w:ascii="Times New Roman" w:hAnsi="Times New Roman" w:eastAsia="宋体" w:cs="Times New Roman"/>
          <w:szCs w:val="24"/>
          <w:lang w:val="zh-CN"/>
        </w:rPr>
        <w:t>、</w:t>
      </w:r>
      <w:r>
        <w:rPr>
          <w:rFonts w:ascii="Times New Roman" w:hAnsi="Times New Roman" w:eastAsia="宋体" w:cs="Times New Roman"/>
          <w:szCs w:val="24"/>
        </w:rPr>
        <w:t>现场处置组</w:t>
      </w:r>
      <w:r>
        <w:rPr>
          <w:rFonts w:ascii="Times New Roman" w:hAnsi="Times New Roman" w:eastAsia="宋体" w:cs="Times New Roman"/>
          <w:szCs w:val="24"/>
          <w:lang w:val="zh-CN"/>
        </w:rPr>
        <w:t>、</w:t>
      </w:r>
      <w:r>
        <w:rPr>
          <w:rFonts w:ascii="Times New Roman" w:hAnsi="Times New Roman" w:eastAsia="宋体" w:cs="Times New Roman"/>
          <w:szCs w:val="24"/>
        </w:rPr>
        <w:t>后勤保障组</w:t>
      </w:r>
      <w:r>
        <w:rPr>
          <w:rFonts w:ascii="Times New Roman" w:hAnsi="Times New Roman" w:eastAsia="宋体" w:cs="Times New Roman"/>
          <w:szCs w:val="24"/>
          <w:lang w:val="zh-CN"/>
        </w:rPr>
        <w:t>、</w:t>
      </w:r>
      <w:r>
        <w:rPr>
          <w:rFonts w:ascii="Times New Roman" w:hAnsi="Times New Roman" w:eastAsia="宋体" w:cs="Times New Roman"/>
          <w:szCs w:val="24"/>
        </w:rPr>
        <w:t>应急监测组、善后处理组</w:t>
      </w:r>
      <w:r>
        <w:rPr>
          <w:rFonts w:ascii="Times New Roman" w:hAnsi="Times New Roman" w:eastAsia="宋体" w:cs="Times New Roman"/>
          <w:szCs w:val="24"/>
          <w:lang w:val="zh-CN"/>
        </w:rPr>
        <w:t>等</w:t>
      </w:r>
      <w:r>
        <w:rPr>
          <w:rFonts w:hint="eastAsia" w:ascii="Times New Roman" w:hAnsi="Times New Roman" w:eastAsia="宋体" w:cs="Times New Roman"/>
          <w:szCs w:val="24"/>
        </w:rPr>
        <w:t>5</w:t>
      </w:r>
      <w:r>
        <w:rPr>
          <w:rFonts w:ascii="Times New Roman" w:hAnsi="Times New Roman" w:eastAsia="宋体" w:cs="Times New Roman"/>
          <w:szCs w:val="24"/>
          <w:lang w:val="zh-CN"/>
        </w:rPr>
        <w:t>个小组组成，如有需要</w:t>
      </w:r>
      <w:r>
        <w:rPr>
          <w:rFonts w:hint="eastAsia" w:ascii="Times New Roman" w:hAnsi="Times New Roman" w:eastAsia="宋体" w:cs="Times New Roman"/>
          <w:szCs w:val="24"/>
          <w:lang w:val="zh-CN"/>
        </w:rPr>
        <w:t>求助环境管理部门及专家库成员进行指导支持</w:t>
      </w:r>
      <w:r>
        <w:rPr>
          <w:rFonts w:ascii="Times New Roman" w:hAnsi="Times New Roman" w:eastAsia="宋体" w:cs="Times New Roman"/>
          <w:szCs w:val="24"/>
          <w:lang w:val="zh-CN"/>
        </w:rPr>
        <w:t>。</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职责：</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（1）综合协调</w:t>
      </w:r>
      <w:r>
        <w:rPr>
          <w:rFonts w:ascii="Times New Roman" w:hAnsi="Times New Roman" w:eastAsia="宋体" w:cs="Times New Roman"/>
          <w:szCs w:val="24"/>
        </w:rPr>
        <w:t>组</w:t>
      </w:r>
      <w:r>
        <w:rPr>
          <w:rFonts w:ascii="Times New Roman" w:hAnsi="Times New Roman" w:eastAsia="宋体" w:cs="Times New Roman"/>
          <w:szCs w:val="24"/>
          <w:lang w:val="zh-CN"/>
        </w:rPr>
        <w:t>职责</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日常职责：</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①抓好日常训练，保证出现紧急情况下能迅速出动；</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②做好日常装备的维修保养工作，保证出现紧急情况下装备能准确、可靠的发挥作用。</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应急职责：</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①接到通知后，配戴个人防护用品和抢险救援物资，迅速赶赴现场，根据应急指挥中心的指令，切断事故源，有效控制事故，以防扩大；</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②负责对事故现场转移出来的伤员，实施紧急救护工作，协助医疗救护部门将伤员护送到相关单位进行抢救和安置；</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③在事故发生后，迅速派出人员进行抢险救灾，尽可能减少损失；</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④在发生重大事件后，配合外援相关单位做好应急救援工作。</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（2）现场处置</w:t>
      </w:r>
      <w:r>
        <w:rPr>
          <w:rFonts w:ascii="Times New Roman" w:hAnsi="Times New Roman" w:eastAsia="宋体" w:cs="Times New Roman"/>
          <w:szCs w:val="24"/>
        </w:rPr>
        <w:t>组</w:t>
      </w:r>
      <w:r>
        <w:rPr>
          <w:rFonts w:ascii="Times New Roman" w:hAnsi="Times New Roman" w:eastAsia="宋体" w:cs="Times New Roman"/>
          <w:szCs w:val="24"/>
          <w:lang w:val="zh-CN"/>
        </w:rPr>
        <w:t>职责</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日常职责：抓好日常训练，保证出现紧急情况下能迅速出动；</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应急职责：</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①负责具体实施抢险抢修过程中现场警戒、维持好现场，禁止非专业应急人员进入现场，做好交通管理工作；</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②负责应急抢险工作中现场急救、伤员运送工作；</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③当需要疏散时，组织现场人员有序疏散。</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w:t>
      </w:r>
      <w:r>
        <w:rPr>
          <w:rFonts w:ascii="Times New Roman" w:hAnsi="Times New Roman" w:eastAsia="宋体" w:cs="Times New Roman"/>
          <w:szCs w:val="24"/>
        </w:rPr>
        <w:t>3</w:t>
      </w:r>
      <w:r>
        <w:rPr>
          <w:rFonts w:ascii="Times New Roman" w:hAnsi="Times New Roman" w:eastAsia="宋体" w:cs="Times New Roman"/>
          <w:szCs w:val="24"/>
          <w:lang w:val="zh-CN"/>
        </w:rPr>
        <w:t>）后勤保障组职责</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日常职责：</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①对通信线路、设备进行日常维护、保养;</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②建立对内、对外通讯网络系统，及时更新应急领导小组及各救援小组的联系方式。</w:t>
      </w:r>
    </w:p>
    <w:p>
      <w:pPr>
        <w:pStyle w:val="17"/>
        <w:ind w:firstLine="480"/>
        <w:jc w:val="both"/>
        <w:rPr>
          <w:rFonts w:ascii="Times New Roman" w:hAnsi="Times New Roman" w:eastAsia="宋体" w:cs="Times New Roman"/>
          <w:lang w:val="zh-CN"/>
        </w:rPr>
      </w:pPr>
      <w:r>
        <w:rPr>
          <w:rFonts w:ascii="Times New Roman" w:hAnsi="Times New Roman" w:eastAsia="宋体" w:cs="Times New Roman"/>
          <w:szCs w:val="24"/>
          <w:lang w:val="zh-CN"/>
        </w:rPr>
        <w:t>③做好日常后勤物质的储备、保管工作；做好日常的监督、检查工作。</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应急职责：</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①事故状态下，负责联络各个应急救援小组负责人及成员；负责与外界救援机构保持联系；</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②负责将应急总指挥的命令传达给相关责任人，及时将应急反应信息反馈给总指挥。</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③在事故发生时及时将有关应急装备、安全防护品、现场应急处置材料等应急物资运送到事故现场。</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w:t>
      </w:r>
      <w:r>
        <w:rPr>
          <w:rFonts w:ascii="Times New Roman" w:hAnsi="Times New Roman" w:eastAsia="宋体" w:cs="Times New Roman"/>
          <w:szCs w:val="24"/>
        </w:rPr>
        <w:t>4</w:t>
      </w:r>
      <w:r>
        <w:rPr>
          <w:rFonts w:ascii="Times New Roman" w:hAnsi="Times New Roman" w:eastAsia="宋体" w:cs="Times New Roman"/>
          <w:szCs w:val="24"/>
          <w:lang w:val="zh-CN"/>
        </w:rPr>
        <w:t>）善后处理组职责</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日常职责：做好员工及周边群众知识宣传工作。</w:t>
      </w:r>
    </w:p>
    <w:p>
      <w:pPr>
        <w:ind w:firstLine="480"/>
        <w:jc w:val="left"/>
        <w:rPr>
          <w:rFonts w:ascii="Times New Roman" w:hAnsi="Times New Roman" w:eastAsia="宋体" w:cs="Times New Roman"/>
          <w:szCs w:val="24"/>
          <w:lang w:val="zh-CN"/>
        </w:rPr>
      </w:pPr>
      <w:r>
        <w:rPr>
          <w:rFonts w:ascii="Times New Roman" w:hAnsi="Times New Roman" w:eastAsia="宋体" w:cs="Times New Roman"/>
          <w:szCs w:val="24"/>
          <w:lang w:val="zh-CN"/>
        </w:rPr>
        <w:t>应急职责：</w:t>
      </w:r>
    </w:p>
    <w:p>
      <w:pPr>
        <w:ind w:firstLine="480"/>
        <w:jc w:val="left"/>
        <w:rPr>
          <w:rFonts w:cs="Times New Roman" w:asciiTheme="minorEastAsia" w:hAnsiTheme="minorEastAsia"/>
          <w:szCs w:val="24"/>
          <w:lang w:val="zh-CN"/>
        </w:rPr>
      </w:pPr>
      <w:r>
        <w:rPr>
          <w:rFonts w:cs="Times New Roman" w:asciiTheme="minorEastAsia" w:hAnsiTheme="minorEastAsia"/>
          <w:szCs w:val="24"/>
          <w:lang w:val="zh-CN"/>
        </w:rPr>
        <w:t>①事故终止后，做好污染物处置和生产恢复工作；</w:t>
      </w:r>
    </w:p>
    <w:p>
      <w:pPr>
        <w:ind w:firstLine="480"/>
        <w:jc w:val="left"/>
        <w:rPr>
          <w:rFonts w:cs="Times New Roman" w:asciiTheme="minorEastAsia" w:hAnsiTheme="minorEastAsia"/>
          <w:szCs w:val="24"/>
          <w:lang w:val="zh-CN"/>
        </w:rPr>
      </w:pPr>
      <w:r>
        <w:rPr>
          <w:rFonts w:cs="Times New Roman" w:asciiTheme="minorEastAsia" w:hAnsiTheme="minorEastAsia"/>
          <w:szCs w:val="24"/>
          <w:lang w:val="zh-CN"/>
        </w:rPr>
        <w:t>②负责受污染区域人员的安抚工作，做好伤亡人员及家属的稳定工作;</w:t>
      </w:r>
    </w:p>
    <w:p>
      <w:pPr>
        <w:ind w:firstLine="480"/>
        <w:jc w:val="left"/>
        <w:rPr>
          <w:rFonts w:ascii="Times New Roman" w:hAnsi="Times New Roman" w:eastAsia="宋体" w:cs="Times New Roman"/>
          <w:szCs w:val="24"/>
          <w:lang w:val="zh-CN"/>
        </w:rPr>
      </w:pPr>
      <w:r>
        <w:rPr>
          <w:rFonts w:cs="Times New Roman" w:asciiTheme="minorEastAsia" w:hAnsiTheme="minorEastAsia"/>
          <w:szCs w:val="24"/>
          <w:lang w:val="zh-CN"/>
        </w:rPr>
        <w:t>③</w:t>
      </w:r>
      <w:r>
        <w:rPr>
          <w:rFonts w:ascii="Times New Roman" w:hAnsi="Times New Roman" w:eastAsia="宋体" w:cs="Times New Roman"/>
          <w:szCs w:val="24"/>
          <w:lang w:val="zh-CN"/>
        </w:rPr>
        <w:t>与保险部门一起做好伤亡人员及财产损失的理赔，慰问有关伤员及家属。</w:t>
      </w:r>
    </w:p>
    <w:p>
      <w:pPr>
        <w:ind w:firstLine="480"/>
        <w:rPr>
          <w:rFonts w:ascii="Times New Roman" w:hAnsi="Times New Roman" w:eastAsia="宋体" w:cs="Times New Roman"/>
          <w:lang w:val="zh-CN"/>
        </w:rPr>
      </w:pPr>
      <w:r>
        <w:rPr>
          <w:rFonts w:ascii="Times New Roman" w:hAnsi="Times New Roman" w:eastAsia="宋体" w:cs="Times New Roman"/>
          <w:szCs w:val="24"/>
          <w:lang w:val="zh-CN"/>
        </w:rPr>
        <w:t>（</w:t>
      </w:r>
      <w:r>
        <w:rPr>
          <w:rFonts w:ascii="Times New Roman" w:hAnsi="Times New Roman" w:eastAsia="宋体" w:cs="Times New Roman"/>
          <w:szCs w:val="24"/>
        </w:rPr>
        <w:t>5</w:t>
      </w:r>
      <w:r>
        <w:rPr>
          <w:rFonts w:ascii="Times New Roman" w:hAnsi="Times New Roman" w:eastAsia="宋体" w:cs="Times New Roman"/>
          <w:szCs w:val="24"/>
          <w:lang w:val="zh-CN"/>
        </w:rPr>
        <w:t>）应急监测组</w:t>
      </w:r>
    </w:p>
    <w:p>
      <w:pPr>
        <w:ind w:firstLine="480"/>
        <w:rPr>
          <w:rFonts w:cs="Times New Roman" w:asciiTheme="minorEastAsia" w:hAnsiTheme="minorEastAsia"/>
        </w:rPr>
      </w:pPr>
      <w:r>
        <w:rPr>
          <w:rFonts w:cs="Times New Roman" w:asciiTheme="minorEastAsia" w:hAnsiTheme="minorEastAsia"/>
          <w:lang w:val="zh-CN"/>
        </w:rPr>
        <w:t>①</w:t>
      </w:r>
      <w:r>
        <w:rPr>
          <w:rFonts w:cs="Times New Roman" w:asciiTheme="minorEastAsia" w:hAnsiTheme="minorEastAsia"/>
        </w:rPr>
        <w:t>上报环境监测部门或者委托第三方环境监测单位立即开展应急监测。</w:t>
      </w:r>
    </w:p>
    <w:p>
      <w:pPr>
        <w:ind w:firstLine="480"/>
        <w:rPr>
          <w:rFonts w:ascii="Times New Roman" w:hAnsi="Times New Roman" w:eastAsia="宋体" w:cs="Times New Roman"/>
          <w:lang w:val="zh-CN"/>
        </w:rPr>
      </w:pPr>
      <w:r>
        <w:rPr>
          <w:rFonts w:cs="Times New Roman" w:asciiTheme="minorEastAsia" w:hAnsiTheme="minorEastAsia"/>
          <w:lang w:val="zh-CN"/>
        </w:rPr>
        <w:t>②</w:t>
      </w:r>
      <w:r>
        <w:rPr>
          <w:rFonts w:ascii="Times New Roman" w:hAnsi="Times New Roman" w:eastAsia="宋体" w:cs="Times New Roman"/>
        </w:rPr>
        <w:t>随时掌握并报告事态进展情况。</w:t>
      </w:r>
    </w:p>
    <w:p>
      <w:pPr>
        <w:ind w:firstLine="480"/>
        <w:rPr>
          <w:rFonts w:ascii="Times New Roman" w:hAnsi="Times New Roman" w:eastAsia="宋体" w:cs="Times New Roman"/>
          <w:lang w:val="zh-CN"/>
        </w:rPr>
      </w:pPr>
      <w:r>
        <w:rPr>
          <w:rFonts w:ascii="Times New Roman" w:hAnsi="Times New Roman" w:eastAsia="宋体" w:cs="Times New Roman"/>
          <w:lang w:val="zh-CN"/>
        </w:rPr>
        <w:t>（</w:t>
      </w:r>
      <w:r>
        <w:rPr>
          <w:rFonts w:ascii="Times New Roman" w:hAnsi="Times New Roman" w:eastAsia="宋体" w:cs="Times New Roman"/>
        </w:rPr>
        <w:t>6</w:t>
      </w:r>
      <w:r>
        <w:rPr>
          <w:rFonts w:ascii="Times New Roman" w:hAnsi="Times New Roman" w:eastAsia="宋体" w:cs="Times New Roman"/>
          <w:lang w:val="zh-CN"/>
        </w:rPr>
        <w:t>）应急专家</w:t>
      </w:r>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t>为企业处理突发事件提供智力支持，为企业应急管理工作提供决策建议、专业咨询、理论指导和技术支持。</w:t>
      </w:r>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t>主要职责：</w:t>
      </w:r>
    </w:p>
    <w:p>
      <w:pPr>
        <w:ind w:firstLine="480"/>
        <w:rPr>
          <w:rFonts w:cs="Times New Roman" w:asciiTheme="minorEastAsia" w:hAnsiTheme="minorEastAsia"/>
          <w:kern w:val="0"/>
          <w:szCs w:val="24"/>
        </w:rPr>
      </w:pPr>
      <w:r>
        <w:rPr>
          <w:rFonts w:cs="Times New Roman" w:asciiTheme="minorEastAsia" w:hAnsiTheme="minorEastAsia"/>
          <w:lang w:val="zh-CN"/>
        </w:rPr>
        <w:t>①</w:t>
      </w:r>
      <w:r>
        <w:rPr>
          <w:rFonts w:cs="Times New Roman" w:asciiTheme="minorEastAsia" w:hAnsiTheme="minorEastAsia"/>
          <w:kern w:val="0"/>
          <w:szCs w:val="24"/>
        </w:rPr>
        <w:t>参与企业突发事件风险评估、会商，提出防范对策；</w:t>
      </w:r>
    </w:p>
    <w:p>
      <w:pPr>
        <w:ind w:firstLine="480"/>
        <w:rPr>
          <w:rFonts w:cs="Times New Roman" w:asciiTheme="minorEastAsia" w:hAnsiTheme="minorEastAsia"/>
          <w:kern w:val="0"/>
          <w:szCs w:val="24"/>
        </w:rPr>
      </w:pPr>
      <w:r>
        <w:rPr>
          <w:rFonts w:cs="Times New Roman" w:asciiTheme="minorEastAsia" w:hAnsiTheme="minorEastAsia"/>
          <w:lang w:val="zh-CN"/>
        </w:rPr>
        <w:t>②</w:t>
      </w:r>
      <w:r>
        <w:rPr>
          <w:rFonts w:cs="Times New Roman" w:asciiTheme="minorEastAsia" w:hAnsiTheme="minorEastAsia"/>
          <w:kern w:val="0"/>
          <w:szCs w:val="24"/>
        </w:rPr>
        <w:t>参与对特别重大或者重大突发事件进行分析、研判和应急处置，参与突发事件事后评估工作以及总结应对突发事件工作经验。</w:t>
      </w:r>
    </w:p>
    <w:p>
      <w:pPr>
        <w:ind w:firstLine="480"/>
        <w:rPr>
          <w:rFonts w:cs="Times New Roman" w:asciiTheme="minorEastAsia" w:hAnsiTheme="minorEastAsia"/>
          <w:kern w:val="0"/>
          <w:szCs w:val="24"/>
        </w:rPr>
      </w:pPr>
      <w:r>
        <w:rPr>
          <w:rFonts w:cs="Times New Roman" w:asciiTheme="minorEastAsia" w:hAnsiTheme="minorEastAsia"/>
          <w:szCs w:val="24"/>
          <w:lang w:val="zh-CN"/>
        </w:rPr>
        <w:t>③</w:t>
      </w:r>
      <w:r>
        <w:rPr>
          <w:rFonts w:cs="Times New Roman" w:asciiTheme="minorEastAsia" w:hAnsiTheme="minorEastAsia"/>
          <w:kern w:val="0"/>
          <w:szCs w:val="24"/>
        </w:rPr>
        <w:t>参加各类应急管理理论研讨、学术交流和课题合作，参与应急管理专业人才培养，参与各类应急演练、应急管理宣教培训和公众传播活动等，以及根据年度应急管理工作安排，结合专业领域需要，开展应急管理课题研究；</w:t>
      </w:r>
    </w:p>
    <w:p>
      <w:pPr>
        <w:ind w:firstLine="480"/>
        <w:rPr>
          <w:rFonts w:cs="Times New Roman" w:asciiTheme="minorEastAsia" w:hAnsiTheme="minorEastAsia"/>
          <w:kern w:val="0"/>
          <w:szCs w:val="24"/>
        </w:rPr>
      </w:pPr>
      <w:r>
        <w:rPr>
          <w:rFonts w:cs="Times New Roman" w:asciiTheme="minorEastAsia" w:hAnsiTheme="minorEastAsia"/>
          <w:kern w:val="0"/>
          <w:szCs w:val="24"/>
        </w:rPr>
        <w:t>④为应急管理相关政策、预案、管理制度、信息化建设等提供专业咨询和技术指导；</w:t>
      </w:r>
    </w:p>
    <w:p>
      <w:pPr>
        <w:ind w:firstLine="480"/>
        <w:rPr>
          <w:rFonts w:ascii="Times New Roman" w:hAnsi="Times New Roman" w:eastAsia="宋体" w:cs="Times New Roman"/>
          <w:kern w:val="0"/>
          <w:szCs w:val="24"/>
        </w:rPr>
      </w:pPr>
      <w:r>
        <w:rPr>
          <w:rFonts w:cs="Times New Roman" w:asciiTheme="minorEastAsia" w:hAnsiTheme="minorEastAsia"/>
          <w:kern w:val="0"/>
          <w:szCs w:val="24"/>
        </w:rPr>
        <w:t>⑤开展应急管</w:t>
      </w:r>
      <w:r>
        <w:rPr>
          <w:rFonts w:ascii="Times New Roman" w:hAnsi="Times New Roman" w:eastAsia="宋体" w:cs="Times New Roman"/>
          <w:kern w:val="0"/>
          <w:szCs w:val="24"/>
        </w:rPr>
        <w:t>理专题调研，指导企业应急指挥部及有关部门开展应急管理工作。</w:t>
      </w:r>
    </w:p>
    <w:p>
      <w:pPr>
        <w:ind w:firstLine="480"/>
        <w:rPr>
          <w:rFonts w:ascii="Times New Roman" w:hAnsi="Times New Roman" w:eastAsia="宋体" w:cs="Times New Roman"/>
          <w:kern w:val="0"/>
          <w:szCs w:val="24"/>
        </w:rPr>
      </w:pPr>
    </w:p>
    <w:p>
      <w:pPr>
        <w:ind w:firstLine="480"/>
        <w:rPr>
          <w:rFonts w:ascii="Times New Roman" w:hAnsi="Times New Roman" w:eastAsia="宋体" w:cs="Times New Roman"/>
          <w:kern w:val="0"/>
          <w:szCs w:val="24"/>
        </w:rPr>
        <w:sectPr>
          <w:pgSz w:w="11906" w:h="16838"/>
          <w:pgMar w:top="1440" w:right="1080" w:bottom="1440" w:left="1080" w:header="851" w:footer="992" w:gutter="0"/>
          <w:pgNumType w:fmt="numberInDash"/>
          <w:cols w:space="425" w:num="1"/>
          <w:docGrid w:type="lines" w:linePitch="312" w:charSpace="0"/>
        </w:sectPr>
      </w:pPr>
    </w:p>
    <w:p>
      <w:pPr>
        <w:pStyle w:val="6"/>
        <w:spacing w:before="320" w:after="320"/>
        <w:rPr>
          <w:rFonts w:ascii="Times New Roman" w:hAnsi="Times New Roman" w:eastAsia="宋体" w:cs="Times New Roman"/>
          <w:sz w:val="32"/>
          <w:szCs w:val="32"/>
        </w:rPr>
      </w:pPr>
      <w:bookmarkStart w:id="370" w:name="_Toc8527"/>
      <w:bookmarkStart w:id="371" w:name="_Toc529542577"/>
      <w:bookmarkStart w:id="372" w:name="_Toc523160152"/>
      <w:bookmarkStart w:id="373" w:name="_Toc509234799"/>
      <w:bookmarkStart w:id="374" w:name="_Toc510164487"/>
      <w:bookmarkStart w:id="375" w:name="_Toc523160328"/>
      <w:bookmarkStart w:id="376" w:name="_Toc21243"/>
      <w:bookmarkStart w:id="377" w:name="_Toc132468783"/>
      <w:bookmarkStart w:id="378" w:name="_Toc510164074"/>
      <w:bookmarkStart w:id="379" w:name="_Toc510164324"/>
      <w:r>
        <w:rPr>
          <w:rFonts w:ascii="Times New Roman" w:hAnsi="Times New Roman" w:eastAsia="宋体" w:cs="Times New Roman"/>
          <w:sz w:val="32"/>
          <w:szCs w:val="32"/>
        </w:rPr>
        <w:t>5预防与预警机制</w:t>
      </w:r>
      <w:bookmarkEnd w:id="370"/>
      <w:bookmarkEnd w:id="371"/>
      <w:bookmarkEnd w:id="372"/>
      <w:bookmarkEnd w:id="373"/>
      <w:bookmarkEnd w:id="374"/>
      <w:bookmarkEnd w:id="375"/>
      <w:bookmarkEnd w:id="376"/>
      <w:bookmarkEnd w:id="377"/>
      <w:bookmarkEnd w:id="378"/>
      <w:bookmarkEnd w:id="379"/>
    </w:p>
    <w:p>
      <w:pPr>
        <w:pStyle w:val="7"/>
        <w:spacing w:before="260" w:after="260"/>
        <w:rPr>
          <w:rFonts w:ascii="Times New Roman" w:hAnsi="Times New Roman" w:eastAsia="宋体" w:cs="Times New Roman"/>
          <w:sz w:val="30"/>
          <w:szCs w:val="30"/>
        </w:rPr>
      </w:pPr>
      <w:bookmarkStart w:id="380" w:name="_Toc23817"/>
      <w:bookmarkStart w:id="381" w:name="_Toc8744"/>
      <w:bookmarkStart w:id="382" w:name="_Toc132468784"/>
      <w:bookmarkStart w:id="383" w:name="_Toc333078047"/>
      <w:bookmarkStart w:id="384" w:name="_Toc339291449"/>
      <w:bookmarkStart w:id="385" w:name="_Toc336496219"/>
      <w:bookmarkStart w:id="386" w:name="_Toc529258536"/>
      <w:bookmarkStart w:id="387" w:name="_Toc333077685"/>
      <w:r>
        <w:rPr>
          <w:rFonts w:ascii="Times New Roman" w:hAnsi="Times New Roman" w:eastAsia="宋体" w:cs="Times New Roman"/>
          <w:sz w:val="30"/>
          <w:szCs w:val="30"/>
        </w:rPr>
        <w:t>5.1 预防</w:t>
      </w:r>
      <w:bookmarkEnd w:id="380"/>
      <w:bookmarkEnd w:id="381"/>
      <w:bookmarkEnd w:id="382"/>
    </w:p>
    <w:p>
      <w:pPr>
        <w:pStyle w:val="8"/>
        <w:spacing w:before="180" w:after="180"/>
        <w:rPr>
          <w:rFonts w:eastAsia="宋体" w:cs="Times New Roman"/>
          <w:sz w:val="28"/>
          <w:szCs w:val="28"/>
        </w:rPr>
      </w:pPr>
      <w:bookmarkStart w:id="388" w:name="_Toc132468785"/>
      <w:bookmarkStart w:id="389" w:name="_Toc12807"/>
      <w:bookmarkStart w:id="390" w:name="_Toc31430"/>
      <w:r>
        <w:rPr>
          <w:rFonts w:eastAsia="宋体" w:cs="Times New Roman"/>
          <w:sz w:val="28"/>
          <w:szCs w:val="28"/>
        </w:rPr>
        <w:t>5.1.1预防管理措施</w:t>
      </w:r>
      <w:bookmarkEnd w:id="388"/>
      <w:bookmarkEnd w:id="389"/>
      <w:bookmarkEnd w:id="390"/>
    </w:p>
    <w:bookmarkEnd w:id="383"/>
    <w:bookmarkEnd w:id="384"/>
    <w:bookmarkEnd w:id="385"/>
    <w:bookmarkEnd w:id="386"/>
    <w:bookmarkEnd w:id="387"/>
    <w:p>
      <w:pPr>
        <w:pStyle w:val="102"/>
        <w:ind w:firstLine="480"/>
        <w:rPr>
          <w:rFonts w:ascii="Times New Roman" w:hAnsi="Times New Roman" w:eastAsia="宋体" w:cs="Times New Roman"/>
          <w:sz w:val="24"/>
          <w:szCs w:val="24"/>
        </w:rPr>
      </w:pPr>
      <w:r>
        <w:rPr>
          <w:rFonts w:ascii="Times New Roman" w:hAnsi="Times New Roman" w:eastAsia="宋体" w:cs="Times New Roman"/>
          <w:sz w:val="24"/>
          <w:szCs w:val="24"/>
        </w:rPr>
        <w:t>（1）定期评估、排查</w:t>
      </w:r>
    </w:p>
    <w:p>
      <w:pPr>
        <w:pStyle w:val="102"/>
        <w:ind w:firstLine="480"/>
        <w:rPr>
          <w:rFonts w:ascii="Times New Roman" w:hAnsi="Times New Roman" w:eastAsia="宋体" w:cs="Times New Roman"/>
          <w:sz w:val="24"/>
          <w:szCs w:val="24"/>
        </w:rPr>
      </w:pPr>
      <w:r>
        <w:rPr>
          <w:rFonts w:ascii="Times New Roman" w:hAnsi="Times New Roman" w:eastAsia="宋体" w:cs="Times New Roman"/>
          <w:sz w:val="24"/>
          <w:szCs w:val="24"/>
        </w:rPr>
        <w:t>公司应急领导小组应定期开展对公司各环境风险源的调查评估工作，实时掌握各类化学品等风险物质的储量、位置情况，建立台账，了解各个风险物质的技术信息和理化特性，及时提出和更新相应的风险防范和应对措施。</w:t>
      </w:r>
    </w:p>
    <w:p>
      <w:pPr>
        <w:pStyle w:val="102"/>
        <w:ind w:firstLine="480"/>
        <w:rPr>
          <w:rFonts w:ascii="Times New Roman" w:hAnsi="Times New Roman" w:eastAsia="宋体" w:cs="Times New Roman"/>
          <w:sz w:val="24"/>
          <w:szCs w:val="24"/>
        </w:rPr>
      </w:pPr>
      <w:r>
        <w:rPr>
          <w:rFonts w:ascii="Times New Roman" w:hAnsi="Times New Roman" w:eastAsia="宋体" w:cs="Times New Roman"/>
          <w:sz w:val="24"/>
          <w:szCs w:val="24"/>
        </w:rPr>
        <w:t>（2）完善管理制度</w:t>
      </w:r>
    </w:p>
    <w:p>
      <w:pPr>
        <w:pStyle w:val="102"/>
        <w:ind w:firstLine="480"/>
        <w:rPr>
          <w:rFonts w:ascii="Times New Roman" w:hAnsi="Times New Roman" w:eastAsia="宋体" w:cs="Times New Roman"/>
          <w:sz w:val="24"/>
          <w:szCs w:val="24"/>
        </w:rPr>
      </w:pPr>
      <w:r>
        <w:rPr>
          <w:rFonts w:ascii="Times New Roman" w:hAnsi="Times New Roman" w:eastAsia="宋体" w:cs="Times New Roman"/>
          <w:sz w:val="24"/>
          <w:szCs w:val="24"/>
        </w:rPr>
        <w:t>建立健全公司各项经营、安全和环境保护管理和责任制度，强化管理，落实责任，突出环境风险意识。</w:t>
      </w:r>
    </w:p>
    <w:p>
      <w:pPr>
        <w:pStyle w:val="102"/>
        <w:ind w:firstLine="480"/>
        <w:rPr>
          <w:rFonts w:ascii="Times New Roman" w:hAnsi="Times New Roman" w:eastAsia="宋体" w:cs="Times New Roman"/>
          <w:sz w:val="24"/>
          <w:szCs w:val="24"/>
        </w:rPr>
      </w:pPr>
      <w:r>
        <w:rPr>
          <w:rFonts w:ascii="Times New Roman" w:hAnsi="Times New Roman" w:eastAsia="宋体" w:cs="Times New Roman"/>
          <w:sz w:val="24"/>
          <w:szCs w:val="24"/>
        </w:rPr>
        <w:t>公司制定《环境保护宣传教育和培训制度》，按计划和制度开展环境保护宣传教育和培训，对培训内容要进行考核。</w:t>
      </w:r>
    </w:p>
    <w:p>
      <w:pPr>
        <w:pStyle w:val="102"/>
        <w:ind w:firstLine="480"/>
        <w:rPr>
          <w:rFonts w:ascii="Times New Roman" w:hAnsi="Times New Roman" w:eastAsia="宋体" w:cs="Times New Roman"/>
          <w:sz w:val="24"/>
          <w:szCs w:val="24"/>
        </w:rPr>
      </w:pPr>
      <w:r>
        <w:rPr>
          <w:rFonts w:ascii="Times New Roman" w:hAnsi="Times New Roman" w:eastAsia="宋体" w:cs="Times New Roman"/>
          <w:sz w:val="24"/>
          <w:szCs w:val="24"/>
        </w:rPr>
        <w:t>公司建立环境保护监督检查和风险排查体制，制定《环境保护监督检查制度》和《环境风险排查及隐患整改制度》，对重点区域（危化品间、危废间、生产车间等）日常巡回检查、专项检查、定期检查及领导监督检查和风险排查要规范化、制度化、程序化，发现问题、隐患要立即整改。</w:t>
      </w:r>
    </w:p>
    <w:p>
      <w:pPr>
        <w:pStyle w:val="102"/>
        <w:ind w:firstLine="480"/>
        <w:rPr>
          <w:rFonts w:ascii="Times New Roman" w:hAnsi="Times New Roman" w:eastAsia="宋体" w:cs="Times New Roman"/>
          <w:sz w:val="24"/>
          <w:szCs w:val="24"/>
        </w:rPr>
      </w:pPr>
      <w:r>
        <w:rPr>
          <w:rFonts w:ascii="Times New Roman" w:hAnsi="Times New Roman" w:eastAsia="宋体" w:cs="Times New Roman"/>
          <w:sz w:val="24"/>
          <w:szCs w:val="24"/>
        </w:rPr>
        <w:t>结合风险源评估和发生的案例，开展突发环境事件的场景假设和模拟分析，模拟风险评估报告中各类突发环境事件假设场景下对环境产生的影响，完善突发环境事件应急预案。</w:t>
      </w:r>
    </w:p>
    <w:p>
      <w:pPr>
        <w:pStyle w:val="102"/>
        <w:ind w:firstLine="480"/>
        <w:rPr>
          <w:rFonts w:ascii="Times New Roman" w:hAnsi="Times New Roman" w:eastAsia="宋体" w:cs="Times New Roman"/>
          <w:sz w:val="24"/>
          <w:szCs w:val="24"/>
        </w:rPr>
      </w:pPr>
      <w:r>
        <w:rPr>
          <w:rFonts w:ascii="Times New Roman" w:hAnsi="Times New Roman" w:eastAsia="宋体" w:cs="Times New Roman"/>
          <w:sz w:val="24"/>
          <w:szCs w:val="24"/>
        </w:rPr>
        <w:t>（3）加强危险源监测监控：</w:t>
      </w:r>
    </w:p>
    <w:p>
      <w:pPr>
        <w:pStyle w:val="102"/>
        <w:ind w:firstLine="480"/>
        <w:rPr>
          <w:rFonts w:ascii="Times New Roman" w:hAnsi="Times New Roman" w:eastAsia="宋体" w:cs="Times New Roman"/>
          <w:sz w:val="24"/>
          <w:szCs w:val="24"/>
        </w:rPr>
      </w:pPr>
      <w:r>
        <w:rPr>
          <w:rFonts w:ascii="Times New Roman" w:hAnsi="Times New Roman" w:eastAsia="宋体" w:cs="Times New Roman"/>
          <w:sz w:val="24"/>
          <w:szCs w:val="24"/>
        </w:rPr>
        <w:t>a建立风险物质管理制度，落实风险物质储存区、重点生产区监控措施；</w:t>
      </w:r>
    </w:p>
    <w:p>
      <w:pPr>
        <w:pStyle w:val="102"/>
        <w:ind w:firstLine="480"/>
        <w:rPr>
          <w:rFonts w:ascii="Times New Roman" w:hAnsi="Times New Roman" w:eastAsia="宋体" w:cs="Times New Roman"/>
          <w:sz w:val="24"/>
          <w:szCs w:val="24"/>
        </w:rPr>
      </w:pPr>
      <w:r>
        <w:rPr>
          <w:rFonts w:ascii="Times New Roman" w:hAnsi="Times New Roman" w:eastAsia="宋体" w:cs="Times New Roman"/>
          <w:sz w:val="24"/>
          <w:szCs w:val="24"/>
        </w:rPr>
        <w:t>b建立风险物质的</w:t>
      </w:r>
      <w:r>
        <w:rPr>
          <w:rFonts w:hint="eastAsia" w:ascii="Times New Roman" w:hAnsi="Times New Roman" w:eastAsia="宋体" w:cs="Times New Roman"/>
          <w:sz w:val="24"/>
          <w:szCs w:val="24"/>
          <w:lang w:eastAsia="zh-CN"/>
        </w:rPr>
        <w:t>台账</w:t>
      </w:r>
      <w:r>
        <w:rPr>
          <w:rFonts w:ascii="Times New Roman" w:hAnsi="Times New Roman" w:eastAsia="宋体" w:cs="Times New Roman"/>
          <w:sz w:val="24"/>
          <w:szCs w:val="24"/>
        </w:rPr>
        <w:t>、档案；</w:t>
      </w:r>
    </w:p>
    <w:p>
      <w:pPr>
        <w:pStyle w:val="102"/>
        <w:ind w:firstLine="480"/>
        <w:rPr>
          <w:rFonts w:ascii="Times New Roman" w:hAnsi="Times New Roman" w:eastAsia="宋体" w:cs="Times New Roman"/>
          <w:sz w:val="24"/>
          <w:szCs w:val="24"/>
        </w:rPr>
      </w:pPr>
      <w:r>
        <w:rPr>
          <w:rFonts w:ascii="Times New Roman" w:hAnsi="Times New Roman" w:eastAsia="宋体" w:cs="Times New Roman"/>
          <w:sz w:val="24"/>
          <w:szCs w:val="24"/>
        </w:rPr>
        <w:t>c每年对整个厂区的设备进行一次防雷、防静电检测；</w:t>
      </w:r>
    </w:p>
    <w:p>
      <w:pPr>
        <w:pStyle w:val="102"/>
        <w:ind w:firstLine="480"/>
        <w:rPr>
          <w:rFonts w:ascii="Times New Roman" w:hAnsi="Times New Roman" w:eastAsia="宋体" w:cs="Times New Roman"/>
          <w:sz w:val="24"/>
          <w:szCs w:val="24"/>
        </w:rPr>
      </w:pPr>
      <w:r>
        <w:rPr>
          <w:rFonts w:ascii="Times New Roman" w:hAnsi="Times New Roman" w:eastAsia="宋体" w:cs="Times New Roman"/>
          <w:sz w:val="24"/>
          <w:szCs w:val="24"/>
        </w:rPr>
        <w:t>d重点关键部位（危化品剑、生产车间）尤其是配电箱及生产设备处设置摄像头监控；</w:t>
      </w:r>
    </w:p>
    <w:p>
      <w:pPr>
        <w:pStyle w:val="102"/>
        <w:ind w:firstLine="480"/>
        <w:rPr>
          <w:rFonts w:ascii="Times New Roman" w:hAnsi="Times New Roman" w:eastAsia="宋体" w:cs="Times New Roman"/>
          <w:sz w:val="24"/>
          <w:szCs w:val="24"/>
        </w:rPr>
      </w:pPr>
      <w:r>
        <w:rPr>
          <w:rFonts w:ascii="Times New Roman" w:hAnsi="Times New Roman" w:eastAsia="宋体" w:cs="Times New Roman"/>
          <w:sz w:val="24"/>
          <w:szCs w:val="24"/>
        </w:rPr>
        <w:t>e全站对危险源定期安全检查，做好秋冬季专项检查，查“三违”，查事故隐患，落实整改措施。</w:t>
      </w:r>
    </w:p>
    <w:p>
      <w:pPr>
        <w:pStyle w:val="102"/>
        <w:ind w:firstLine="480"/>
        <w:rPr>
          <w:rFonts w:ascii="Times New Roman" w:hAnsi="Times New Roman" w:eastAsia="宋体" w:cs="Times New Roman"/>
          <w:sz w:val="24"/>
          <w:szCs w:val="24"/>
        </w:rPr>
      </w:pPr>
      <w:r>
        <w:rPr>
          <w:rFonts w:ascii="Times New Roman" w:hAnsi="Times New Roman" w:eastAsia="宋体" w:cs="Times New Roman"/>
          <w:sz w:val="24"/>
          <w:szCs w:val="24"/>
        </w:rPr>
        <w:t>f制定日常点检表，专人巡查，做好点检记录；</w:t>
      </w:r>
    </w:p>
    <w:p>
      <w:pPr>
        <w:pStyle w:val="102"/>
        <w:ind w:firstLine="480"/>
        <w:rPr>
          <w:rFonts w:ascii="Times New Roman" w:hAnsi="Times New Roman" w:eastAsia="宋体" w:cs="Times New Roman"/>
          <w:sz w:val="24"/>
          <w:szCs w:val="24"/>
        </w:rPr>
      </w:pPr>
      <w:r>
        <w:rPr>
          <w:rFonts w:ascii="Times New Roman" w:hAnsi="Times New Roman" w:eastAsia="宋体" w:cs="Times New Roman"/>
          <w:sz w:val="24"/>
          <w:szCs w:val="24"/>
        </w:rPr>
        <w:t>g做好交接班记录。</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（4）制定《突发环境事件应急预案》培训及演练制度，每半年至少培训一次，每年至少演练一次。</w:t>
      </w:r>
      <w:bookmarkStart w:id="391" w:name="_Toc529258537"/>
      <w:bookmarkStart w:id="392" w:name="_Toc333078048"/>
      <w:bookmarkStart w:id="393" w:name="_Toc339291450"/>
      <w:bookmarkStart w:id="394" w:name="_Toc333077686"/>
      <w:bookmarkStart w:id="395" w:name="_Toc336496220"/>
    </w:p>
    <w:p>
      <w:pPr>
        <w:pStyle w:val="8"/>
        <w:spacing w:before="180" w:after="180"/>
        <w:rPr>
          <w:rFonts w:eastAsia="宋体" w:cs="Times New Roman"/>
          <w:sz w:val="28"/>
          <w:szCs w:val="28"/>
        </w:rPr>
      </w:pPr>
      <w:bookmarkStart w:id="396" w:name="_Toc132468786"/>
      <w:bookmarkStart w:id="397" w:name="_Toc16896"/>
      <w:r>
        <w:rPr>
          <w:rFonts w:eastAsia="宋体" w:cs="Times New Roman"/>
          <w:sz w:val="28"/>
          <w:szCs w:val="28"/>
        </w:rPr>
        <w:t>5.1.2环境风险预防改进措施</w:t>
      </w:r>
      <w:bookmarkEnd w:id="391"/>
      <w:bookmarkEnd w:id="392"/>
      <w:bookmarkEnd w:id="393"/>
      <w:bookmarkEnd w:id="394"/>
      <w:bookmarkEnd w:id="395"/>
      <w:bookmarkEnd w:id="396"/>
      <w:bookmarkEnd w:id="397"/>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（1）24小时值班、不定时巡检，监控危化品间、</w:t>
      </w:r>
      <w:r>
        <w:rPr>
          <w:rFonts w:hint="eastAsia" w:ascii="Times New Roman" w:hAnsi="Times New Roman" w:eastAsia="宋体" w:cs="Times New Roman"/>
          <w:szCs w:val="24"/>
        </w:rPr>
        <w:t>LNG站</w:t>
      </w:r>
      <w:r>
        <w:rPr>
          <w:rFonts w:ascii="Times New Roman" w:hAnsi="Times New Roman" w:eastAsia="宋体" w:cs="Times New Roman"/>
          <w:szCs w:val="24"/>
        </w:rPr>
        <w:t>装置情况，如发现异常，及时上报。</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（2）定期检查防雷、线路、电气设备接地、消防器材的完好程度，根据情况按照规范要求更换或修整。</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（3）设置专人看护风险岗位，并与值班室保持联系。</w:t>
      </w:r>
    </w:p>
    <w:p>
      <w:pPr>
        <w:adjustRightInd w:val="0"/>
        <w:snapToGrid w:val="0"/>
        <w:ind w:firstLine="480"/>
        <w:rPr>
          <w:rFonts w:ascii="Times New Roman" w:hAnsi="Times New Roman" w:eastAsia="宋体" w:cs="Times New Roman"/>
        </w:rPr>
      </w:pPr>
      <w:r>
        <w:rPr>
          <w:rFonts w:ascii="Times New Roman" w:hAnsi="Times New Roman" w:eastAsia="宋体" w:cs="Times New Roman"/>
          <w:szCs w:val="24"/>
        </w:rPr>
        <w:t>（4）完备所需应急物资，及时查漏补缺，定期维护更新。</w:t>
      </w:r>
    </w:p>
    <w:p>
      <w:pPr>
        <w:pStyle w:val="7"/>
        <w:spacing w:before="260" w:after="260"/>
        <w:rPr>
          <w:rFonts w:ascii="Times New Roman" w:hAnsi="Times New Roman" w:eastAsia="宋体" w:cs="Times New Roman"/>
          <w:sz w:val="30"/>
          <w:szCs w:val="30"/>
        </w:rPr>
      </w:pPr>
      <w:bookmarkStart w:id="398" w:name="_Toc509234783"/>
      <w:bookmarkStart w:id="399" w:name="_Toc510164058"/>
      <w:bookmarkStart w:id="400" w:name="_Toc18793"/>
      <w:bookmarkStart w:id="401" w:name="_Toc529542581"/>
      <w:bookmarkStart w:id="402" w:name="_Toc510164481"/>
      <w:bookmarkStart w:id="403" w:name="_Toc4469"/>
      <w:bookmarkStart w:id="404" w:name="_Toc132468787"/>
      <w:bookmarkStart w:id="405" w:name="_Toc523160154"/>
      <w:bookmarkStart w:id="406" w:name="_Toc510164318"/>
      <w:bookmarkStart w:id="407" w:name="_Toc523160332"/>
      <w:r>
        <w:rPr>
          <w:rFonts w:ascii="Times New Roman" w:hAnsi="Times New Roman" w:eastAsia="宋体" w:cs="Times New Roman"/>
          <w:sz w:val="30"/>
          <w:szCs w:val="30"/>
        </w:rPr>
        <w:t>5.2预警分级与准备</w:t>
      </w:r>
      <w:bookmarkEnd w:id="398"/>
      <w:bookmarkEnd w:id="399"/>
      <w:bookmarkEnd w:id="400"/>
      <w:bookmarkEnd w:id="401"/>
      <w:bookmarkEnd w:id="402"/>
      <w:bookmarkEnd w:id="403"/>
      <w:bookmarkEnd w:id="404"/>
      <w:bookmarkEnd w:id="405"/>
      <w:bookmarkEnd w:id="406"/>
      <w:bookmarkEnd w:id="407"/>
    </w:p>
    <w:p>
      <w:pPr>
        <w:pStyle w:val="8"/>
        <w:spacing w:before="180" w:after="180"/>
        <w:rPr>
          <w:rFonts w:eastAsia="宋体" w:cs="Times New Roman"/>
          <w:sz w:val="28"/>
          <w:szCs w:val="28"/>
        </w:rPr>
      </w:pPr>
      <w:bookmarkStart w:id="408" w:name="_Toc24668"/>
      <w:bookmarkStart w:id="409" w:name="_Toc510164059"/>
      <w:bookmarkStart w:id="410" w:name="_Toc12473"/>
      <w:bookmarkStart w:id="411" w:name="_Toc523160333"/>
      <w:bookmarkStart w:id="412" w:name="_Toc509234784"/>
      <w:bookmarkStart w:id="413" w:name="_Toc132468788"/>
      <w:bookmarkStart w:id="414" w:name="_Toc529542582"/>
      <w:r>
        <w:rPr>
          <w:rFonts w:eastAsia="宋体" w:cs="Times New Roman"/>
          <w:sz w:val="28"/>
          <w:szCs w:val="28"/>
        </w:rPr>
        <w:t>5.2.1预警的条件</w:t>
      </w:r>
      <w:bookmarkEnd w:id="408"/>
      <w:bookmarkEnd w:id="409"/>
      <w:bookmarkEnd w:id="410"/>
      <w:bookmarkEnd w:id="411"/>
      <w:bookmarkEnd w:id="412"/>
      <w:bookmarkEnd w:id="413"/>
      <w:bookmarkEnd w:id="414"/>
    </w:p>
    <w:p>
      <w:pPr>
        <w:adjustRightInd w:val="0"/>
        <w:snapToGrid w:val="0"/>
        <w:ind w:firstLine="480"/>
        <w:rPr>
          <w:rFonts w:ascii="Times New Roman" w:hAnsi="Times New Roman" w:eastAsia="宋体" w:cs="Times New Roman"/>
          <w:szCs w:val="24"/>
        </w:rPr>
      </w:pPr>
      <w:bookmarkStart w:id="415" w:name="_Toc523160334"/>
      <w:bookmarkStart w:id="416" w:name="_Toc509234785"/>
      <w:bookmarkStart w:id="417" w:name="_Toc510164060"/>
      <w:bookmarkStart w:id="418" w:name="_Toc529542583"/>
      <w:r>
        <w:rPr>
          <w:rFonts w:ascii="Times New Roman" w:hAnsi="Times New Roman" w:eastAsia="宋体" w:cs="Times New Roman"/>
          <w:szCs w:val="24"/>
        </w:rPr>
        <w:t>（1）外部获取途径</w:t>
      </w:r>
    </w:p>
    <w:p>
      <w:pPr>
        <w:adjustRightInd w:val="0"/>
        <w:snapToGrid w:val="0"/>
        <w:ind w:firstLine="480"/>
        <w:rPr>
          <w:rFonts w:cs="Times New Roman" w:asciiTheme="minorEastAsia" w:hAnsiTheme="minorEastAsia"/>
          <w:szCs w:val="24"/>
        </w:rPr>
      </w:pPr>
      <w:r>
        <w:rPr>
          <w:rFonts w:cs="Times New Roman" w:asciiTheme="minorEastAsia" w:hAnsiTheme="minorEastAsia"/>
          <w:szCs w:val="24"/>
        </w:rPr>
        <w:t>①政府通过新闻媒体公开发布的暴雨、大风等预警信息；</w:t>
      </w:r>
    </w:p>
    <w:p>
      <w:pPr>
        <w:adjustRightInd w:val="0"/>
        <w:snapToGrid w:val="0"/>
        <w:ind w:firstLine="480"/>
        <w:rPr>
          <w:rFonts w:cs="Times New Roman" w:asciiTheme="minorEastAsia" w:hAnsiTheme="minorEastAsia"/>
          <w:szCs w:val="24"/>
        </w:rPr>
      </w:pPr>
      <w:r>
        <w:rPr>
          <w:rFonts w:cs="Times New Roman" w:asciiTheme="minorEastAsia" w:hAnsiTheme="minorEastAsia"/>
          <w:szCs w:val="24"/>
        </w:rPr>
        <w:t>②环境保护监测部门的监测结论；</w:t>
      </w:r>
    </w:p>
    <w:p>
      <w:pPr>
        <w:adjustRightInd w:val="0"/>
        <w:snapToGrid w:val="0"/>
        <w:ind w:firstLine="480"/>
        <w:rPr>
          <w:rFonts w:cs="Times New Roman" w:asciiTheme="minorEastAsia" w:hAnsiTheme="minorEastAsia"/>
          <w:szCs w:val="24"/>
        </w:rPr>
      </w:pPr>
      <w:r>
        <w:rPr>
          <w:rFonts w:cs="Times New Roman" w:asciiTheme="minorEastAsia" w:hAnsiTheme="minorEastAsia"/>
          <w:szCs w:val="24"/>
        </w:rPr>
        <w:t>③周边企业发布的预警信息或其他外部投诉、报警信息。</w:t>
      </w:r>
    </w:p>
    <w:p>
      <w:pPr>
        <w:adjustRightInd w:val="0"/>
        <w:snapToGrid w:val="0"/>
        <w:ind w:firstLine="480"/>
        <w:rPr>
          <w:rFonts w:cs="Times New Roman" w:asciiTheme="minorEastAsia" w:hAnsiTheme="minorEastAsia"/>
          <w:szCs w:val="24"/>
        </w:rPr>
      </w:pPr>
      <w:r>
        <w:rPr>
          <w:rFonts w:cs="Times New Roman" w:asciiTheme="minorEastAsia" w:hAnsiTheme="minorEastAsia"/>
          <w:szCs w:val="24"/>
        </w:rPr>
        <w:t>（2）内部获取途径</w:t>
      </w:r>
    </w:p>
    <w:p>
      <w:pPr>
        <w:adjustRightInd w:val="0"/>
        <w:snapToGrid w:val="0"/>
        <w:ind w:firstLine="480"/>
        <w:rPr>
          <w:rFonts w:cs="Times New Roman" w:asciiTheme="minorEastAsia" w:hAnsiTheme="minorEastAsia"/>
          <w:szCs w:val="24"/>
        </w:rPr>
      </w:pPr>
      <w:r>
        <w:rPr>
          <w:rFonts w:cs="Times New Roman" w:asciiTheme="minorEastAsia" w:hAnsiTheme="minorEastAsia"/>
          <w:szCs w:val="24"/>
        </w:rPr>
        <w:t>①公司各生产设备及存储设备配备的报警设备、仪表监控系统以及中控预警系统；</w:t>
      </w:r>
    </w:p>
    <w:p>
      <w:pPr>
        <w:adjustRightInd w:val="0"/>
        <w:snapToGrid w:val="0"/>
        <w:ind w:firstLine="480"/>
        <w:rPr>
          <w:rFonts w:cs="Times New Roman" w:asciiTheme="minorEastAsia" w:hAnsiTheme="minorEastAsia"/>
          <w:szCs w:val="24"/>
        </w:rPr>
      </w:pPr>
      <w:r>
        <w:rPr>
          <w:rFonts w:cs="Times New Roman" w:asciiTheme="minorEastAsia" w:hAnsiTheme="minorEastAsia"/>
          <w:szCs w:val="24"/>
        </w:rPr>
        <w:t>②公司</w:t>
      </w:r>
      <w:r>
        <w:rPr>
          <w:rFonts w:hint="eastAsia" w:cs="Times New Roman" w:asciiTheme="minorEastAsia" w:hAnsiTheme="minorEastAsia"/>
          <w:szCs w:val="24"/>
        </w:rPr>
        <w:t>各生产车间重点部位均</w:t>
      </w:r>
      <w:r>
        <w:rPr>
          <w:rFonts w:cs="Times New Roman" w:asciiTheme="minorEastAsia" w:hAnsiTheme="minorEastAsia"/>
          <w:szCs w:val="24"/>
        </w:rPr>
        <w:t>安装电子监控设备，监控人员发现有异常现象时立即报告预警信息；</w:t>
      </w:r>
    </w:p>
    <w:p>
      <w:pPr>
        <w:adjustRightInd w:val="0"/>
        <w:snapToGrid w:val="0"/>
        <w:ind w:firstLine="480"/>
        <w:rPr>
          <w:rFonts w:ascii="Times New Roman" w:hAnsi="Times New Roman" w:eastAsia="宋体" w:cs="Times New Roman"/>
          <w:szCs w:val="24"/>
        </w:rPr>
      </w:pPr>
      <w:r>
        <w:rPr>
          <w:rFonts w:cs="Times New Roman" w:asciiTheme="minorEastAsia" w:hAnsiTheme="minorEastAsia"/>
          <w:szCs w:val="24"/>
        </w:rPr>
        <w:t>③公</w:t>
      </w:r>
      <w:r>
        <w:rPr>
          <w:rFonts w:ascii="Times New Roman" w:hAnsi="Times New Roman" w:eastAsia="宋体" w:cs="Times New Roman"/>
          <w:szCs w:val="24"/>
        </w:rPr>
        <w:t>司各环境危险源处设巡检人员，巡检人员通过日常定期巡检，做好隐患排查记录，对于巡检过程中发现的可能引发环境事件的风险隐患及征兆及时报告预警信息。</w:t>
      </w:r>
    </w:p>
    <w:p>
      <w:pPr>
        <w:pStyle w:val="8"/>
        <w:spacing w:before="180" w:after="180"/>
        <w:rPr>
          <w:rFonts w:eastAsia="宋体" w:cs="Times New Roman"/>
          <w:sz w:val="28"/>
          <w:szCs w:val="28"/>
        </w:rPr>
      </w:pPr>
      <w:bookmarkStart w:id="419" w:name="_Toc30148"/>
      <w:bookmarkStart w:id="420" w:name="_Toc11030"/>
      <w:bookmarkStart w:id="421" w:name="_Toc132468789"/>
      <w:r>
        <w:rPr>
          <w:rFonts w:eastAsia="宋体" w:cs="Times New Roman"/>
          <w:sz w:val="28"/>
          <w:szCs w:val="28"/>
        </w:rPr>
        <w:t>5.2.2预警分级</w:t>
      </w:r>
      <w:bookmarkEnd w:id="415"/>
      <w:bookmarkEnd w:id="416"/>
      <w:bookmarkEnd w:id="417"/>
      <w:bookmarkEnd w:id="418"/>
      <w:bookmarkEnd w:id="419"/>
      <w:bookmarkEnd w:id="420"/>
      <w:bookmarkEnd w:id="421"/>
    </w:p>
    <w:p>
      <w:pPr>
        <w:adjustRightInd w:val="0"/>
        <w:snapToGrid w:val="0"/>
        <w:ind w:firstLine="480"/>
        <w:rPr>
          <w:rFonts w:ascii="Times New Roman" w:hAnsi="Times New Roman" w:eastAsia="宋体" w:cs="Times New Roman"/>
          <w:szCs w:val="24"/>
        </w:rPr>
      </w:pPr>
      <w:bookmarkStart w:id="422" w:name="_Toc510164078"/>
      <w:bookmarkStart w:id="423" w:name="_Toc509234803"/>
      <w:r>
        <w:rPr>
          <w:rFonts w:ascii="Times New Roman" w:hAnsi="Times New Roman" w:eastAsia="宋体" w:cs="Times New Roman"/>
          <w:szCs w:val="24"/>
        </w:rPr>
        <w:t>预警即是预测未来可能发生的危机和灾难，并预先对其进行准备和预防。事先预防胜过事后补救，可以最大限度减少生命财产的损失，提高人们的生存能力。</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赤壁恒瑞非织造材料有限公司应急救援总指挥部接到现场可能发生或已经发生环境事故应急报告后或者在特大暴风雨前，应通知环保、安全、生产、技术、设备等相关部门专业人员，到达事故现场，并根据突发环境事件即将造成的危害程度、紧急程度、发展情况、紧迫性，对突发环境事故的级别按事故分级做出判断。突发环境事故的预警由低到高分为Ⅲ级（车间级）、Ⅱ级（厂区级）、Ⅰ级（社会级）。</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预警级别与可能发生的突发环境事故等级对应，具体分级见下表。每级预警方式主要通过固定电话和手机迅速进行，然后随事态的发展情况和采取措施的效果预警会升级、降级或解除。</w:t>
      </w:r>
    </w:p>
    <w:p>
      <w:pPr>
        <w:pStyle w:val="17"/>
        <w:ind w:firstLine="480"/>
        <w:jc w:val="both"/>
        <w:rPr>
          <w:rFonts w:ascii="Times New Roman" w:hAnsi="Times New Roman" w:eastAsia="宋体" w:cs="Times New Roman"/>
        </w:rPr>
      </w:pPr>
      <w:r>
        <w:rPr>
          <w:rFonts w:ascii="Times New Roman" w:hAnsi="Times New Roman" w:eastAsia="宋体" w:cs="Times New Roman"/>
          <w:szCs w:val="24"/>
        </w:rPr>
        <w:t>赤壁恒瑞非织造材料有限公司</w:t>
      </w:r>
      <w:r>
        <w:rPr>
          <w:rFonts w:ascii="Times New Roman" w:hAnsi="Times New Roman" w:eastAsia="宋体" w:cs="Times New Roman"/>
        </w:rPr>
        <w:t>的预警方式主要有电话。</w:t>
      </w:r>
    </w:p>
    <w:p>
      <w:pPr>
        <w:tabs>
          <w:tab w:val="left" w:pos="1507"/>
        </w:tabs>
        <w:spacing w:before="1" w:after="36" w:line="240" w:lineRule="auto"/>
        <w:ind w:left="406" w:firstLine="422"/>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w:t>
      </w:r>
      <w:r>
        <w:rPr>
          <w:rFonts w:ascii="Times New Roman" w:hAnsi="Times New Roman" w:eastAsia="宋体" w:cs="Times New Roman"/>
          <w:b/>
          <w:bCs/>
          <w:spacing w:val="-62"/>
          <w:sz w:val="21"/>
          <w:szCs w:val="21"/>
        </w:rPr>
        <w:t xml:space="preserve"> </w:t>
      </w:r>
      <w:r>
        <w:rPr>
          <w:rFonts w:ascii="Times New Roman" w:hAnsi="Times New Roman" w:eastAsia="宋体" w:cs="Times New Roman"/>
          <w:b/>
          <w:bCs/>
          <w:sz w:val="21"/>
          <w:szCs w:val="21"/>
        </w:rPr>
        <w:t>5.2-1  预警分级指标表</w:t>
      </w:r>
    </w:p>
    <w:tbl>
      <w:tblPr>
        <w:tblStyle w:val="36"/>
        <w:tblW w:w="10015" w:type="dxa"/>
        <w:tblInd w:w="-13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665"/>
        <w:gridCol w:w="3715"/>
        <w:gridCol w:w="363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665" w:type="dxa"/>
            <w:tcBorders>
              <w:left w:val="nil"/>
              <w:right w:val="single" w:color="000000" w:sz="4" w:space="0"/>
            </w:tcBorders>
            <w:vAlign w:val="center"/>
          </w:tcPr>
          <w:p>
            <w:pPr>
              <w:pStyle w:val="103"/>
              <w:autoSpaceDE w:val="0"/>
              <w:autoSpaceDN w:val="0"/>
              <w:spacing w:before="50" w:line="240" w:lineRule="auto"/>
              <w:ind w:left="283" w:right="247" w:firstLine="0" w:firstLineChars="0"/>
              <w:rPr>
                <w:rFonts w:ascii="Times New Roman" w:hAnsi="Times New Roman" w:cs="Times New Roman"/>
                <w:b/>
                <w:kern w:val="0"/>
                <w:sz w:val="18"/>
                <w:szCs w:val="18"/>
              </w:rPr>
            </w:pPr>
            <w:r>
              <w:rPr>
                <w:rFonts w:ascii="Times New Roman" w:hAnsi="Times New Roman" w:cs="Times New Roman"/>
                <w:b/>
                <w:kern w:val="0"/>
                <w:sz w:val="18"/>
                <w:szCs w:val="18"/>
              </w:rPr>
              <w:t>预警分级</w:t>
            </w:r>
          </w:p>
        </w:tc>
        <w:tc>
          <w:tcPr>
            <w:tcW w:w="3715" w:type="dxa"/>
            <w:tcBorders>
              <w:left w:val="single" w:color="000000" w:sz="4" w:space="0"/>
              <w:right w:val="single" w:color="000000" w:sz="4" w:space="0"/>
            </w:tcBorders>
            <w:vAlign w:val="center"/>
          </w:tcPr>
          <w:p>
            <w:pPr>
              <w:pStyle w:val="103"/>
              <w:autoSpaceDE w:val="0"/>
              <w:autoSpaceDN w:val="0"/>
              <w:spacing w:before="50" w:line="240" w:lineRule="auto"/>
              <w:ind w:left="283" w:right="247" w:firstLine="0" w:firstLineChars="0"/>
              <w:rPr>
                <w:rFonts w:ascii="Times New Roman" w:hAnsi="Times New Roman" w:cs="Times New Roman"/>
                <w:b/>
                <w:kern w:val="0"/>
                <w:sz w:val="18"/>
                <w:szCs w:val="18"/>
              </w:rPr>
            </w:pPr>
            <w:r>
              <w:rPr>
                <w:rFonts w:ascii="Times New Roman" w:hAnsi="Times New Roman" w:cs="Times New Roman"/>
                <w:b/>
                <w:kern w:val="0"/>
                <w:sz w:val="18"/>
                <w:szCs w:val="18"/>
              </w:rPr>
              <w:t>可能发生的突发环境事件分级*</w:t>
            </w:r>
          </w:p>
        </w:tc>
        <w:tc>
          <w:tcPr>
            <w:tcW w:w="3635" w:type="dxa"/>
            <w:tcBorders>
              <w:left w:val="single" w:color="000000" w:sz="4" w:space="0"/>
              <w:right w:val="nil"/>
            </w:tcBorders>
            <w:vAlign w:val="center"/>
          </w:tcPr>
          <w:p>
            <w:pPr>
              <w:pStyle w:val="103"/>
              <w:autoSpaceDE w:val="0"/>
              <w:autoSpaceDN w:val="0"/>
              <w:spacing w:before="50" w:line="240" w:lineRule="auto"/>
              <w:ind w:left="283" w:right="247" w:firstLine="0" w:firstLineChars="0"/>
              <w:rPr>
                <w:rFonts w:ascii="Times New Roman" w:hAnsi="Times New Roman" w:cs="Times New Roman"/>
                <w:b/>
                <w:kern w:val="0"/>
                <w:sz w:val="18"/>
                <w:szCs w:val="18"/>
              </w:rPr>
            </w:pPr>
            <w:r>
              <w:rPr>
                <w:rFonts w:ascii="Times New Roman" w:hAnsi="Times New Roman" w:cs="Times New Roman"/>
                <w:b/>
                <w:kern w:val="0"/>
                <w:sz w:val="18"/>
                <w:szCs w:val="18"/>
              </w:rPr>
              <w:t>可能发生的突发环境事件</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665" w:type="dxa"/>
            <w:tcBorders>
              <w:left w:val="nil"/>
              <w:bottom w:val="single" w:color="000000" w:sz="4" w:space="0"/>
              <w:right w:val="single" w:color="000000" w:sz="4" w:space="0"/>
            </w:tcBorders>
            <w:vAlign w:val="center"/>
          </w:tcPr>
          <w:p>
            <w:pPr>
              <w:pStyle w:val="103"/>
              <w:spacing w:before="50" w:line="240" w:lineRule="auto"/>
              <w:ind w:right="252" w:firstLine="0" w:firstLineChars="0"/>
              <w:rPr>
                <w:rFonts w:ascii="Times New Roman" w:hAnsi="Times New Roman" w:cs="Times New Roman"/>
                <w:sz w:val="18"/>
                <w:szCs w:val="18"/>
              </w:rPr>
            </w:pPr>
            <w:r>
              <w:rPr>
                <w:rFonts w:ascii="Times New Roman" w:hAnsi="Times New Roman" w:cs="Times New Roman"/>
                <w:sz w:val="18"/>
                <w:szCs w:val="18"/>
              </w:rPr>
              <w:t>Ⅲ级（车间级）预警</w:t>
            </w:r>
          </w:p>
        </w:tc>
        <w:tc>
          <w:tcPr>
            <w:tcW w:w="3715" w:type="dxa"/>
            <w:tcBorders>
              <w:left w:val="single" w:color="000000" w:sz="4" w:space="0"/>
              <w:bottom w:val="single" w:color="000000" w:sz="4" w:space="0"/>
              <w:right w:val="single" w:color="000000" w:sz="4" w:space="0"/>
            </w:tcBorders>
            <w:vAlign w:val="center"/>
          </w:tcPr>
          <w:p>
            <w:pPr>
              <w:pStyle w:val="103"/>
              <w:spacing w:before="50" w:line="240" w:lineRule="auto"/>
              <w:ind w:right="457" w:firstLine="360"/>
              <w:rPr>
                <w:rFonts w:ascii="Times New Roman" w:hAnsi="Times New Roman" w:cs="Times New Roman"/>
                <w:sz w:val="18"/>
                <w:szCs w:val="18"/>
              </w:rPr>
            </w:pPr>
            <w:r>
              <w:rPr>
                <w:rFonts w:ascii="Times New Roman" w:hAnsi="Times New Roman" w:cs="Times New Roman"/>
                <w:sz w:val="18"/>
                <w:szCs w:val="18"/>
              </w:rPr>
              <w:t>Ⅲ级（车间级）突发环境事件</w:t>
            </w:r>
          </w:p>
        </w:tc>
        <w:tc>
          <w:tcPr>
            <w:tcW w:w="3635" w:type="dxa"/>
            <w:tcBorders>
              <w:left w:val="single" w:color="000000" w:sz="4" w:space="0"/>
              <w:bottom w:val="single" w:color="000000" w:sz="4" w:space="0"/>
              <w:right w:val="nil"/>
            </w:tcBorders>
            <w:vAlign w:val="center"/>
          </w:tcPr>
          <w:p>
            <w:pPr>
              <w:pStyle w:val="103"/>
              <w:spacing w:before="50" w:line="240" w:lineRule="auto"/>
              <w:ind w:right="104" w:firstLine="0" w:firstLineChars="0"/>
              <w:rPr>
                <w:rFonts w:ascii="Times New Roman" w:hAnsi="Times New Roman" w:cs="Times New Roman"/>
                <w:sz w:val="18"/>
                <w:szCs w:val="18"/>
              </w:rPr>
            </w:pPr>
            <w:r>
              <w:rPr>
                <w:rFonts w:ascii="Times New Roman" w:hAnsi="Times New Roman" w:cs="Times New Roman"/>
                <w:sz w:val="18"/>
                <w:szCs w:val="18"/>
              </w:rPr>
              <w:t>环境风险物质若泄漏洒落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665" w:type="dxa"/>
            <w:tcBorders>
              <w:top w:val="single" w:color="000000" w:sz="4" w:space="0"/>
              <w:left w:val="nil"/>
              <w:bottom w:val="single" w:color="000000" w:sz="4" w:space="0"/>
              <w:right w:val="single" w:color="000000" w:sz="4" w:space="0"/>
            </w:tcBorders>
            <w:vAlign w:val="center"/>
          </w:tcPr>
          <w:p>
            <w:pPr>
              <w:pStyle w:val="103"/>
              <w:spacing w:line="240" w:lineRule="auto"/>
              <w:ind w:right="252" w:firstLine="0" w:firstLineChars="0"/>
              <w:rPr>
                <w:rFonts w:ascii="Times New Roman" w:hAnsi="Times New Roman" w:cs="Times New Roman"/>
                <w:sz w:val="18"/>
                <w:szCs w:val="18"/>
              </w:rPr>
            </w:pPr>
            <w:r>
              <w:rPr>
                <w:rFonts w:ascii="Times New Roman" w:hAnsi="Times New Roman" w:cs="Times New Roman"/>
                <w:sz w:val="18"/>
                <w:szCs w:val="18"/>
              </w:rPr>
              <w:t>Ⅱ级（公司级）预警</w:t>
            </w:r>
          </w:p>
        </w:tc>
        <w:tc>
          <w:tcPr>
            <w:tcW w:w="3715" w:type="dxa"/>
            <w:tcBorders>
              <w:top w:val="single" w:color="000000" w:sz="4" w:space="0"/>
              <w:left w:val="single" w:color="000000" w:sz="4" w:space="0"/>
              <w:bottom w:val="single" w:color="000000" w:sz="4" w:space="0"/>
              <w:right w:val="single" w:color="000000" w:sz="4" w:space="0"/>
            </w:tcBorders>
            <w:vAlign w:val="center"/>
          </w:tcPr>
          <w:p>
            <w:pPr>
              <w:pStyle w:val="103"/>
              <w:spacing w:line="240" w:lineRule="auto"/>
              <w:ind w:right="457" w:firstLine="0" w:firstLineChars="0"/>
              <w:rPr>
                <w:rFonts w:ascii="Times New Roman" w:hAnsi="Times New Roman" w:cs="Times New Roman"/>
                <w:sz w:val="18"/>
                <w:szCs w:val="18"/>
              </w:rPr>
            </w:pPr>
            <w:r>
              <w:rPr>
                <w:rFonts w:ascii="Times New Roman" w:hAnsi="Times New Roman" w:cs="Times New Roman"/>
                <w:sz w:val="18"/>
                <w:szCs w:val="18"/>
              </w:rPr>
              <w:t>Ⅱ级（公司级）突发环境事件</w:t>
            </w:r>
          </w:p>
        </w:tc>
        <w:tc>
          <w:tcPr>
            <w:tcW w:w="3635" w:type="dxa"/>
            <w:tcBorders>
              <w:top w:val="single" w:color="000000" w:sz="4" w:space="0"/>
              <w:left w:val="single" w:color="000000" w:sz="4" w:space="0"/>
              <w:bottom w:val="single" w:color="000000" w:sz="4" w:space="0"/>
              <w:right w:val="nil"/>
            </w:tcBorders>
            <w:vAlign w:val="center"/>
          </w:tcPr>
          <w:p>
            <w:pPr>
              <w:pStyle w:val="103"/>
              <w:spacing w:before="28" w:line="240" w:lineRule="auto"/>
              <w:ind w:right="104" w:firstLine="0" w:firstLineChars="0"/>
              <w:rPr>
                <w:rFonts w:ascii="Times New Roman" w:hAnsi="Times New Roman" w:cs="Times New Roman"/>
                <w:sz w:val="18"/>
                <w:szCs w:val="18"/>
              </w:rPr>
            </w:pPr>
            <w:r>
              <w:rPr>
                <w:rFonts w:ascii="Times New Roman" w:hAnsi="Times New Roman" w:cs="Times New Roman"/>
                <w:sz w:val="18"/>
                <w:szCs w:val="18"/>
              </w:rPr>
              <w:t>废气处理设施故障问题</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665" w:type="dxa"/>
            <w:tcBorders>
              <w:top w:val="single" w:color="000000" w:sz="4" w:space="0"/>
              <w:left w:val="nil"/>
              <w:right w:val="single" w:color="000000" w:sz="4" w:space="0"/>
            </w:tcBorders>
            <w:vAlign w:val="center"/>
          </w:tcPr>
          <w:p>
            <w:pPr>
              <w:pStyle w:val="103"/>
              <w:spacing w:before="49" w:line="240" w:lineRule="auto"/>
              <w:ind w:right="252" w:firstLine="270"/>
              <w:rPr>
                <w:rFonts w:ascii="Times New Roman" w:hAnsi="Times New Roman" w:cs="Times New Roman"/>
                <w:sz w:val="18"/>
                <w:szCs w:val="18"/>
              </w:rPr>
            </w:pPr>
            <w:r>
              <w:rPr>
                <w:rFonts w:ascii="Times New Roman" w:hAnsi="Times New Roman" w:cs="Times New Roman" w:eastAsiaTheme="minorEastAsia"/>
                <w:w w:val="75"/>
                <w:sz w:val="18"/>
                <w:szCs w:val="18"/>
              </w:rPr>
              <w:t>Ⅰ</w:t>
            </w:r>
            <w:r>
              <w:rPr>
                <w:rFonts w:ascii="Times New Roman" w:hAnsi="Times New Roman" w:cs="Times New Roman"/>
                <w:sz w:val="18"/>
                <w:szCs w:val="18"/>
              </w:rPr>
              <w:t>级（社会级）预警</w:t>
            </w:r>
          </w:p>
        </w:tc>
        <w:tc>
          <w:tcPr>
            <w:tcW w:w="3715" w:type="dxa"/>
            <w:tcBorders>
              <w:top w:val="single" w:color="000000" w:sz="4" w:space="0"/>
              <w:left w:val="single" w:color="000000" w:sz="4" w:space="0"/>
              <w:right w:val="single" w:color="000000" w:sz="4" w:space="0"/>
            </w:tcBorders>
            <w:vAlign w:val="center"/>
          </w:tcPr>
          <w:p>
            <w:pPr>
              <w:pStyle w:val="103"/>
              <w:spacing w:before="49" w:line="240" w:lineRule="auto"/>
              <w:ind w:right="457" w:firstLine="0" w:firstLineChars="0"/>
              <w:rPr>
                <w:rFonts w:ascii="Times New Roman" w:hAnsi="Times New Roman" w:cs="Times New Roman"/>
                <w:sz w:val="18"/>
                <w:szCs w:val="18"/>
              </w:rPr>
            </w:pPr>
            <w:r>
              <w:rPr>
                <w:rFonts w:ascii="Times New Roman" w:hAnsi="Times New Roman" w:cs="Times New Roman"/>
                <w:w w:val="75"/>
                <w:sz w:val="18"/>
                <w:szCs w:val="18"/>
              </w:rPr>
              <w:t>Ⅰ</w:t>
            </w:r>
            <w:r>
              <w:rPr>
                <w:rFonts w:ascii="Times New Roman" w:hAnsi="Times New Roman" w:cs="Times New Roman"/>
                <w:sz w:val="18"/>
                <w:szCs w:val="18"/>
              </w:rPr>
              <w:t>级（社会级）突发环境事件</w:t>
            </w:r>
          </w:p>
        </w:tc>
        <w:tc>
          <w:tcPr>
            <w:tcW w:w="3635" w:type="dxa"/>
            <w:tcBorders>
              <w:top w:val="single" w:color="000000" w:sz="4" w:space="0"/>
              <w:left w:val="single" w:color="000000" w:sz="4" w:space="0"/>
              <w:right w:val="nil"/>
            </w:tcBorders>
            <w:vAlign w:val="center"/>
          </w:tcPr>
          <w:p>
            <w:pPr>
              <w:pStyle w:val="103"/>
              <w:spacing w:before="49" w:line="240" w:lineRule="auto"/>
              <w:ind w:left="124" w:right="104" w:firstLine="360"/>
              <w:rPr>
                <w:rFonts w:ascii="Times New Roman" w:hAnsi="Times New Roman" w:cs="Times New Roman"/>
                <w:sz w:val="18"/>
                <w:szCs w:val="18"/>
              </w:rPr>
            </w:pPr>
            <w:r>
              <w:rPr>
                <w:rFonts w:ascii="Times New Roman" w:hAnsi="Times New Roman" w:cs="Times New Roman"/>
                <w:sz w:val="18"/>
                <w:szCs w:val="18"/>
              </w:rPr>
              <w:t>火灾事故引发的次生环境事件</w:t>
            </w:r>
          </w:p>
        </w:tc>
      </w:tr>
    </w:tbl>
    <w:p>
      <w:pPr>
        <w:ind w:firstLine="480"/>
        <w:rPr>
          <w:rFonts w:ascii="Times New Roman" w:hAnsi="Times New Roman" w:eastAsia="宋体" w:cs="Times New Roman"/>
          <w:szCs w:val="24"/>
        </w:rPr>
      </w:pPr>
      <w:r>
        <w:rPr>
          <w:rFonts w:ascii="Times New Roman" w:hAnsi="Times New Roman" w:eastAsia="宋体" w:cs="Times New Roman"/>
          <w:szCs w:val="24"/>
        </w:rPr>
        <w:t>国家环境事故应急预案按照突发事件严重性、紧急程度和可能波及的范围，突发环境事件的预警分为四级，预警级别由低到高，颜色依次为蓝色、黄色、橙色、红色，根据事态的发展情况和采取措施的效果，预警颜色可以升级、降级或解除。根据本厂区突发环境事件等级，预警分为黄色、橙色、红色三级，收集到的有关信息证明突发环境事件即将发生或者发生的可能性增大时，按照相关应急预案执行。赤壁恒瑞非织造材料有限公司预警情况见表5.2-1。</w:t>
      </w:r>
    </w:p>
    <w:p>
      <w:pPr>
        <w:spacing w:line="240" w:lineRule="auto"/>
        <w:ind w:firstLine="0" w:firstLineChars="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表5.2-2  预警级别情况一览表</w:t>
      </w:r>
    </w:p>
    <w:tbl>
      <w:tblPr>
        <w:tblStyle w:val="36"/>
        <w:tblW w:w="996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8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8" w:type="dxa"/>
            <w:tcBorders>
              <w:bottom w:val="single" w:color="auto" w:sz="12" w:space="0"/>
            </w:tcBorders>
          </w:tcPr>
          <w:p>
            <w:pPr>
              <w:spacing w:line="240" w:lineRule="auto"/>
              <w:ind w:firstLine="0" w:firstLineChars="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预警类型</w:t>
            </w:r>
          </w:p>
        </w:tc>
        <w:tc>
          <w:tcPr>
            <w:tcW w:w="8704" w:type="dxa"/>
            <w:tcBorders>
              <w:bottom w:val="single" w:color="auto" w:sz="12" w:space="0"/>
            </w:tcBorders>
          </w:tcPr>
          <w:p>
            <w:pPr>
              <w:spacing w:line="240" w:lineRule="auto"/>
              <w:ind w:firstLine="0" w:firstLineChars="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事故类型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8" w:type="dxa"/>
            <w:tcBorders>
              <w:top w:val="single" w:color="auto" w:sz="12" w:space="0"/>
              <w:bottom w:val="single" w:color="auto" w:sz="4" w:space="0"/>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黄色（3级）</w:t>
            </w:r>
          </w:p>
        </w:tc>
        <w:tc>
          <w:tcPr>
            <w:tcW w:w="8704" w:type="dxa"/>
            <w:tcBorders>
              <w:top w:val="single" w:color="auto" w:sz="12" w:space="0"/>
              <w:bottom w:val="single" w:color="auto" w:sz="4" w:space="0"/>
            </w:tcBorders>
          </w:tcPr>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（1）生产车间设备、危化品间发生少量泄漏可及时采取补救措施的；</w:t>
            </w:r>
          </w:p>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（2）废水处理效率降低但能达标处理的情况；生产设备开停机、非正常排放废气能完全收集并有效处置的；</w:t>
            </w:r>
          </w:p>
          <w:p>
            <w:pPr>
              <w:widowControl/>
              <w:adjustRightInd w:val="0"/>
              <w:snapToGrid w:val="0"/>
              <w:spacing w:line="240" w:lineRule="auto"/>
              <w:ind w:firstLine="0" w:firstLineChars="0"/>
              <w:rPr>
                <w:rFonts w:ascii="Times New Roman" w:hAnsi="Times New Roman" w:eastAsia="宋体" w:cs="Times New Roman"/>
              </w:rPr>
            </w:pPr>
            <w:r>
              <w:rPr>
                <w:rFonts w:ascii="Times New Roman" w:hAnsi="Times New Roman" w:eastAsia="宋体" w:cs="Times New Roman"/>
                <w:kern w:val="0"/>
                <w:sz w:val="18"/>
                <w:szCs w:val="18"/>
              </w:rPr>
              <w:t>（3）危废暂存间管理不当，危险废物发生少量泄露及时采取补救措施的；</w:t>
            </w:r>
          </w:p>
          <w:p>
            <w:pPr>
              <w:widowControl/>
              <w:adjustRightInd w:val="0"/>
              <w:snapToGrid w:val="0"/>
              <w:spacing w:line="240" w:lineRule="auto"/>
              <w:ind w:firstLine="0" w:firstLineChars="0"/>
              <w:rPr>
                <w:rFonts w:ascii="Times New Roman" w:hAnsi="Times New Roman" w:eastAsia="宋体" w:cs="Times New Roman"/>
                <w:sz w:val="18"/>
                <w:szCs w:val="18"/>
                <w:highlight w:val="yellow"/>
              </w:rPr>
            </w:pPr>
            <w:r>
              <w:rPr>
                <w:rFonts w:ascii="Times New Roman" w:hAnsi="Times New Roman" w:eastAsia="宋体" w:cs="Times New Roman"/>
                <w:kern w:val="0"/>
                <w:sz w:val="18"/>
                <w:szCs w:val="18"/>
              </w:rPr>
              <w:t>（4）因泄漏、火灾事故导致3人以下的中毒或重伤的；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8" w:type="dxa"/>
            <w:tcBorders>
              <w:top w:val="single" w:color="auto" w:sz="4" w:space="0"/>
              <w:bottom w:val="single" w:color="auto" w:sz="4" w:space="0"/>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橙色（2级）</w:t>
            </w:r>
          </w:p>
        </w:tc>
        <w:tc>
          <w:tcPr>
            <w:tcW w:w="8704" w:type="dxa"/>
            <w:tcBorders>
              <w:top w:val="single" w:color="auto" w:sz="4" w:space="0"/>
              <w:bottom w:val="single" w:color="auto" w:sz="4" w:space="0"/>
            </w:tcBorders>
          </w:tcPr>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（1）生产车间、危化品间发生火灾事故，企业内部消防力量可控制事态，消防废水</w:t>
            </w:r>
            <w:r>
              <w:rPr>
                <w:rFonts w:ascii="Times New Roman" w:hAnsi="Times New Roman" w:eastAsia="宋体" w:cs="Times New Roman"/>
                <w:sz w:val="18"/>
                <w:szCs w:val="18"/>
              </w:rPr>
              <w:t>可控制在公司内，不外排至厂区外</w:t>
            </w:r>
            <w:r>
              <w:rPr>
                <w:rFonts w:ascii="Times New Roman" w:hAnsi="Times New Roman" w:eastAsia="宋体" w:cs="Times New Roman"/>
                <w:kern w:val="0"/>
                <w:sz w:val="18"/>
                <w:szCs w:val="18"/>
              </w:rPr>
              <w:t>；</w:t>
            </w:r>
          </w:p>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（2）生产装置、危化品包装桶破裂导致物料泄漏，泄漏的物料产生挥发性气体仅对厂内员工造成伤害的；</w:t>
            </w:r>
          </w:p>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（3）因火灾爆炸、环境污染直接导致3人以下死亡或10人以下中毒或重伤的；</w:t>
            </w:r>
          </w:p>
          <w:p>
            <w:pPr>
              <w:widowControl/>
              <w:adjustRightInd w:val="0"/>
              <w:snapToGrid w:val="0"/>
              <w:spacing w:line="240" w:lineRule="auto"/>
              <w:ind w:firstLine="0" w:firstLineChars="0"/>
              <w:rPr>
                <w:rFonts w:ascii="Times New Roman" w:hAnsi="Times New Roman" w:eastAsia="宋体" w:cs="Times New Roman"/>
                <w:sz w:val="18"/>
                <w:szCs w:val="18"/>
                <w:highlight w:val="yellow"/>
              </w:rPr>
            </w:pPr>
            <w:r>
              <w:rPr>
                <w:rFonts w:ascii="Times New Roman" w:hAnsi="Times New Roman" w:eastAsia="宋体" w:cs="Times New Roman"/>
                <w:kern w:val="0"/>
                <w:sz w:val="18"/>
                <w:szCs w:val="18"/>
              </w:rPr>
              <w:t>（4）因环境污染造成直接经济损失500万元以下的；因环境污染疏散、转移人员1万人以下的；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红色（1级）</w:t>
            </w:r>
          </w:p>
        </w:tc>
        <w:tc>
          <w:tcPr>
            <w:tcW w:w="8704" w:type="dxa"/>
          </w:tcPr>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（1）生产车间、危化品间发生大面积火灾、爆炸事故，对厂外环境和人群健康产生严重影响的；</w:t>
            </w:r>
          </w:p>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（2）危化品包装桶破裂导致物料泄漏产生挥发性气体对厂区外人群伤害；</w:t>
            </w:r>
          </w:p>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（3）厂内生产装置开停机及非正常运行阶段，废气超标排放，未有效处理影响周边大气环境的；</w:t>
            </w:r>
          </w:p>
          <w:p>
            <w:pPr>
              <w:widowControl/>
              <w:adjustRightInd w:val="0"/>
              <w:snapToGrid w:val="0"/>
              <w:spacing w:line="240" w:lineRule="auto"/>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（4）因环境污染直接导致3人以上10人以下死亡或10人以上50人以下中毒或重伤的；</w:t>
            </w:r>
          </w:p>
          <w:p>
            <w:pPr>
              <w:widowControl/>
              <w:adjustRightInd w:val="0"/>
              <w:snapToGrid w:val="0"/>
              <w:spacing w:line="240" w:lineRule="auto"/>
              <w:ind w:firstLine="0" w:firstLineChars="0"/>
              <w:rPr>
                <w:rFonts w:ascii="Times New Roman" w:hAnsi="Times New Roman" w:eastAsia="宋体" w:cs="Times New Roman"/>
                <w:sz w:val="18"/>
                <w:szCs w:val="18"/>
                <w:highlight w:val="yellow"/>
              </w:rPr>
            </w:pPr>
            <w:r>
              <w:rPr>
                <w:rFonts w:ascii="Times New Roman" w:hAnsi="Times New Roman" w:eastAsia="宋体" w:cs="Times New Roman"/>
                <w:kern w:val="0"/>
                <w:sz w:val="18"/>
                <w:szCs w:val="18"/>
              </w:rPr>
              <w:t>（5）因环境污染造成直接经济损失500万元以上的；因环境污染疏散、转移人员1万人以上的；</w:t>
            </w:r>
          </w:p>
        </w:tc>
      </w:tr>
      <w:bookmarkEnd w:id="422"/>
      <w:bookmarkEnd w:id="423"/>
    </w:tbl>
    <w:p>
      <w:pPr>
        <w:pStyle w:val="8"/>
        <w:spacing w:before="180" w:after="180"/>
        <w:rPr>
          <w:rFonts w:eastAsia="宋体" w:cs="Times New Roman"/>
          <w:sz w:val="28"/>
          <w:szCs w:val="28"/>
        </w:rPr>
      </w:pPr>
      <w:bookmarkStart w:id="424" w:name="_Toc509234786"/>
      <w:bookmarkStart w:id="425" w:name="_Toc510164061"/>
      <w:bookmarkStart w:id="426" w:name="_Toc132468790"/>
      <w:bookmarkStart w:id="427" w:name="_Toc16648"/>
      <w:bookmarkStart w:id="428" w:name="_Toc529542584"/>
      <w:bookmarkStart w:id="429" w:name="_Toc523160335"/>
      <w:bookmarkStart w:id="430" w:name="_Toc16735"/>
      <w:r>
        <w:rPr>
          <w:rFonts w:eastAsia="宋体" w:cs="Times New Roman"/>
          <w:sz w:val="28"/>
          <w:szCs w:val="28"/>
        </w:rPr>
        <w:t>5.2.3预警方式</w:t>
      </w:r>
      <w:bookmarkEnd w:id="424"/>
      <w:bookmarkEnd w:id="425"/>
      <w:bookmarkEnd w:id="426"/>
      <w:bookmarkEnd w:id="427"/>
      <w:bookmarkEnd w:id="428"/>
      <w:bookmarkEnd w:id="429"/>
      <w:bookmarkEnd w:id="430"/>
    </w:p>
    <w:p>
      <w:pPr>
        <w:ind w:firstLine="480"/>
        <w:rPr>
          <w:rFonts w:ascii="Times New Roman" w:hAnsi="Times New Roman" w:eastAsia="宋体" w:cs="Times New Roman"/>
          <w:szCs w:val="24"/>
        </w:rPr>
      </w:pPr>
      <w:bookmarkStart w:id="431" w:name="_Toc509234787"/>
      <w:bookmarkStart w:id="432" w:name="_Toc510164062"/>
      <w:r>
        <w:rPr>
          <w:rFonts w:ascii="Times New Roman" w:hAnsi="Times New Roman" w:eastAsia="宋体" w:cs="Times New Roman"/>
          <w:szCs w:val="24"/>
        </w:rPr>
        <w:t>预警方式主要内容有通讯信息传递工具，</w:t>
      </w:r>
      <w:r>
        <w:rPr>
          <w:rFonts w:ascii="Times New Roman" w:hAnsi="Times New Roman" w:eastAsia="宋体" w:cs="Times New Roman"/>
          <w:szCs w:val="24"/>
          <w:u w:val="single"/>
        </w:rPr>
        <w:t>即电话、扩音喇叭</w:t>
      </w:r>
      <w:r>
        <w:rPr>
          <w:rFonts w:ascii="Times New Roman" w:hAnsi="Times New Roman" w:eastAsia="宋体" w:cs="Times New Roman"/>
          <w:szCs w:val="24"/>
        </w:rPr>
        <w:t>；通讯工具的维修人员要保证通讯工具的畅通、完好，以使环境风险预警信息能快速、准确的传递，具体措施：</w:t>
      </w:r>
    </w:p>
    <w:p>
      <w:pPr>
        <w:ind w:firstLine="480"/>
        <w:rPr>
          <w:rFonts w:ascii="Times New Roman" w:hAnsi="Times New Roman" w:eastAsia="宋体" w:cs="Times New Roman"/>
          <w:szCs w:val="24"/>
        </w:rPr>
      </w:pPr>
      <w:r>
        <w:rPr>
          <w:rFonts w:ascii="Times New Roman" w:hAnsi="Times New Roman" w:eastAsia="宋体" w:cs="Times New Roman"/>
          <w:szCs w:val="24"/>
        </w:rPr>
        <w:t>一般危险事件采用固定电话、手机；</w:t>
      </w:r>
    </w:p>
    <w:p>
      <w:pPr>
        <w:ind w:firstLine="480"/>
        <w:rPr>
          <w:rFonts w:ascii="Times New Roman" w:hAnsi="Times New Roman" w:eastAsia="宋体" w:cs="Times New Roman"/>
          <w:szCs w:val="24"/>
        </w:rPr>
      </w:pPr>
      <w:r>
        <w:rPr>
          <w:rFonts w:ascii="Times New Roman" w:hAnsi="Times New Roman" w:eastAsia="宋体" w:cs="Times New Roman"/>
          <w:szCs w:val="24"/>
        </w:rPr>
        <w:t>较大和重大事件采用手机、扩音喇叭；</w:t>
      </w:r>
    </w:p>
    <w:p>
      <w:pPr>
        <w:ind w:firstLine="480"/>
        <w:rPr>
          <w:rFonts w:ascii="Times New Roman" w:hAnsi="Times New Roman" w:eastAsia="宋体" w:cs="Times New Roman"/>
          <w:szCs w:val="24"/>
        </w:rPr>
      </w:pPr>
      <w:r>
        <w:rPr>
          <w:rFonts w:ascii="Times New Roman" w:hAnsi="Times New Roman" w:eastAsia="宋体" w:cs="Times New Roman"/>
          <w:szCs w:val="24"/>
        </w:rPr>
        <w:t>若是火灾事故采用扩音喇叭、火警电话。</w:t>
      </w:r>
    </w:p>
    <w:p>
      <w:pPr>
        <w:pStyle w:val="8"/>
        <w:spacing w:before="180" w:after="180"/>
        <w:rPr>
          <w:rFonts w:eastAsia="宋体" w:cs="Times New Roman"/>
          <w:sz w:val="28"/>
          <w:szCs w:val="28"/>
        </w:rPr>
      </w:pPr>
      <w:bookmarkStart w:id="433" w:name="_Toc28228"/>
      <w:bookmarkStart w:id="434" w:name="_Toc523160336"/>
      <w:bookmarkStart w:id="435" w:name="_Toc529542585"/>
      <w:bookmarkStart w:id="436" w:name="_Toc132468791"/>
      <w:bookmarkStart w:id="437" w:name="_Toc17540"/>
      <w:r>
        <w:rPr>
          <w:rFonts w:eastAsia="宋体" w:cs="Times New Roman"/>
          <w:sz w:val="28"/>
          <w:szCs w:val="28"/>
        </w:rPr>
        <w:t>5.2.4预警报告程序</w:t>
      </w:r>
      <w:bookmarkEnd w:id="431"/>
      <w:bookmarkEnd w:id="432"/>
      <w:bookmarkEnd w:id="433"/>
      <w:bookmarkEnd w:id="434"/>
      <w:bookmarkEnd w:id="435"/>
      <w:bookmarkEnd w:id="436"/>
      <w:bookmarkEnd w:id="437"/>
    </w:p>
    <w:p>
      <w:pPr>
        <w:ind w:firstLine="482"/>
        <w:rPr>
          <w:rFonts w:ascii="Times New Roman" w:hAnsi="Times New Roman" w:eastAsia="宋体" w:cs="Times New Roman"/>
          <w:b/>
          <w:bCs/>
          <w:szCs w:val="24"/>
        </w:rPr>
      </w:pPr>
      <w:r>
        <w:rPr>
          <w:rFonts w:ascii="Times New Roman" w:hAnsi="Times New Roman" w:eastAsia="宋体" w:cs="Times New Roman"/>
          <w:b/>
          <w:bCs/>
          <w:szCs w:val="24"/>
        </w:rPr>
        <w:t>（</w:t>
      </w:r>
      <w:r>
        <w:rPr>
          <w:rFonts w:ascii="Times New Roman" w:hAnsi="Times New Roman" w:eastAsia="宋体" w:cs="Times New Roman"/>
          <w:b/>
          <w:bCs/>
          <w:szCs w:val="24"/>
        </w:rPr>
        <w:fldChar w:fldCharType="begin"/>
      </w:r>
      <w:r>
        <w:rPr>
          <w:rFonts w:ascii="Times New Roman" w:hAnsi="Times New Roman" w:eastAsia="宋体" w:cs="Times New Roman"/>
          <w:b/>
          <w:bCs/>
          <w:szCs w:val="24"/>
        </w:rPr>
        <w:instrText xml:space="preserve"> = 1 \* ROMAN \* MERGEFORMAT </w:instrText>
      </w:r>
      <w:r>
        <w:rPr>
          <w:rFonts w:ascii="Times New Roman" w:hAnsi="Times New Roman" w:eastAsia="宋体" w:cs="Times New Roman"/>
          <w:b/>
          <w:bCs/>
          <w:szCs w:val="24"/>
        </w:rPr>
        <w:fldChar w:fldCharType="separate"/>
      </w:r>
      <w:r>
        <w:rPr>
          <w:rFonts w:ascii="Times New Roman" w:hAnsi="Times New Roman" w:eastAsia="宋体" w:cs="Times New Roman"/>
          <w:sz w:val="21"/>
        </w:rPr>
        <w:t>I</w:t>
      </w:r>
      <w:r>
        <w:rPr>
          <w:rFonts w:ascii="Times New Roman" w:hAnsi="Times New Roman" w:eastAsia="宋体" w:cs="Times New Roman"/>
          <w:b/>
          <w:bCs/>
          <w:szCs w:val="24"/>
        </w:rPr>
        <w:fldChar w:fldCharType="end"/>
      </w:r>
      <w:r>
        <w:rPr>
          <w:rFonts w:ascii="Times New Roman" w:hAnsi="Times New Roman" w:eastAsia="宋体" w:cs="Times New Roman"/>
          <w:b/>
          <w:bCs/>
          <w:szCs w:val="24"/>
        </w:rPr>
        <w:t>）接警</w:t>
      </w:r>
    </w:p>
    <w:p>
      <w:pPr>
        <w:ind w:firstLine="480"/>
        <w:rPr>
          <w:rFonts w:ascii="Times New Roman" w:hAnsi="Times New Roman" w:eastAsia="宋体" w:cs="Times New Roman"/>
          <w:szCs w:val="24"/>
        </w:rPr>
      </w:pPr>
      <w:r>
        <w:rPr>
          <w:rFonts w:ascii="Times New Roman" w:hAnsi="Times New Roman" w:eastAsia="宋体" w:cs="Times New Roman"/>
          <w:szCs w:val="24"/>
        </w:rPr>
        <w:t>现场人员发现事故隐患或者征兆时，立即通知厂区值班领导（在事态紧急情况下可直接越级上报，现场人员直接上报给指挥部），值班领导根据现场人员上报的信息进行核实确认后上报指挥部，指挥部进行信息研判，确定是否要发布预警。如若需要发布预警则立即通知应急救援办公室。应急救援办公室各成员组织好各自应急组做好应急准备，立即赶到现场对事态进行控制。若经现场处置后，事态得到控制，则解除预警；若事态未能得到控制，但未达到启动应急预案条件则进行预警升级；若事故能得到有效控制，已发生突发环境事件，则启动应急预案，进行应急响应程序。</w:t>
      </w:r>
    </w:p>
    <w:p>
      <w:pPr>
        <w:ind w:firstLine="480"/>
        <w:rPr>
          <w:rFonts w:ascii="Times New Roman" w:hAnsi="Times New Roman" w:eastAsia="宋体" w:cs="Times New Roman"/>
          <w:szCs w:val="24"/>
        </w:rPr>
      </w:pPr>
      <w:r>
        <w:rPr>
          <w:rFonts w:ascii="Times New Roman" w:hAnsi="Times New Roman" w:eastAsia="宋体" w:cs="Times New Roman"/>
          <w:szCs w:val="24"/>
        </w:rPr>
        <w:t>厂区每个工艺环节标志岗位负责人与联系方式，以及24小时应急值守电话。报警方式包括：呼救、电话（包括手机）、报警系统等。</w:t>
      </w:r>
    </w:p>
    <w:p>
      <w:pPr>
        <w:ind w:firstLine="482"/>
        <w:rPr>
          <w:rFonts w:ascii="Times New Roman" w:hAnsi="Times New Roman" w:eastAsia="宋体" w:cs="Times New Roman"/>
          <w:b/>
          <w:bCs/>
          <w:szCs w:val="24"/>
        </w:rPr>
      </w:pPr>
      <w:r>
        <w:rPr>
          <w:rFonts w:ascii="Times New Roman" w:hAnsi="Times New Roman" w:eastAsia="宋体" w:cs="Times New Roman"/>
          <w:b/>
          <w:bCs/>
          <w:szCs w:val="24"/>
        </w:rPr>
        <w:t>（</w:t>
      </w:r>
      <w:r>
        <w:rPr>
          <w:rFonts w:ascii="Times New Roman" w:hAnsi="Times New Roman" w:eastAsia="宋体" w:cs="Times New Roman"/>
          <w:b/>
          <w:bCs/>
          <w:szCs w:val="24"/>
        </w:rPr>
        <w:fldChar w:fldCharType="begin"/>
      </w:r>
      <w:r>
        <w:rPr>
          <w:rFonts w:ascii="Times New Roman" w:hAnsi="Times New Roman" w:eastAsia="宋体" w:cs="Times New Roman"/>
          <w:b/>
          <w:bCs/>
          <w:szCs w:val="24"/>
        </w:rPr>
        <w:instrText xml:space="preserve"> = 2 \* ROMAN \* MERGEFORMAT </w:instrText>
      </w:r>
      <w:r>
        <w:rPr>
          <w:rFonts w:ascii="Times New Roman" w:hAnsi="Times New Roman" w:eastAsia="宋体" w:cs="Times New Roman"/>
          <w:b/>
          <w:bCs/>
          <w:szCs w:val="24"/>
        </w:rPr>
        <w:fldChar w:fldCharType="separate"/>
      </w:r>
      <w:r>
        <w:rPr>
          <w:rFonts w:ascii="Times New Roman" w:hAnsi="Times New Roman" w:eastAsia="宋体" w:cs="Times New Roman"/>
          <w:b/>
          <w:bCs/>
          <w:sz w:val="21"/>
        </w:rPr>
        <w:t>II</w:t>
      </w:r>
      <w:r>
        <w:rPr>
          <w:rFonts w:ascii="Times New Roman" w:hAnsi="Times New Roman" w:eastAsia="宋体" w:cs="Times New Roman"/>
          <w:b/>
          <w:bCs/>
          <w:szCs w:val="24"/>
        </w:rPr>
        <w:fldChar w:fldCharType="end"/>
      </w:r>
      <w:r>
        <w:rPr>
          <w:rFonts w:ascii="Times New Roman" w:hAnsi="Times New Roman" w:eastAsia="宋体" w:cs="Times New Roman"/>
          <w:b/>
          <w:bCs/>
          <w:szCs w:val="24"/>
        </w:rPr>
        <w:t>）预警研判</w:t>
      </w:r>
    </w:p>
    <w:p>
      <w:pPr>
        <w:ind w:firstLine="480"/>
        <w:rPr>
          <w:rFonts w:ascii="Times New Roman" w:hAnsi="Times New Roman" w:eastAsia="宋体" w:cs="Times New Roman"/>
          <w:szCs w:val="24"/>
        </w:rPr>
      </w:pPr>
      <w:r>
        <w:rPr>
          <w:rFonts w:ascii="Times New Roman" w:hAnsi="Times New Roman" w:eastAsia="宋体" w:cs="Times New Roman"/>
          <w:szCs w:val="24"/>
        </w:rPr>
        <w:t>厂区在接到警报时，</w:t>
      </w:r>
      <w:r>
        <w:rPr>
          <w:rFonts w:ascii="Times New Roman" w:hAnsi="Times New Roman" w:eastAsia="宋体" w:cs="Times New Roman"/>
          <w:kern w:val="0"/>
          <w:szCs w:val="24"/>
        </w:rPr>
        <w:t>公司负责人应先对报</w:t>
      </w:r>
      <w:r>
        <w:rPr>
          <w:rFonts w:ascii="Times New Roman" w:hAnsi="Times New Roman" w:eastAsia="宋体" w:cs="Times New Roman"/>
          <w:szCs w:val="24"/>
        </w:rPr>
        <w:t>警信息进行初步的研判，若确定为假警时，针对预警的内容进行相应的信息处置；若确定报警信息如实，则上报应急指挥部，应急指挥部根据事态初判，必要时可同时安排人员进行先期处置，采取相应的防范措施，避免事态进一步恶化；然后根据有关部门和专家组分析，根据预报信息分析对该事件的危害程度、紧急程度和发展态势进行会商确定事态情形以及预警级别。</w:t>
      </w:r>
    </w:p>
    <w:p>
      <w:pPr>
        <w:ind w:firstLine="0" w:firstLineChars="0"/>
        <w:jc w:val="center"/>
        <w:rPr>
          <w:rFonts w:ascii="Times New Roman" w:hAnsi="Times New Roman" w:eastAsia="宋体" w:cs="Times New Roman"/>
          <w:sz w:val="21"/>
        </w:rPr>
      </w:pPr>
      <w:r>
        <w:rPr>
          <w:rFonts w:ascii="Times New Roman" w:hAnsi="Times New Roman" w:eastAsia="宋体" w:cs="Times New Roman"/>
          <w:sz w:val="21"/>
        </w:rPr>
        <w:object>
          <v:shape id="_x0000_i1027" o:spt="75" type="#_x0000_t75" style="height:657.75pt;width:341.25pt;" o:ole="t" filled="f" o:preferrelative="t" stroked="f" coordsize="21600,21600">
            <v:path/>
            <v:fill on="f" focussize="0,0"/>
            <v:stroke on="f" joinstyle="miter"/>
            <v:imagedata r:id="rId33" o:title=""/>
            <o:lock v:ext="edit" aspectratio="t"/>
            <w10:wrap type="none"/>
            <w10:anchorlock/>
          </v:shape>
          <o:OLEObject Type="Embed" ProgID="Visio.Drawing.11" ShapeID="_x0000_i1027" DrawAspect="Content" ObjectID="_1468075727" r:id="rId32">
            <o:LockedField>false</o:LockedField>
          </o:OLEObject>
        </w:object>
      </w:r>
    </w:p>
    <w:p>
      <w:pPr>
        <w:ind w:firstLine="0" w:firstLineChars="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图5.2-1  预警程序</w:t>
      </w:r>
    </w:p>
    <w:p>
      <w:pPr>
        <w:pStyle w:val="7"/>
        <w:spacing w:before="260" w:after="260"/>
        <w:rPr>
          <w:rFonts w:ascii="Times New Roman" w:hAnsi="Times New Roman" w:eastAsia="宋体" w:cs="Times New Roman"/>
          <w:sz w:val="30"/>
          <w:szCs w:val="30"/>
        </w:rPr>
      </w:pPr>
      <w:bookmarkStart w:id="438" w:name="_Toc515435514"/>
      <w:bookmarkStart w:id="439" w:name="_Toc523160337"/>
      <w:bookmarkStart w:id="440" w:name="_Toc523160155"/>
      <w:bookmarkStart w:id="441" w:name="_Toc529542586"/>
      <w:bookmarkStart w:id="442" w:name="_Toc24263"/>
      <w:bookmarkStart w:id="443" w:name="_Toc11494"/>
      <w:bookmarkStart w:id="444" w:name="_Toc132468792"/>
      <w:bookmarkStart w:id="445" w:name="_Toc510164079"/>
      <w:bookmarkStart w:id="446" w:name="_Toc509234804"/>
      <w:bookmarkStart w:id="447" w:name="_Toc510164327"/>
      <w:bookmarkStart w:id="448" w:name="_Toc510164490"/>
      <w:r>
        <w:rPr>
          <w:rFonts w:ascii="Times New Roman" w:hAnsi="Times New Roman" w:eastAsia="宋体" w:cs="Times New Roman"/>
          <w:sz w:val="30"/>
          <w:szCs w:val="30"/>
        </w:rPr>
        <w:t>5.3预警发布与</w:t>
      </w:r>
      <w:bookmarkEnd w:id="438"/>
      <w:r>
        <w:rPr>
          <w:rFonts w:ascii="Times New Roman" w:hAnsi="Times New Roman" w:eastAsia="宋体" w:cs="Times New Roman"/>
          <w:sz w:val="30"/>
          <w:szCs w:val="30"/>
        </w:rPr>
        <w:t>措施</w:t>
      </w:r>
      <w:bookmarkEnd w:id="439"/>
      <w:bookmarkEnd w:id="440"/>
      <w:bookmarkEnd w:id="441"/>
      <w:bookmarkEnd w:id="442"/>
      <w:bookmarkEnd w:id="443"/>
      <w:bookmarkEnd w:id="444"/>
    </w:p>
    <w:p>
      <w:pPr>
        <w:pStyle w:val="8"/>
        <w:spacing w:before="180" w:after="180"/>
        <w:rPr>
          <w:rFonts w:eastAsia="宋体" w:cs="Times New Roman"/>
          <w:sz w:val="28"/>
          <w:szCs w:val="28"/>
        </w:rPr>
      </w:pPr>
      <w:bookmarkStart w:id="449" w:name="_Toc515435515"/>
      <w:bookmarkStart w:id="450" w:name="_Toc523160338"/>
      <w:bookmarkStart w:id="451" w:name="_Toc132468793"/>
      <w:bookmarkStart w:id="452" w:name="_Toc5190"/>
      <w:bookmarkStart w:id="453" w:name="_Toc29503"/>
      <w:bookmarkStart w:id="454" w:name="_Toc529542587"/>
      <w:r>
        <w:rPr>
          <w:rFonts w:eastAsia="宋体" w:cs="Times New Roman"/>
          <w:sz w:val="28"/>
          <w:szCs w:val="28"/>
        </w:rPr>
        <w:t>5.3.1 预警发布</w:t>
      </w:r>
      <w:bookmarkEnd w:id="449"/>
      <w:bookmarkEnd w:id="450"/>
      <w:bookmarkEnd w:id="451"/>
      <w:bookmarkEnd w:id="452"/>
      <w:bookmarkEnd w:id="453"/>
      <w:bookmarkEnd w:id="454"/>
    </w:p>
    <w:p>
      <w:pPr>
        <w:autoSpaceDE w:val="0"/>
        <w:autoSpaceDN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明确预警信息后，发布预警，并采取行动对事态进行控制。发布预警应采取包括但不限于以下几点内容：</w:t>
      </w:r>
    </w:p>
    <w:p>
      <w:pPr>
        <w:autoSpaceDE w:val="0"/>
        <w:autoSpaceDN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（1）事故发生的时间、地点；</w:t>
      </w:r>
    </w:p>
    <w:p>
      <w:pPr>
        <w:autoSpaceDE w:val="0"/>
        <w:autoSpaceDN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（2）现场实际情况及已采取的措施；</w:t>
      </w:r>
    </w:p>
    <w:p>
      <w:pPr>
        <w:autoSpaceDE w:val="0"/>
        <w:autoSpaceDN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（3）如果预兆明显，马上可能发生事故，则应先避险后报告。</w:t>
      </w:r>
    </w:p>
    <w:p>
      <w:pPr>
        <w:autoSpaceDE w:val="0"/>
        <w:autoSpaceDN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指挥部确认发布预警由综合协调组负责通知周边企业单位和村委，联系方式详见附件。</w:t>
      </w:r>
    </w:p>
    <w:p>
      <w:pPr>
        <w:pStyle w:val="8"/>
        <w:spacing w:before="180" w:after="180"/>
        <w:rPr>
          <w:rFonts w:eastAsia="宋体" w:cs="Times New Roman"/>
          <w:sz w:val="28"/>
          <w:szCs w:val="28"/>
        </w:rPr>
      </w:pPr>
      <w:bookmarkStart w:id="455" w:name="_Toc25320"/>
      <w:bookmarkStart w:id="456" w:name="_Toc523160339"/>
      <w:bookmarkStart w:id="457" w:name="_Toc132468794"/>
      <w:bookmarkStart w:id="458" w:name="_Toc529542588"/>
      <w:bookmarkStart w:id="459" w:name="_Toc515435517"/>
      <w:bookmarkStart w:id="460" w:name="_Toc20386"/>
      <w:r>
        <w:rPr>
          <w:rFonts w:eastAsia="宋体" w:cs="Times New Roman"/>
          <w:sz w:val="28"/>
          <w:szCs w:val="28"/>
        </w:rPr>
        <w:t>5.3.2预警措施</w:t>
      </w:r>
      <w:bookmarkEnd w:id="455"/>
      <w:bookmarkEnd w:id="456"/>
      <w:bookmarkEnd w:id="457"/>
      <w:bookmarkEnd w:id="458"/>
      <w:bookmarkEnd w:id="459"/>
      <w:bookmarkEnd w:id="460"/>
    </w:p>
    <w:p>
      <w:pPr>
        <w:autoSpaceDE w:val="0"/>
        <w:autoSpaceDN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赤壁恒瑞非织造材料有限公司突发环境污染事件的预警，指的是当可能发生或已经发生环境突发事件时，怎样在第一时间内将危险信息传送给企业所有人员和周边涉及人员，以及怎样准备及进行应急救援工作，将人员伤害和经济损失降至最低。</w:t>
      </w:r>
    </w:p>
    <w:p>
      <w:pPr>
        <w:autoSpaceDE w:val="0"/>
        <w:autoSpaceDN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当公司收集到的有关信息能够证明突发环境事件即将发生或者发生的可能性增大时，必须要按照本应急预案执行。</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进入预警状态后，公司负责人何宽根据可能发生或者已经发生的突发环境事件的危害程度，及时上报给当地政府相关部门，政府相关部门及企业各部门应当迅速采取以下措施：</w:t>
      </w:r>
    </w:p>
    <w:p>
      <w:pPr>
        <w:ind w:firstLine="480"/>
        <w:rPr>
          <w:rFonts w:ascii="Times New Roman" w:hAnsi="Times New Roman" w:eastAsia="宋体" w:cs="Times New Roman"/>
        </w:rPr>
      </w:pPr>
      <w:r>
        <w:rPr>
          <w:rFonts w:ascii="Times New Roman" w:hAnsi="Times New Roman" w:eastAsia="宋体" w:cs="Times New Roman"/>
        </w:rPr>
        <w:t>（1）立即启动相应的突发环境事件应急预案；</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（2）发布预警公告。车间级预警由公司安保部负责发布；公司级预警上报环境保护部门决定发布；社会级预警上报</w:t>
      </w:r>
      <w:r>
        <w:rPr>
          <w:rFonts w:hint="eastAsia" w:ascii="Times New Roman" w:hAnsi="Times New Roman" w:eastAsia="宋体" w:cs="Times New Roman"/>
          <w:kern w:val="0"/>
          <w:szCs w:val="24"/>
        </w:rPr>
        <w:t>赤壁市人民政府</w:t>
      </w:r>
      <w:r>
        <w:rPr>
          <w:rFonts w:ascii="Times New Roman" w:hAnsi="Times New Roman" w:eastAsia="宋体" w:cs="Times New Roman"/>
          <w:kern w:val="0"/>
          <w:szCs w:val="24"/>
        </w:rPr>
        <w:t>决定发布。</w:t>
      </w:r>
    </w:p>
    <w:p>
      <w:pPr>
        <w:ind w:firstLine="480"/>
        <w:rPr>
          <w:rFonts w:ascii="Times New Roman" w:hAnsi="Times New Roman" w:eastAsia="宋体" w:cs="Times New Roman"/>
        </w:rPr>
      </w:pPr>
      <w:r>
        <w:rPr>
          <w:rFonts w:ascii="Times New Roman" w:hAnsi="Times New Roman" w:eastAsia="宋体" w:cs="Times New Roman"/>
        </w:rPr>
        <w:t>（3）转移、撤离或疏散可能受到危害的人员，并进行妥善安置；</w:t>
      </w:r>
    </w:p>
    <w:p>
      <w:pPr>
        <w:ind w:firstLine="480"/>
        <w:rPr>
          <w:rFonts w:ascii="Times New Roman" w:hAnsi="Times New Roman" w:eastAsia="宋体" w:cs="Times New Roman"/>
        </w:rPr>
      </w:pPr>
      <w:r>
        <w:rPr>
          <w:rFonts w:ascii="Times New Roman" w:hAnsi="Times New Roman" w:eastAsia="宋体" w:cs="Times New Roman"/>
        </w:rPr>
        <w:t>（4）指令各环境应急救援队伍进入应急状态，上报环境监测部门或者委托第三方环境监测单位立即开展应急监测，随时掌握并报告事态进展情况。</w:t>
      </w:r>
    </w:p>
    <w:p>
      <w:pPr>
        <w:ind w:firstLine="480"/>
        <w:rPr>
          <w:rFonts w:ascii="Times New Roman" w:hAnsi="Times New Roman" w:eastAsia="宋体" w:cs="Times New Roman"/>
        </w:rPr>
      </w:pPr>
      <w:r>
        <w:rPr>
          <w:rFonts w:ascii="Times New Roman" w:hAnsi="Times New Roman" w:eastAsia="宋体" w:cs="Times New Roman"/>
        </w:rPr>
        <w:t>（5）针对突发事件可能造成的危害，封闭、隔离或者限制使用有关场所，中止可能导致危害扩大的行为和活动；</w:t>
      </w:r>
    </w:p>
    <w:p>
      <w:pPr>
        <w:ind w:firstLine="480"/>
        <w:rPr>
          <w:rFonts w:ascii="Times New Roman" w:hAnsi="Times New Roman" w:eastAsia="宋体" w:cs="Times New Roman"/>
          <w:kern w:val="0"/>
          <w:szCs w:val="24"/>
        </w:rPr>
      </w:pPr>
      <w:r>
        <w:rPr>
          <w:rFonts w:ascii="Times New Roman" w:hAnsi="Times New Roman" w:eastAsia="宋体" w:cs="Times New Roman"/>
        </w:rPr>
        <w:t>（6）调集环境应急所需物资和设备，确保应急保障工作</w:t>
      </w:r>
      <w:r>
        <w:rPr>
          <w:rFonts w:ascii="Times New Roman" w:hAnsi="Times New Roman" w:eastAsia="宋体" w:cs="Times New Roman"/>
          <w:kern w:val="0"/>
          <w:szCs w:val="24"/>
        </w:rPr>
        <w:t>。</w:t>
      </w:r>
    </w:p>
    <w:p>
      <w:pPr>
        <w:pStyle w:val="7"/>
        <w:spacing w:before="260" w:after="260"/>
        <w:rPr>
          <w:rFonts w:ascii="Times New Roman" w:hAnsi="Times New Roman" w:eastAsia="宋体" w:cs="Times New Roman"/>
          <w:sz w:val="30"/>
          <w:szCs w:val="30"/>
        </w:rPr>
      </w:pPr>
      <w:bookmarkStart w:id="461" w:name="_Toc30514"/>
      <w:bookmarkStart w:id="462" w:name="_Toc523160340"/>
      <w:bookmarkStart w:id="463" w:name="_Toc523160156"/>
      <w:bookmarkStart w:id="464" w:name="_Toc18495"/>
      <w:bookmarkStart w:id="465" w:name="_Toc515435516"/>
      <w:bookmarkStart w:id="466" w:name="_Toc529542589"/>
      <w:bookmarkStart w:id="467" w:name="_Toc132468795"/>
      <w:r>
        <w:rPr>
          <w:rFonts w:ascii="Times New Roman" w:hAnsi="Times New Roman" w:eastAsia="宋体" w:cs="Times New Roman"/>
          <w:sz w:val="30"/>
          <w:szCs w:val="30"/>
        </w:rPr>
        <w:t>5.4 预警解除</w:t>
      </w:r>
      <w:bookmarkEnd w:id="461"/>
      <w:bookmarkEnd w:id="462"/>
      <w:bookmarkEnd w:id="463"/>
      <w:bookmarkEnd w:id="464"/>
      <w:bookmarkEnd w:id="465"/>
      <w:bookmarkEnd w:id="466"/>
      <w:bookmarkEnd w:id="467"/>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污染事故得到控制，应急救援指挥部下达预警警报解除命令。组织关闭警报，通过电话、对讲机等通讯方式宣布预警解除命令，通知内部各部门解除警戒，进入善后处理阶段。</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预警解除后，应急救援指挥部应继续履行职能，做好应急组织和善后处置。</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符合赤壁恒瑞非织造材料有限公司预警结束的条件如下：</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（1）事件现场得到控制，事件隐患已经解除；</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（2）对污染源采取了必要的防护措施，事件不会对环境造成影响。</w:t>
      </w:r>
    </w:p>
    <w:bookmarkEnd w:id="445"/>
    <w:bookmarkEnd w:id="446"/>
    <w:bookmarkEnd w:id="447"/>
    <w:bookmarkEnd w:id="448"/>
    <w:p>
      <w:pPr>
        <w:ind w:firstLine="480"/>
        <w:rPr>
          <w:rFonts w:ascii="Times New Roman" w:hAnsi="Times New Roman" w:eastAsia="宋体" w:cs="Times New Roman"/>
          <w:kern w:val="0"/>
          <w:szCs w:val="24"/>
        </w:rPr>
      </w:pPr>
    </w:p>
    <w:p>
      <w:pPr>
        <w:ind w:firstLine="480"/>
        <w:rPr>
          <w:rFonts w:ascii="Times New Roman" w:hAnsi="Times New Roman" w:eastAsia="宋体" w:cs="Times New Roman"/>
          <w:kern w:val="0"/>
          <w:szCs w:val="24"/>
        </w:rPr>
        <w:sectPr>
          <w:pgSz w:w="11906" w:h="16838"/>
          <w:pgMar w:top="1440" w:right="1080" w:bottom="1440" w:left="1080" w:header="851" w:footer="992" w:gutter="0"/>
          <w:pgNumType w:fmt="numberInDash"/>
          <w:cols w:space="425" w:num="1"/>
          <w:docGrid w:type="lines" w:linePitch="312" w:charSpace="0"/>
        </w:sectPr>
      </w:pPr>
    </w:p>
    <w:p>
      <w:pPr>
        <w:pStyle w:val="6"/>
        <w:spacing w:before="320" w:after="320"/>
        <w:rPr>
          <w:rFonts w:ascii="Times New Roman" w:hAnsi="Times New Roman" w:eastAsia="宋体" w:cs="Times New Roman"/>
          <w:sz w:val="32"/>
          <w:szCs w:val="32"/>
        </w:rPr>
      </w:pPr>
      <w:bookmarkStart w:id="468" w:name="_Toc27657"/>
      <w:bookmarkStart w:id="469" w:name="_Toc510164328"/>
      <w:bookmarkStart w:id="470" w:name="_Toc17905"/>
      <w:bookmarkStart w:id="471" w:name="_Toc523160341"/>
      <w:bookmarkStart w:id="472" w:name="_Toc523160157"/>
      <w:bookmarkStart w:id="473" w:name="_Toc510164080"/>
      <w:bookmarkStart w:id="474" w:name="_Toc509234805"/>
      <w:bookmarkStart w:id="475" w:name="_Toc132468796"/>
      <w:bookmarkStart w:id="476" w:name="_Toc510164491"/>
      <w:bookmarkStart w:id="477" w:name="_Toc529542590"/>
      <w:r>
        <w:rPr>
          <w:rFonts w:ascii="Times New Roman" w:hAnsi="Times New Roman" w:eastAsia="宋体" w:cs="Times New Roman"/>
          <w:sz w:val="32"/>
          <w:szCs w:val="32"/>
        </w:rPr>
        <w:t>6应急响应</w:t>
      </w:r>
      <w:bookmarkEnd w:id="468"/>
      <w:bookmarkEnd w:id="469"/>
      <w:bookmarkEnd w:id="470"/>
      <w:bookmarkEnd w:id="471"/>
      <w:bookmarkEnd w:id="472"/>
      <w:bookmarkEnd w:id="473"/>
      <w:bookmarkEnd w:id="474"/>
      <w:bookmarkEnd w:id="475"/>
      <w:bookmarkEnd w:id="476"/>
      <w:bookmarkEnd w:id="477"/>
    </w:p>
    <w:p>
      <w:pPr>
        <w:pStyle w:val="7"/>
        <w:spacing w:before="260" w:after="260"/>
        <w:rPr>
          <w:rFonts w:ascii="Times New Roman" w:hAnsi="Times New Roman" w:eastAsia="宋体" w:cs="Times New Roman"/>
          <w:sz w:val="30"/>
          <w:szCs w:val="30"/>
        </w:rPr>
      </w:pPr>
      <w:bookmarkStart w:id="478" w:name="_Toc9126"/>
      <w:bookmarkStart w:id="479" w:name="_Toc510164329"/>
      <w:bookmarkStart w:id="480" w:name="_Toc509234806"/>
      <w:bookmarkStart w:id="481" w:name="_Toc510164081"/>
      <w:bookmarkStart w:id="482" w:name="_Toc523160158"/>
      <w:bookmarkStart w:id="483" w:name="_Toc529542591"/>
      <w:bookmarkStart w:id="484" w:name="_Toc523160342"/>
      <w:bookmarkStart w:id="485" w:name="_Toc510164492"/>
      <w:bookmarkStart w:id="486" w:name="_Toc132468797"/>
      <w:bookmarkStart w:id="487" w:name="_Toc8609"/>
      <w:r>
        <w:rPr>
          <w:rFonts w:ascii="Times New Roman" w:hAnsi="Times New Roman" w:eastAsia="宋体" w:cs="Times New Roman"/>
          <w:sz w:val="30"/>
          <w:szCs w:val="30"/>
        </w:rPr>
        <w:t>6.1环境安全事故应急响应程序</w:t>
      </w:r>
      <w:bookmarkEnd w:id="478"/>
      <w:bookmarkEnd w:id="479"/>
      <w:bookmarkEnd w:id="480"/>
      <w:bookmarkEnd w:id="481"/>
      <w:bookmarkEnd w:id="482"/>
      <w:bookmarkEnd w:id="483"/>
      <w:bookmarkEnd w:id="484"/>
      <w:bookmarkEnd w:id="485"/>
      <w:bookmarkEnd w:id="486"/>
      <w:bookmarkEnd w:id="487"/>
    </w:p>
    <w:p>
      <w:pPr>
        <w:pStyle w:val="8"/>
        <w:spacing w:before="180" w:after="180"/>
        <w:rPr>
          <w:rFonts w:eastAsia="宋体" w:cs="Times New Roman"/>
          <w:sz w:val="28"/>
          <w:szCs w:val="28"/>
        </w:rPr>
      </w:pPr>
      <w:bookmarkStart w:id="488" w:name="_Toc523160343"/>
      <w:bookmarkStart w:id="489" w:name="_Toc112"/>
      <w:bookmarkStart w:id="490" w:name="_Toc509234807"/>
      <w:bookmarkStart w:id="491" w:name="_Toc529542592"/>
      <w:bookmarkStart w:id="492" w:name="_Toc132468798"/>
      <w:bookmarkStart w:id="493" w:name="_Toc510164082"/>
      <w:bookmarkStart w:id="494" w:name="_Toc9816"/>
      <w:r>
        <w:rPr>
          <w:rFonts w:eastAsia="宋体" w:cs="Times New Roman"/>
          <w:sz w:val="28"/>
          <w:szCs w:val="28"/>
        </w:rPr>
        <w:t>6.1.1接警与上报</w:t>
      </w:r>
      <w:bookmarkEnd w:id="488"/>
      <w:bookmarkEnd w:id="489"/>
      <w:bookmarkEnd w:id="490"/>
      <w:bookmarkEnd w:id="491"/>
      <w:bookmarkEnd w:id="492"/>
      <w:bookmarkEnd w:id="493"/>
      <w:bookmarkEnd w:id="494"/>
    </w:p>
    <w:p>
      <w:pPr>
        <w:ind w:firstLine="480"/>
        <w:rPr>
          <w:rFonts w:ascii="Times New Roman" w:hAnsi="Times New Roman" w:eastAsia="宋体" w:cs="Times New Roman"/>
          <w:szCs w:val="24"/>
        </w:rPr>
      </w:pPr>
      <w:r>
        <w:rPr>
          <w:rFonts w:ascii="Times New Roman" w:hAnsi="Times New Roman" w:eastAsia="宋体" w:cs="Times New Roman"/>
          <w:szCs w:val="24"/>
        </w:rPr>
        <w:t>现场工作人员发现任何一个危险目标发生泄漏、着火事故应立即报警，通知车间</w:t>
      </w:r>
      <w:r>
        <w:rPr>
          <w:rFonts w:hint="eastAsia" w:ascii="Times New Roman" w:hAnsi="Times New Roman" w:eastAsia="宋体" w:cs="Times New Roman"/>
          <w:szCs w:val="24"/>
        </w:rPr>
        <w:t>值班长</w:t>
      </w:r>
      <w:r>
        <w:rPr>
          <w:rFonts w:ascii="Times New Roman" w:hAnsi="Times New Roman" w:eastAsia="宋体" w:cs="Times New Roman"/>
          <w:szCs w:val="24"/>
        </w:rPr>
        <w:t>，同时向公司生产主管、安全主管和厂长进行事故报告。</w:t>
      </w:r>
    </w:p>
    <w:p>
      <w:pPr>
        <w:pStyle w:val="8"/>
        <w:spacing w:before="180" w:after="180"/>
        <w:rPr>
          <w:rFonts w:eastAsia="宋体" w:cs="Times New Roman"/>
          <w:sz w:val="28"/>
          <w:szCs w:val="28"/>
        </w:rPr>
      </w:pPr>
      <w:bookmarkStart w:id="495" w:name="_Toc10816"/>
      <w:bookmarkStart w:id="496" w:name="_Toc510164083"/>
      <w:bookmarkStart w:id="497" w:name="_Toc529542593"/>
      <w:bookmarkStart w:id="498" w:name="_Toc29043"/>
      <w:bookmarkStart w:id="499" w:name="_Toc132468799"/>
      <w:bookmarkStart w:id="500" w:name="_Toc509234808"/>
      <w:bookmarkStart w:id="501" w:name="_Toc523160344"/>
      <w:r>
        <w:rPr>
          <w:rFonts w:eastAsia="宋体" w:cs="Times New Roman"/>
          <w:sz w:val="28"/>
          <w:szCs w:val="28"/>
        </w:rPr>
        <w:t>6.1.2启动《突发环境事件应急预案》</w:t>
      </w:r>
      <w:bookmarkEnd w:id="495"/>
      <w:bookmarkEnd w:id="496"/>
      <w:bookmarkEnd w:id="497"/>
      <w:bookmarkEnd w:id="498"/>
      <w:bookmarkEnd w:id="499"/>
      <w:bookmarkEnd w:id="500"/>
      <w:bookmarkEnd w:id="501"/>
    </w:p>
    <w:p>
      <w:pPr>
        <w:ind w:firstLine="480"/>
        <w:rPr>
          <w:rFonts w:ascii="Times New Roman" w:hAnsi="Times New Roman" w:eastAsia="宋体" w:cs="Times New Roman"/>
          <w:szCs w:val="24"/>
        </w:rPr>
      </w:pPr>
      <w:r>
        <w:rPr>
          <w:rFonts w:ascii="Times New Roman" w:hAnsi="Times New Roman" w:eastAsia="宋体" w:cs="Times New Roman"/>
          <w:szCs w:val="24"/>
        </w:rPr>
        <w:t>（1）接到报警后，生产主管应迅速向公司车间经理和车间主任领导发出事故通报；</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（2）发生事故时，值班人员立即通知值班领导，值班领导担负起临时指挥任务；</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（3）在上风安全区域建立现场应急指挥部，及时形成通讯网络，保障调度指挥，通知指挥部成员赶赴事故现场；</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（4）应急领导小组或委托应急指挥中心下达按《突发环境事件应急预案》处置的指令；</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（5）现场应急指挥部通知、调配各应急救援队伍；各应急救援队伍进入备战状态，封闭受到危害的场所，调集环境安全应急所需物资和设备，保障应急救援，转移、撤离、疏散和安置可能受到危害的人员；</w:t>
      </w:r>
    </w:p>
    <w:p>
      <w:pPr>
        <w:ind w:firstLine="480"/>
        <w:rPr>
          <w:rFonts w:ascii="Times New Roman" w:hAnsi="Times New Roman" w:eastAsia="宋体" w:cs="Times New Roman"/>
        </w:rPr>
      </w:pPr>
      <w:r>
        <w:rPr>
          <w:rFonts w:ascii="Times New Roman" w:hAnsi="Times New Roman" w:eastAsia="宋体" w:cs="Times New Roman"/>
        </w:rPr>
        <w:t>（6）进入临战状态、采取一系列响应措施、排除隐患；</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（7）厂区发出3级预警时，由事故车间或可能发生事故车间人员进行应急响应；</w:t>
      </w:r>
    </w:p>
    <w:p>
      <w:pPr>
        <w:ind w:firstLine="480"/>
        <w:rPr>
          <w:rFonts w:ascii="Times New Roman" w:hAnsi="Times New Roman" w:eastAsia="宋体" w:cs="Times New Roman"/>
        </w:rPr>
      </w:pPr>
      <w:r>
        <w:rPr>
          <w:rFonts w:ascii="Times New Roman" w:hAnsi="Times New Roman" w:eastAsia="宋体" w:cs="Times New Roman"/>
        </w:rPr>
        <w:t>（8）厂区发出2级预警时，由厂区应急领导小组进行应急响应；</w:t>
      </w:r>
    </w:p>
    <w:p>
      <w:pPr>
        <w:ind w:firstLine="480"/>
        <w:rPr>
          <w:rFonts w:ascii="Times New Roman" w:hAnsi="Times New Roman" w:eastAsia="宋体" w:cs="Times New Roman"/>
          <w:kern w:val="0"/>
          <w:szCs w:val="24"/>
          <w:highlight w:val="yellow"/>
        </w:rPr>
      </w:pPr>
      <w:r>
        <w:rPr>
          <w:rFonts w:ascii="Times New Roman" w:hAnsi="Times New Roman" w:eastAsia="宋体" w:cs="Times New Roman"/>
          <w:kern w:val="0"/>
          <w:szCs w:val="24"/>
        </w:rPr>
        <w:t>（9）厂区发出1级预警时，应急领导小组通知</w:t>
      </w:r>
      <w:r>
        <w:rPr>
          <w:rFonts w:hint="eastAsia" w:ascii="Times New Roman" w:hAnsi="Times New Roman" w:eastAsia="宋体" w:cs="Times New Roman"/>
          <w:kern w:val="0"/>
          <w:szCs w:val="24"/>
        </w:rPr>
        <w:t>咸宁市生态环境局赤壁市分局、赤壁市政府</w:t>
      </w:r>
      <w:r>
        <w:rPr>
          <w:rFonts w:ascii="Times New Roman" w:hAnsi="Times New Roman" w:eastAsia="宋体" w:cs="Times New Roman"/>
          <w:kern w:val="0"/>
          <w:szCs w:val="24"/>
        </w:rPr>
        <w:t>。</w:t>
      </w:r>
    </w:p>
    <w:p>
      <w:pPr>
        <w:pStyle w:val="7"/>
        <w:spacing w:before="260" w:after="260"/>
        <w:rPr>
          <w:rFonts w:ascii="Times New Roman" w:hAnsi="Times New Roman" w:eastAsia="宋体" w:cs="Times New Roman"/>
          <w:sz w:val="30"/>
          <w:szCs w:val="30"/>
        </w:rPr>
      </w:pPr>
      <w:bookmarkStart w:id="502" w:name="_Toc523160159"/>
      <w:bookmarkStart w:id="503" w:name="_Toc510164084"/>
      <w:bookmarkStart w:id="504" w:name="_Toc4489"/>
      <w:bookmarkStart w:id="505" w:name="_Toc523160345"/>
      <w:bookmarkStart w:id="506" w:name="_Toc510164493"/>
      <w:bookmarkStart w:id="507" w:name="_Toc509234809"/>
      <w:bookmarkStart w:id="508" w:name="_Toc529542594"/>
      <w:bookmarkStart w:id="509" w:name="_Toc510164330"/>
      <w:bookmarkStart w:id="510" w:name="_Toc132468800"/>
      <w:bookmarkStart w:id="511" w:name="_Toc7234"/>
      <w:r>
        <w:rPr>
          <w:rFonts w:ascii="Times New Roman" w:hAnsi="Times New Roman" w:eastAsia="宋体" w:cs="Times New Roman"/>
          <w:sz w:val="30"/>
          <w:szCs w:val="30"/>
        </w:rPr>
        <w:t>6.2分级响应机制</w:t>
      </w:r>
      <w:bookmarkEnd w:id="502"/>
      <w:bookmarkEnd w:id="503"/>
      <w:bookmarkEnd w:id="504"/>
      <w:bookmarkEnd w:id="505"/>
      <w:bookmarkEnd w:id="506"/>
      <w:bookmarkEnd w:id="507"/>
      <w:bookmarkEnd w:id="508"/>
      <w:bookmarkEnd w:id="509"/>
      <w:bookmarkEnd w:id="510"/>
      <w:bookmarkEnd w:id="511"/>
    </w:p>
    <w:p>
      <w:pPr>
        <w:ind w:firstLine="480"/>
        <w:rPr>
          <w:rFonts w:ascii="Times New Roman" w:hAnsi="Times New Roman" w:eastAsia="宋体" w:cs="Times New Roman"/>
          <w:szCs w:val="24"/>
        </w:rPr>
      </w:pPr>
      <w:r>
        <w:rPr>
          <w:rFonts w:ascii="Times New Roman" w:hAnsi="Times New Roman" w:eastAsia="宋体" w:cs="Times New Roman"/>
          <w:szCs w:val="24"/>
        </w:rPr>
        <w:t>按照事故可控性、严重程度和影响范围及应急响应所需资源，将事故应急响应分为3级应急状态（一般或轻微事故或事件）、2级应急状态（较大事故）、1级应急状态（重、特大事故）。事故发生后由应急指挥中心确定响应等级。</w:t>
      </w:r>
    </w:p>
    <w:p>
      <w:pPr>
        <w:pStyle w:val="8"/>
        <w:spacing w:before="180" w:after="180"/>
        <w:rPr>
          <w:rFonts w:eastAsia="宋体" w:cs="Times New Roman"/>
          <w:sz w:val="28"/>
          <w:szCs w:val="28"/>
        </w:rPr>
      </w:pPr>
      <w:bookmarkStart w:id="512" w:name="_Toc17815"/>
      <w:bookmarkStart w:id="513" w:name="_Toc509234810"/>
      <w:bookmarkStart w:id="514" w:name="_Toc529542595"/>
      <w:bookmarkStart w:id="515" w:name="_Toc510164085"/>
      <w:bookmarkStart w:id="516" w:name="_Toc523160346"/>
      <w:bookmarkStart w:id="517" w:name="_Toc10237"/>
      <w:bookmarkStart w:id="518" w:name="_Toc132468801"/>
      <w:r>
        <w:rPr>
          <w:rFonts w:eastAsia="宋体" w:cs="Times New Roman"/>
          <w:sz w:val="28"/>
          <w:szCs w:val="28"/>
        </w:rPr>
        <w:t xml:space="preserve">6.2.1 </w:t>
      </w:r>
      <w:bookmarkEnd w:id="512"/>
      <w:bookmarkEnd w:id="513"/>
      <w:bookmarkEnd w:id="514"/>
      <w:bookmarkEnd w:id="515"/>
      <w:bookmarkEnd w:id="516"/>
      <w:r>
        <w:rPr>
          <w:rFonts w:eastAsia="宋体" w:cs="Times New Roman"/>
          <w:sz w:val="28"/>
          <w:szCs w:val="28"/>
        </w:rPr>
        <w:t>Ⅲ级应急响应</w:t>
      </w:r>
      <w:bookmarkEnd w:id="517"/>
      <w:bookmarkEnd w:id="518"/>
    </w:p>
    <w:p>
      <w:pPr>
        <w:ind w:firstLine="480"/>
        <w:rPr>
          <w:rFonts w:ascii="Times New Roman" w:hAnsi="Times New Roman" w:eastAsia="宋体" w:cs="Times New Roman"/>
          <w:szCs w:val="24"/>
          <w:highlight w:val="yellow"/>
        </w:rPr>
      </w:pPr>
      <w:r>
        <w:rPr>
          <w:rFonts w:ascii="Times New Roman" w:hAnsi="Times New Roman" w:eastAsia="宋体" w:cs="Times New Roman"/>
          <w:szCs w:val="24"/>
        </w:rPr>
        <w:t>（1）危化品间和危废暂存间系统发生少量泄漏；</w:t>
      </w:r>
    </w:p>
    <w:p>
      <w:pPr>
        <w:ind w:firstLine="480"/>
        <w:rPr>
          <w:rFonts w:ascii="Times New Roman" w:hAnsi="Times New Roman" w:eastAsia="宋体" w:cs="Times New Roman"/>
          <w:szCs w:val="24"/>
        </w:rPr>
      </w:pPr>
      <w:r>
        <w:rPr>
          <w:rFonts w:ascii="Times New Roman" w:hAnsi="Times New Roman" w:eastAsia="宋体" w:cs="Times New Roman"/>
          <w:szCs w:val="24"/>
        </w:rPr>
        <w:t>（2）危化品间和危废暂存间系统及生产装置以外的厂区小型火灾；</w:t>
      </w:r>
    </w:p>
    <w:p>
      <w:pPr>
        <w:ind w:firstLine="480"/>
        <w:rPr>
          <w:rFonts w:ascii="Times New Roman" w:hAnsi="Times New Roman" w:eastAsia="宋体" w:cs="Times New Roman"/>
          <w:szCs w:val="24"/>
        </w:rPr>
      </w:pPr>
      <w:r>
        <w:rPr>
          <w:rFonts w:ascii="Times New Roman" w:hAnsi="Times New Roman" w:eastAsia="宋体" w:cs="Times New Roman"/>
          <w:szCs w:val="24"/>
        </w:rPr>
        <w:t>（3）人员轻微伤害事件；</w:t>
      </w:r>
    </w:p>
    <w:p>
      <w:pPr>
        <w:ind w:firstLine="480"/>
        <w:rPr>
          <w:rFonts w:ascii="Times New Roman" w:hAnsi="Times New Roman" w:eastAsia="宋体" w:cs="Times New Roman"/>
          <w:szCs w:val="24"/>
        </w:rPr>
      </w:pPr>
      <w:r>
        <w:rPr>
          <w:rFonts w:ascii="Times New Roman" w:hAnsi="Times New Roman" w:eastAsia="宋体" w:cs="Times New Roman"/>
          <w:szCs w:val="24"/>
        </w:rPr>
        <w:t>（4）一般保安事件。</w:t>
      </w:r>
    </w:p>
    <w:p>
      <w:pPr>
        <w:ind w:firstLine="480"/>
        <w:rPr>
          <w:rFonts w:ascii="Times New Roman" w:hAnsi="Times New Roman" w:eastAsia="宋体" w:cs="Times New Roman"/>
          <w:szCs w:val="24"/>
        </w:rPr>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3 \* ROMAN \* MERGEFORMAT </w:instrText>
      </w:r>
      <w:r>
        <w:rPr>
          <w:rFonts w:ascii="Times New Roman" w:hAnsi="Times New Roman" w:eastAsia="宋体" w:cs="Times New Roman"/>
          <w:szCs w:val="24"/>
        </w:rPr>
        <w:fldChar w:fldCharType="separate"/>
      </w:r>
      <w:r>
        <w:rPr>
          <w:rFonts w:ascii="Times New Roman" w:hAnsi="Times New Roman" w:eastAsia="宋体" w:cs="Times New Roman"/>
        </w:rPr>
        <w:t>III</w:t>
      </w:r>
      <w:r>
        <w:rPr>
          <w:rFonts w:ascii="Times New Roman" w:hAnsi="Times New Roman" w:eastAsia="宋体" w:cs="Times New Roman"/>
          <w:szCs w:val="24"/>
        </w:rPr>
        <w:fldChar w:fldCharType="end"/>
      </w:r>
      <w:r>
        <w:rPr>
          <w:rFonts w:ascii="Times New Roman" w:hAnsi="Times New Roman" w:eastAsia="宋体" w:cs="Times New Roman"/>
          <w:szCs w:val="24"/>
        </w:rPr>
        <w:t>级应急指挥由值班调度指挥，初期的指挥由班长，或现场在场最高职务人员组织指挥应急处置。</w:t>
      </w:r>
    </w:p>
    <w:p>
      <w:pPr>
        <w:pStyle w:val="8"/>
        <w:spacing w:before="180" w:after="180"/>
        <w:rPr>
          <w:rFonts w:eastAsia="宋体" w:cs="Times New Roman"/>
          <w:sz w:val="28"/>
          <w:szCs w:val="28"/>
        </w:rPr>
      </w:pPr>
      <w:bookmarkStart w:id="519" w:name="_Toc132468802"/>
      <w:bookmarkStart w:id="520" w:name="_Toc509234811"/>
      <w:bookmarkStart w:id="521" w:name="_Toc25452"/>
      <w:bookmarkStart w:id="522" w:name="_Toc523160347"/>
      <w:bookmarkStart w:id="523" w:name="_Toc529542596"/>
      <w:bookmarkStart w:id="524" w:name="_Toc510164086"/>
      <w:bookmarkStart w:id="525" w:name="_Toc3767"/>
      <w:r>
        <w:rPr>
          <w:rFonts w:eastAsia="宋体" w:cs="Times New Roman"/>
          <w:sz w:val="28"/>
          <w:szCs w:val="28"/>
        </w:rPr>
        <w:t xml:space="preserve">6.2.2 </w:t>
      </w:r>
      <w:r>
        <w:rPr>
          <w:rFonts w:eastAsia="宋体" w:cs="Times New Roman"/>
          <w:sz w:val="28"/>
          <w:szCs w:val="28"/>
        </w:rPr>
        <w:fldChar w:fldCharType="begin"/>
      </w:r>
      <w:r>
        <w:rPr>
          <w:rFonts w:eastAsia="宋体" w:cs="Times New Roman"/>
          <w:sz w:val="28"/>
          <w:szCs w:val="28"/>
        </w:rPr>
        <w:instrText xml:space="preserve"> = 2 \* ROMAN \* MERGEFORMAT </w:instrText>
      </w:r>
      <w:r>
        <w:rPr>
          <w:rFonts w:eastAsia="宋体" w:cs="Times New Roman"/>
          <w:sz w:val="28"/>
          <w:szCs w:val="28"/>
        </w:rPr>
        <w:fldChar w:fldCharType="separate"/>
      </w:r>
      <w:r>
        <w:rPr>
          <w:rFonts w:eastAsia="宋体" w:cs="Times New Roman"/>
        </w:rPr>
        <w:t>II</w:t>
      </w:r>
      <w:r>
        <w:rPr>
          <w:rFonts w:eastAsia="宋体" w:cs="Times New Roman"/>
          <w:sz w:val="28"/>
          <w:szCs w:val="28"/>
        </w:rPr>
        <w:fldChar w:fldCharType="end"/>
      </w:r>
      <w:r>
        <w:rPr>
          <w:rFonts w:eastAsia="宋体" w:cs="Times New Roman"/>
          <w:sz w:val="28"/>
          <w:szCs w:val="28"/>
        </w:rPr>
        <w:t>级应急响应</w:t>
      </w:r>
      <w:bookmarkEnd w:id="519"/>
      <w:bookmarkEnd w:id="520"/>
      <w:bookmarkEnd w:id="521"/>
      <w:bookmarkEnd w:id="522"/>
      <w:bookmarkEnd w:id="523"/>
      <w:bookmarkEnd w:id="524"/>
      <w:bookmarkEnd w:id="525"/>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（1）发生泄漏，扩散可以控制在厂区内；</w:t>
      </w:r>
    </w:p>
    <w:p>
      <w:pPr>
        <w:ind w:firstLine="480"/>
        <w:rPr>
          <w:rFonts w:ascii="Times New Roman" w:hAnsi="Times New Roman" w:eastAsia="宋体" w:cs="Times New Roman"/>
        </w:rPr>
      </w:pPr>
      <w:bookmarkStart w:id="526" w:name="_Toc510164087"/>
      <w:r>
        <w:rPr>
          <w:rFonts w:ascii="Times New Roman" w:hAnsi="Times New Roman" w:eastAsia="宋体" w:cs="Times New Roman"/>
        </w:rPr>
        <w:t>（2）存放区系统物料</w:t>
      </w:r>
      <w:r>
        <w:rPr>
          <w:rFonts w:ascii="Times New Roman" w:hAnsi="Times New Roman" w:eastAsia="宋体" w:cs="Times New Roman"/>
          <w:bCs/>
          <w:szCs w:val="24"/>
        </w:rPr>
        <w:t>危化品包装桶</w:t>
      </w:r>
      <w:r>
        <w:rPr>
          <w:rFonts w:ascii="Times New Roman" w:hAnsi="Times New Roman" w:eastAsia="宋体" w:cs="Times New Roman"/>
        </w:rPr>
        <w:t>发生大量泄漏，泄漏物料可以控制在厂区内部；</w:t>
      </w:r>
      <w:bookmarkEnd w:id="526"/>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（3）厂内废气处理设施出现故障，废气排放可能出现超标；</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（4）物料运输或装卸过程中出现洒落或泄漏；</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（5）遇需局部人员撤离的事件。</w:t>
      </w:r>
    </w:p>
    <w:p>
      <w:pPr>
        <w:ind w:firstLine="480"/>
        <w:rPr>
          <w:rFonts w:ascii="Times New Roman" w:hAnsi="Times New Roman" w:eastAsia="宋体" w:cs="Times New Roman"/>
          <w:szCs w:val="24"/>
        </w:rPr>
      </w:pPr>
      <w:r>
        <w:rPr>
          <w:rFonts w:ascii="Times New Roman" w:hAnsi="Times New Roman" w:eastAsia="宋体" w:cs="Times New Roman"/>
          <w:kern w:val="0"/>
          <w:szCs w:val="24"/>
        </w:rPr>
        <w:t>发生较大突发环境事件，由应急领导小组启动</w:t>
      </w:r>
      <w:r>
        <w:rPr>
          <w:rFonts w:ascii="Times New Roman" w:hAnsi="Times New Roman" w:eastAsia="宋体" w:cs="Times New Roman"/>
          <w:kern w:val="0"/>
          <w:szCs w:val="24"/>
        </w:rPr>
        <w:fldChar w:fldCharType="begin"/>
      </w:r>
      <w:r>
        <w:rPr>
          <w:rFonts w:ascii="Times New Roman" w:hAnsi="Times New Roman" w:eastAsia="宋体" w:cs="Times New Roman"/>
          <w:kern w:val="0"/>
          <w:szCs w:val="24"/>
        </w:rPr>
        <w:instrText xml:space="preserve"> = 2 \* ROMAN \* MERGEFORMAT </w:instrText>
      </w:r>
      <w:r>
        <w:rPr>
          <w:rFonts w:ascii="Times New Roman" w:hAnsi="Times New Roman" w:eastAsia="宋体" w:cs="Times New Roman"/>
          <w:kern w:val="0"/>
          <w:szCs w:val="24"/>
        </w:rPr>
        <w:fldChar w:fldCharType="separate"/>
      </w:r>
      <w:r>
        <w:rPr>
          <w:rFonts w:ascii="Times New Roman" w:hAnsi="Times New Roman" w:eastAsia="宋体" w:cs="Times New Roman"/>
        </w:rPr>
        <w:t>II</w:t>
      </w:r>
      <w:r>
        <w:rPr>
          <w:rFonts w:ascii="Times New Roman" w:hAnsi="Times New Roman" w:eastAsia="宋体" w:cs="Times New Roman"/>
          <w:kern w:val="0"/>
          <w:szCs w:val="24"/>
        </w:rPr>
        <w:fldChar w:fldCharType="end"/>
      </w:r>
      <w:r>
        <w:rPr>
          <w:rFonts w:ascii="Times New Roman" w:hAnsi="Times New Roman" w:eastAsia="宋体" w:cs="Times New Roman"/>
          <w:kern w:val="0"/>
          <w:szCs w:val="24"/>
        </w:rPr>
        <w:t>级应急响应。应急领导小组总经理指挥开展应急处置工作，派相关救援力量和专家赶赴现场，并参加指导现场应急处置工作；决定是否通知赤壁市政府及环保部门。</w:t>
      </w:r>
    </w:p>
    <w:p>
      <w:pPr>
        <w:pStyle w:val="8"/>
        <w:spacing w:before="180" w:after="180"/>
        <w:rPr>
          <w:rFonts w:eastAsia="宋体" w:cs="Times New Roman"/>
          <w:sz w:val="28"/>
          <w:szCs w:val="28"/>
        </w:rPr>
      </w:pPr>
      <w:bookmarkStart w:id="527" w:name="_Toc523160348"/>
      <w:bookmarkStart w:id="528" w:name="_Toc14118"/>
      <w:bookmarkStart w:id="529" w:name="_Toc132468803"/>
      <w:bookmarkStart w:id="530" w:name="_Toc509234812"/>
      <w:bookmarkStart w:id="531" w:name="_Toc28473"/>
      <w:bookmarkStart w:id="532" w:name="_Toc510164088"/>
      <w:bookmarkStart w:id="533" w:name="_Toc529542597"/>
      <w:r>
        <w:rPr>
          <w:rFonts w:eastAsia="宋体" w:cs="Times New Roman"/>
          <w:sz w:val="28"/>
          <w:szCs w:val="28"/>
        </w:rPr>
        <w:t xml:space="preserve">6.2.3 </w:t>
      </w:r>
      <w:r>
        <w:rPr>
          <w:rFonts w:eastAsia="宋体" w:cs="Times New Roman"/>
          <w:sz w:val="28"/>
          <w:szCs w:val="28"/>
        </w:rPr>
        <w:fldChar w:fldCharType="begin"/>
      </w:r>
      <w:r>
        <w:rPr>
          <w:rFonts w:eastAsia="宋体" w:cs="Times New Roman"/>
          <w:sz w:val="28"/>
          <w:szCs w:val="28"/>
        </w:rPr>
        <w:instrText xml:space="preserve"> = 1 \* ROMAN \* MERGEFORMAT </w:instrText>
      </w:r>
      <w:r>
        <w:rPr>
          <w:rFonts w:eastAsia="宋体" w:cs="Times New Roman"/>
          <w:sz w:val="28"/>
          <w:szCs w:val="28"/>
        </w:rPr>
        <w:fldChar w:fldCharType="separate"/>
      </w:r>
      <w:r>
        <w:rPr>
          <w:rFonts w:eastAsia="宋体" w:cs="Times New Roman"/>
        </w:rPr>
        <w:t>I</w:t>
      </w:r>
      <w:r>
        <w:rPr>
          <w:rFonts w:eastAsia="宋体" w:cs="Times New Roman"/>
          <w:sz w:val="28"/>
          <w:szCs w:val="28"/>
        </w:rPr>
        <w:fldChar w:fldCharType="end"/>
      </w:r>
      <w:r>
        <w:rPr>
          <w:rFonts w:eastAsia="宋体" w:cs="Times New Roman"/>
          <w:sz w:val="28"/>
          <w:szCs w:val="28"/>
        </w:rPr>
        <w:t>级应急响应</w:t>
      </w:r>
      <w:bookmarkEnd w:id="527"/>
      <w:bookmarkEnd w:id="528"/>
      <w:bookmarkEnd w:id="529"/>
      <w:bookmarkEnd w:id="530"/>
      <w:bookmarkEnd w:id="531"/>
      <w:bookmarkEnd w:id="532"/>
      <w:bookmarkEnd w:id="533"/>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（1）发生泄漏，扩散逸出厂界；</w:t>
      </w:r>
    </w:p>
    <w:p>
      <w:pPr>
        <w:ind w:firstLine="480"/>
        <w:rPr>
          <w:rFonts w:ascii="Times New Roman" w:hAnsi="Times New Roman" w:eastAsia="宋体" w:cs="Times New Roman"/>
        </w:rPr>
      </w:pPr>
      <w:bookmarkStart w:id="534" w:name="_Toc510164089"/>
      <w:r>
        <w:rPr>
          <w:rFonts w:ascii="Times New Roman" w:hAnsi="Times New Roman" w:eastAsia="宋体" w:cs="Times New Roman"/>
        </w:rPr>
        <w:t>（2）存放区系统物料危化品包装桶发生大量泄漏，泄漏物料逸出场界；</w:t>
      </w:r>
      <w:bookmarkEnd w:id="534"/>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（3）危化品泄漏引起的火灾爆炸或部分人员死亡；</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（4）物料泄漏引起发生火灾或爆炸；</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（5）遇地震或严重汛涝自然灾害时，导致污水处理设施被水淹没，</w:t>
      </w:r>
      <w:r>
        <w:rPr>
          <w:rFonts w:ascii="Times New Roman" w:hAnsi="Times New Roman" w:eastAsia="宋体" w:cs="Times New Roman"/>
        </w:rPr>
        <w:t>高浓度废水溢出</w:t>
      </w:r>
      <w:r>
        <w:rPr>
          <w:rFonts w:ascii="Times New Roman" w:hAnsi="Times New Roman" w:eastAsia="宋体" w:cs="Times New Roman"/>
          <w:kern w:val="0"/>
          <w:szCs w:val="24"/>
        </w:rPr>
        <w:t>，泄漏到外部，严重污染外部水体环境；</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（6）遇需要全体人员疏散撤离和影响周边社区或企业的事故或事件。</w:t>
      </w:r>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t>发生重大突发环境事件，企业在应急领导小组指导下，启动</w:t>
      </w:r>
      <w:r>
        <w:rPr>
          <w:rFonts w:ascii="Times New Roman" w:hAnsi="Times New Roman" w:eastAsia="宋体" w:cs="Times New Roman"/>
          <w:kern w:val="0"/>
          <w:szCs w:val="24"/>
        </w:rPr>
        <w:fldChar w:fldCharType="begin"/>
      </w:r>
      <w:r>
        <w:rPr>
          <w:rFonts w:ascii="Times New Roman" w:hAnsi="Times New Roman" w:eastAsia="宋体" w:cs="Times New Roman"/>
          <w:kern w:val="0"/>
          <w:szCs w:val="24"/>
        </w:rPr>
        <w:instrText xml:space="preserve"> = 1 \* ROMAN \* MERGEFORMAT </w:instrText>
      </w:r>
      <w:r>
        <w:rPr>
          <w:rFonts w:ascii="Times New Roman" w:hAnsi="Times New Roman" w:eastAsia="宋体" w:cs="Times New Roman"/>
          <w:kern w:val="0"/>
          <w:szCs w:val="24"/>
        </w:rPr>
        <w:fldChar w:fldCharType="separate"/>
      </w:r>
      <w:r>
        <w:rPr>
          <w:rFonts w:ascii="Times New Roman" w:hAnsi="Times New Roman" w:eastAsia="宋体" w:cs="Times New Roman"/>
        </w:rPr>
        <w:t>I</w:t>
      </w:r>
      <w:r>
        <w:rPr>
          <w:rFonts w:ascii="Times New Roman" w:hAnsi="Times New Roman" w:eastAsia="宋体" w:cs="Times New Roman"/>
          <w:kern w:val="0"/>
          <w:szCs w:val="24"/>
        </w:rPr>
        <w:fldChar w:fldCharType="end"/>
      </w:r>
      <w:r>
        <w:rPr>
          <w:rFonts w:ascii="Times New Roman" w:hAnsi="Times New Roman" w:eastAsia="宋体" w:cs="Times New Roman"/>
          <w:kern w:val="0"/>
          <w:szCs w:val="24"/>
        </w:rPr>
        <w:t>级应急响应，做好应急处置工作。同时应急领导小组向</w:t>
      </w:r>
      <w:r>
        <w:rPr>
          <w:rFonts w:hint="eastAsia" w:ascii="Times New Roman" w:hAnsi="Times New Roman" w:eastAsia="宋体" w:cs="Times New Roman"/>
          <w:kern w:val="0"/>
          <w:szCs w:val="24"/>
        </w:rPr>
        <w:t>赤壁市政府</w:t>
      </w:r>
      <w:r>
        <w:rPr>
          <w:rFonts w:ascii="Times New Roman" w:hAnsi="Times New Roman" w:eastAsia="宋体" w:cs="Times New Roman"/>
          <w:kern w:val="0"/>
          <w:szCs w:val="24"/>
        </w:rPr>
        <w:t>及环保部门报告基本情况、事态发展和应急处置情况。当政府成立现场应急指挥部时，移交政府指挥部人员指挥，火灾时在公安消防部门到场后移交消防部门指挥，并介绍事故情况和已采取的应急措施，配合协助应急指挥与处置。</w:t>
      </w:r>
    </w:p>
    <w:p>
      <w:pPr>
        <w:pStyle w:val="7"/>
        <w:spacing w:before="260" w:after="260"/>
        <w:rPr>
          <w:rFonts w:ascii="Times New Roman" w:hAnsi="Times New Roman" w:eastAsia="宋体" w:cs="Times New Roman"/>
          <w:sz w:val="30"/>
          <w:szCs w:val="30"/>
        </w:rPr>
      </w:pPr>
      <w:bookmarkStart w:id="535" w:name="_Toc510164331"/>
      <w:bookmarkStart w:id="536" w:name="_Toc510164494"/>
      <w:bookmarkStart w:id="537" w:name="_Toc523160349"/>
      <w:bookmarkStart w:id="538" w:name="_Toc510164090"/>
      <w:bookmarkStart w:id="539" w:name="_Toc529542598"/>
      <w:bookmarkStart w:id="540" w:name="_Toc132468804"/>
      <w:bookmarkStart w:id="541" w:name="_Toc523160160"/>
      <w:bookmarkStart w:id="542" w:name="_Toc14412"/>
      <w:bookmarkStart w:id="543" w:name="_Toc25277"/>
      <w:bookmarkStart w:id="544" w:name="_Toc509234813"/>
      <w:r>
        <w:rPr>
          <w:rFonts w:ascii="Times New Roman" w:hAnsi="Times New Roman" w:eastAsia="宋体" w:cs="Times New Roman"/>
          <w:sz w:val="30"/>
          <w:szCs w:val="30"/>
        </w:rPr>
        <w:t>6.3启动预案</w:t>
      </w:r>
      <w:bookmarkEnd w:id="535"/>
      <w:bookmarkEnd w:id="536"/>
      <w:bookmarkEnd w:id="537"/>
      <w:bookmarkEnd w:id="538"/>
      <w:bookmarkEnd w:id="539"/>
      <w:bookmarkEnd w:id="540"/>
      <w:bookmarkEnd w:id="541"/>
      <w:bookmarkEnd w:id="542"/>
      <w:bookmarkEnd w:id="543"/>
      <w:bookmarkEnd w:id="544"/>
    </w:p>
    <w:p>
      <w:pPr>
        <w:pStyle w:val="8"/>
        <w:spacing w:before="180" w:after="180"/>
        <w:rPr>
          <w:rFonts w:eastAsia="宋体" w:cs="Times New Roman"/>
          <w:sz w:val="28"/>
          <w:szCs w:val="28"/>
        </w:rPr>
      </w:pPr>
      <w:bookmarkStart w:id="545" w:name="_Toc509234814"/>
      <w:bookmarkStart w:id="546" w:name="_Toc510164091"/>
      <w:bookmarkStart w:id="547" w:name="_Toc523160350"/>
      <w:bookmarkStart w:id="548" w:name="_Toc529542599"/>
      <w:bookmarkStart w:id="549" w:name="_Toc25401"/>
      <w:bookmarkStart w:id="550" w:name="_Toc132468805"/>
      <w:bookmarkStart w:id="551" w:name="_Toc8280"/>
      <w:r>
        <w:rPr>
          <w:rFonts w:eastAsia="宋体" w:cs="Times New Roman"/>
          <w:sz w:val="28"/>
          <w:szCs w:val="28"/>
        </w:rPr>
        <w:t>6.3.1预案分级</w:t>
      </w:r>
      <w:bookmarkEnd w:id="545"/>
      <w:bookmarkEnd w:id="546"/>
      <w:bookmarkEnd w:id="547"/>
      <w:bookmarkEnd w:id="548"/>
      <w:bookmarkEnd w:id="549"/>
      <w:bookmarkEnd w:id="550"/>
      <w:bookmarkEnd w:id="551"/>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fldChar w:fldCharType="begin"/>
      </w:r>
      <w:r>
        <w:rPr>
          <w:rFonts w:ascii="Times New Roman" w:hAnsi="Times New Roman" w:eastAsia="宋体" w:cs="Times New Roman"/>
          <w:kern w:val="0"/>
          <w:szCs w:val="24"/>
        </w:rPr>
        <w:instrText xml:space="preserve"> = 1 \* ROMAN \* MERGEFORMAT </w:instrText>
      </w:r>
      <w:r>
        <w:rPr>
          <w:rFonts w:ascii="Times New Roman" w:hAnsi="Times New Roman" w:eastAsia="宋体" w:cs="Times New Roman"/>
          <w:kern w:val="0"/>
          <w:szCs w:val="24"/>
        </w:rPr>
        <w:fldChar w:fldCharType="separate"/>
      </w:r>
      <w:r>
        <w:rPr>
          <w:rFonts w:ascii="Times New Roman" w:hAnsi="Times New Roman" w:eastAsia="宋体" w:cs="Times New Roman"/>
        </w:rPr>
        <w:t>I</w:t>
      </w:r>
      <w:r>
        <w:rPr>
          <w:rFonts w:ascii="Times New Roman" w:hAnsi="Times New Roman" w:eastAsia="宋体" w:cs="Times New Roman"/>
          <w:kern w:val="0"/>
          <w:szCs w:val="24"/>
        </w:rPr>
        <w:fldChar w:fldCharType="end"/>
      </w:r>
      <w:r>
        <w:rPr>
          <w:rFonts w:ascii="Times New Roman" w:hAnsi="Times New Roman" w:eastAsia="宋体" w:cs="Times New Roman"/>
          <w:kern w:val="0"/>
          <w:szCs w:val="24"/>
        </w:rPr>
        <w:t>级预警属于重大事故，需启动政府应急预案；</w:t>
      </w:r>
      <w:r>
        <w:rPr>
          <w:rFonts w:ascii="Times New Roman" w:hAnsi="Times New Roman" w:eastAsia="宋体" w:cs="Times New Roman"/>
          <w:kern w:val="0"/>
          <w:szCs w:val="24"/>
        </w:rPr>
        <w:fldChar w:fldCharType="begin"/>
      </w:r>
      <w:r>
        <w:rPr>
          <w:rFonts w:ascii="Times New Roman" w:hAnsi="Times New Roman" w:eastAsia="宋体" w:cs="Times New Roman"/>
          <w:kern w:val="0"/>
          <w:szCs w:val="24"/>
        </w:rPr>
        <w:instrText xml:space="preserve"> = 2 \* ROMAN \* MERGEFORMAT </w:instrText>
      </w:r>
      <w:r>
        <w:rPr>
          <w:rFonts w:ascii="Times New Roman" w:hAnsi="Times New Roman" w:eastAsia="宋体" w:cs="Times New Roman"/>
          <w:kern w:val="0"/>
          <w:szCs w:val="24"/>
        </w:rPr>
        <w:fldChar w:fldCharType="separate"/>
      </w:r>
      <w:r>
        <w:rPr>
          <w:rFonts w:ascii="Times New Roman" w:hAnsi="Times New Roman" w:eastAsia="宋体" w:cs="Times New Roman"/>
        </w:rPr>
        <w:t>II</w:t>
      </w:r>
      <w:r>
        <w:rPr>
          <w:rFonts w:ascii="Times New Roman" w:hAnsi="Times New Roman" w:eastAsia="宋体" w:cs="Times New Roman"/>
          <w:kern w:val="0"/>
          <w:szCs w:val="24"/>
        </w:rPr>
        <w:fldChar w:fldCharType="end"/>
      </w:r>
      <w:r>
        <w:rPr>
          <w:rFonts w:ascii="Times New Roman" w:hAnsi="Times New Roman" w:eastAsia="宋体" w:cs="Times New Roman"/>
          <w:kern w:val="0"/>
          <w:szCs w:val="24"/>
        </w:rPr>
        <w:t>级预警属于较大事故，需启动公司级应急预案，</w:t>
      </w:r>
      <w:r>
        <w:rPr>
          <w:rFonts w:ascii="Times New Roman" w:hAnsi="Times New Roman" w:eastAsia="宋体" w:cs="Times New Roman"/>
          <w:kern w:val="0"/>
          <w:szCs w:val="24"/>
        </w:rPr>
        <w:fldChar w:fldCharType="begin"/>
      </w:r>
      <w:r>
        <w:rPr>
          <w:rFonts w:ascii="Times New Roman" w:hAnsi="Times New Roman" w:eastAsia="宋体" w:cs="Times New Roman"/>
          <w:kern w:val="0"/>
          <w:szCs w:val="24"/>
        </w:rPr>
        <w:instrText xml:space="preserve"> = 3 \* ROMAN \* MERGEFORMAT </w:instrText>
      </w:r>
      <w:r>
        <w:rPr>
          <w:rFonts w:ascii="Times New Roman" w:hAnsi="Times New Roman" w:eastAsia="宋体" w:cs="Times New Roman"/>
          <w:kern w:val="0"/>
          <w:szCs w:val="24"/>
        </w:rPr>
        <w:fldChar w:fldCharType="separate"/>
      </w:r>
      <w:r>
        <w:rPr>
          <w:rFonts w:ascii="Times New Roman" w:hAnsi="Times New Roman" w:eastAsia="宋体" w:cs="Times New Roman"/>
        </w:rPr>
        <w:t>III</w:t>
      </w:r>
      <w:r>
        <w:rPr>
          <w:rFonts w:ascii="Times New Roman" w:hAnsi="Times New Roman" w:eastAsia="宋体" w:cs="Times New Roman"/>
          <w:kern w:val="0"/>
          <w:szCs w:val="24"/>
        </w:rPr>
        <w:fldChar w:fldCharType="end"/>
      </w:r>
      <w:r>
        <w:rPr>
          <w:rFonts w:ascii="Times New Roman" w:hAnsi="Times New Roman" w:eastAsia="宋体" w:cs="Times New Roman"/>
          <w:kern w:val="0"/>
          <w:szCs w:val="24"/>
        </w:rPr>
        <w:t>级预警属于一般事故，需要启动车间级应急预案。</w:t>
      </w:r>
    </w:p>
    <w:p>
      <w:pPr>
        <w:ind w:firstLine="480"/>
        <w:rPr>
          <w:rFonts w:ascii="Times New Roman" w:hAnsi="Times New Roman" w:eastAsia="宋体" w:cs="Times New Roman"/>
          <w:szCs w:val="24"/>
        </w:rPr>
      </w:pPr>
      <w:r>
        <w:rPr>
          <w:rFonts w:ascii="Times New Roman" w:hAnsi="Times New Roman" w:eastAsia="宋体" w:cs="Times New Roman"/>
          <w:kern w:val="0"/>
          <w:szCs w:val="24"/>
        </w:rPr>
        <w:t>发生生产安全事故后，不论启动哪级应急救援预案，都应该向上级单位报告事故和事故救援进展情况。</w:t>
      </w:r>
    </w:p>
    <w:p>
      <w:pPr>
        <w:pStyle w:val="8"/>
        <w:spacing w:before="180" w:after="180"/>
        <w:rPr>
          <w:rFonts w:eastAsia="宋体" w:cs="Times New Roman"/>
          <w:sz w:val="28"/>
          <w:szCs w:val="28"/>
        </w:rPr>
      </w:pPr>
      <w:bookmarkStart w:id="552" w:name="_Toc523160351"/>
      <w:bookmarkStart w:id="553" w:name="_Toc18518"/>
      <w:bookmarkStart w:id="554" w:name="_Toc529542600"/>
      <w:bookmarkStart w:id="555" w:name="_Toc15920"/>
      <w:bookmarkStart w:id="556" w:name="_Toc132468806"/>
      <w:bookmarkStart w:id="557" w:name="_Toc510164092"/>
      <w:bookmarkStart w:id="558" w:name="_Toc509234815"/>
      <w:r>
        <w:rPr>
          <w:rFonts w:eastAsia="宋体" w:cs="Times New Roman"/>
          <w:sz w:val="28"/>
          <w:szCs w:val="28"/>
        </w:rPr>
        <w:t>6.3.2启动条件</w:t>
      </w:r>
      <w:bookmarkEnd w:id="552"/>
      <w:bookmarkEnd w:id="553"/>
      <w:bookmarkEnd w:id="554"/>
      <w:bookmarkEnd w:id="555"/>
      <w:bookmarkEnd w:id="556"/>
      <w:bookmarkEnd w:id="557"/>
      <w:bookmarkEnd w:id="558"/>
    </w:p>
    <w:p>
      <w:pPr>
        <w:ind w:firstLine="480"/>
        <w:rPr>
          <w:rFonts w:ascii="Times New Roman" w:hAnsi="Times New Roman" w:eastAsia="宋体" w:cs="Times New Roman"/>
          <w:szCs w:val="24"/>
        </w:rPr>
      </w:pPr>
      <w:r>
        <w:rPr>
          <w:rFonts w:ascii="Times New Roman" w:hAnsi="Times New Roman" w:eastAsia="宋体" w:cs="Times New Roman"/>
          <w:szCs w:val="24"/>
        </w:rPr>
        <w:t>即将发生或已经能够发生以下事故时，应立即启动应急预案。</w:t>
      </w:r>
    </w:p>
    <w:p>
      <w:pPr>
        <w:pStyle w:val="9"/>
        <w:spacing w:before="156" w:after="156" w:line="376" w:lineRule="auto"/>
        <w:rPr>
          <w:rFonts w:eastAsia="宋体" w:cs="Times New Roman"/>
          <w:kern w:val="0"/>
          <w:szCs w:val="24"/>
        </w:rPr>
      </w:pPr>
      <w:bookmarkStart w:id="559" w:name="_Toc529542601"/>
      <w:bookmarkStart w:id="560" w:name="_Toc2073"/>
      <w:bookmarkStart w:id="561" w:name="_Toc132468807"/>
      <w:bookmarkStart w:id="562" w:name="_Toc510164093"/>
      <w:bookmarkStart w:id="563" w:name="_Toc523160352"/>
      <w:r>
        <w:rPr>
          <w:rFonts w:eastAsia="宋体" w:cs="Times New Roman"/>
          <w:kern w:val="0"/>
          <w:szCs w:val="24"/>
        </w:rPr>
        <w:t>6.3.2.1泄露</w:t>
      </w:r>
      <w:bookmarkEnd w:id="559"/>
      <w:bookmarkEnd w:id="560"/>
      <w:bookmarkEnd w:id="561"/>
      <w:bookmarkEnd w:id="562"/>
      <w:bookmarkEnd w:id="563"/>
    </w:p>
    <w:p>
      <w:pPr>
        <w:ind w:firstLine="480"/>
        <w:rPr>
          <w:rFonts w:ascii="Times New Roman" w:hAnsi="Times New Roman" w:eastAsia="宋体" w:cs="Times New Roman"/>
          <w:szCs w:val="24"/>
        </w:rPr>
      </w:pPr>
      <w:r>
        <w:rPr>
          <w:rFonts w:ascii="Times New Roman" w:hAnsi="Times New Roman" w:eastAsia="宋体" w:cs="Times New Roman"/>
          <w:szCs w:val="24"/>
        </w:rPr>
        <w:t>（1）易燃液体泄漏，可能造成火灾；</w:t>
      </w:r>
    </w:p>
    <w:p>
      <w:pPr>
        <w:ind w:firstLine="480"/>
        <w:rPr>
          <w:rFonts w:ascii="Times New Roman" w:hAnsi="Times New Roman" w:eastAsia="宋体" w:cs="Times New Roman"/>
          <w:szCs w:val="24"/>
        </w:rPr>
      </w:pPr>
      <w:r>
        <w:rPr>
          <w:rFonts w:ascii="Times New Roman" w:hAnsi="Times New Roman" w:eastAsia="宋体" w:cs="Times New Roman"/>
          <w:szCs w:val="24"/>
        </w:rPr>
        <w:t>（2）危险物质的泄露不能控制在厂区内，导致厂区外土壤污染或水体污染。</w:t>
      </w:r>
    </w:p>
    <w:p>
      <w:pPr>
        <w:pStyle w:val="9"/>
        <w:spacing w:before="156" w:after="156" w:line="376" w:lineRule="auto"/>
        <w:rPr>
          <w:rFonts w:eastAsia="宋体" w:cs="Times New Roman"/>
          <w:kern w:val="0"/>
          <w:szCs w:val="24"/>
        </w:rPr>
      </w:pPr>
      <w:bookmarkStart w:id="564" w:name="_Toc523160353"/>
      <w:bookmarkStart w:id="565" w:name="_Toc529542602"/>
      <w:bookmarkStart w:id="566" w:name="_Toc21256"/>
      <w:bookmarkStart w:id="567" w:name="_Toc132468808"/>
      <w:bookmarkStart w:id="568" w:name="_Toc510164094"/>
      <w:r>
        <w:rPr>
          <w:rFonts w:eastAsia="宋体" w:cs="Times New Roman"/>
          <w:kern w:val="0"/>
          <w:szCs w:val="24"/>
        </w:rPr>
        <w:t>6.3.2.2火灾</w:t>
      </w:r>
      <w:bookmarkEnd w:id="564"/>
      <w:bookmarkEnd w:id="565"/>
      <w:bookmarkEnd w:id="566"/>
      <w:bookmarkEnd w:id="567"/>
      <w:bookmarkEnd w:id="568"/>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（1）火灾导致有毒烟气产生；</w:t>
      </w:r>
    </w:p>
    <w:p>
      <w:pPr>
        <w:ind w:firstLine="480"/>
        <w:rPr>
          <w:rFonts w:ascii="Times New Roman" w:hAnsi="Times New Roman" w:eastAsia="宋体" w:cs="Times New Roman"/>
        </w:rPr>
      </w:pPr>
      <w:r>
        <w:rPr>
          <w:rFonts w:ascii="Times New Roman" w:hAnsi="Times New Roman" w:eastAsia="宋体" w:cs="Times New Roman"/>
        </w:rPr>
        <w:t>（2）火灾蔓延，可能导致其他区域材料起火或导致热引发的爆炸；</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（3）火灾蔓延至厂区外；</w:t>
      </w:r>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t>（4）使用水或化学灭火剂可能产生被污染的水流。</w:t>
      </w:r>
    </w:p>
    <w:p>
      <w:pPr>
        <w:pStyle w:val="9"/>
        <w:spacing w:before="156" w:after="156" w:line="376" w:lineRule="auto"/>
        <w:rPr>
          <w:rFonts w:eastAsia="宋体" w:cs="Times New Roman"/>
          <w:kern w:val="0"/>
          <w:szCs w:val="24"/>
        </w:rPr>
      </w:pPr>
      <w:bookmarkStart w:id="569" w:name="_Toc32583"/>
      <w:bookmarkStart w:id="570" w:name="_Toc132468809"/>
      <w:bookmarkStart w:id="571" w:name="_Toc529542603"/>
      <w:bookmarkStart w:id="572" w:name="_Toc523160354"/>
      <w:bookmarkStart w:id="573" w:name="_Toc510164095"/>
      <w:r>
        <w:rPr>
          <w:rFonts w:eastAsia="宋体" w:cs="Times New Roman"/>
          <w:kern w:val="0"/>
          <w:szCs w:val="24"/>
        </w:rPr>
        <w:t>6.3.2.3爆炸</w:t>
      </w:r>
      <w:bookmarkEnd w:id="569"/>
      <w:bookmarkEnd w:id="570"/>
      <w:bookmarkEnd w:id="571"/>
      <w:bookmarkEnd w:id="572"/>
      <w:bookmarkEnd w:id="573"/>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（1）存在发生爆炸的危险，并可能因产生爆炸碎片或冲击波导致安全风险；</w:t>
      </w:r>
    </w:p>
    <w:p>
      <w:pPr>
        <w:ind w:firstLine="480"/>
        <w:rPr>
          <w:rFonts w:ascii="Times New Roman" w:hAnsi="Times New Roman" w:eastAsia="宋体" w:cs="Times New Roman"/>
        </w:rPr>
      </w:pPr>
      <w:r>
        <w:rPr>
          <w:rFonts w:ascii="Times New Roman" w:hAnsi="Times New Roman" w:eastAsia="宋体" w:cs="Times New Roman"/>
        </w:rPr>
        <w:t>（2）存在发生爆炸的危险，并可能引燃厂区内其他危险物质；</w:t>
      </w:r>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t>（3）已经发生爆炸。</w:t>
      </w:r>
    </w:p>
    <w:p>
      <w:pPr>
        <w:pStyle w:val="9"/>
        <w:spacing w:before="156" w:after="156" w:line="376" w:lineRule="auto"/>
        <w:rPr>
          <w:rFonts w:eastAsia="宋体" w:cs="Times New Roman"/>
          <w:kern w:val="0"/>
          <w:szCs w:val="24"/>
        </w:rPr>
      </w:pPr>
      <w:bookmarkStart w:id="574" w:name="_Toc529542604"/>
      <w:bookmarkStart w:id="575" w:name="_Toc132468810"/>
      <w:bookmarkStart w:id="576" w:name="_Toc4186"/>
      <w:r>
        <w:rPr>
          <w:rFonts w:eastAsia="宋体" w:cs="Times New Roman"/>
          <w:kern w:val="0"/>
          <w:szCs w:val="24"/>
        </w:rPr>
        <w:t>6.3.2.4环境风险防控设施失灵或污染治理设施非正常运行</w:t>
      </w:r>
      <w:bookmarkEnd w:id="574"/>
      <w:bookmarkEnd w:id="575"/>
      <w:bookmarkEnd w:id="576"/>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（1）雨、污水总排口阀门不能正常关闭或者沙包堵住；</w:t>
      </w:r>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t>（2）废气处理设施非正常运行。</w:t>
      </w:r>
    </w:p>
    <w:p>
      <w:pPr>
        <w:pStyle w:val="7"/>
        <w:spacing w:before="260" w:after="260"/>
        <w:rPr>
          <w:rFonts w:ascii="Times New Roman" w:hAnsi="Times New Roman" w:eastAsia="宋体" w:cs="Times New Roman"/>
          <w:sz w:val="30"/>
          <w:szCs w:val="30"/>
        </w:rPr>
      </w:pPr>
      <w:bookmarkStart w:id="577" w:name="_Toc132468811"/>
      <w:bookmarkStart w:id="578" w:name="_Toc509234816"/>
      <w:bookmarkStart w:id="579" w:name="_Toc510164096"/>
      <w:bookmarkStart w:id="580" w:name="_Toc523160355"/>
      <w:bookmarkStart w:id="581" w:name="_Toc529542605"/>
      <w:bookmarkStart w:id="582" w:name="_Toc510164495"/>
      <w:bookmarkStart w:id="583" w:name="_Toc523160161"/>
      <w:bookmarkStart w:id="584" w:name="_Toc510164332"/>
      <w:bookmarkStart w:id="585" w:name="_Toc3968"/>
      <w:bookmarkStart w:id="586" w:name="_Toc9440"/>
      <w:r>
        <w:rPr>
          <w:rFonts w:ascii="Times New Roman" w:hAnsi="Times New Roman" w:eastAsia="宋体" w:cs="Times New Roman"/>
          <w:sz w:val="30"/>
          <w:szCs w:val="30"/>
        </w:rPr>
        <w:t>6.4信息报告与处置</w:t>
      </w:r>
      <w:bookmarkEnd w:id="577"/>
      <w:bookmarkEnd w:id="578"/>
      <w:bookmarkEnd w:id="579"/>
      <w:bookmarkEnd w:id="580"/>
      <w:bookmarkEnd w:id="581"/>
      <w:bookmarkEnd w:id="582"/>
      <w:bookmarkEnd w:id="583"/>
      <w:bookmarkEnd w:id="584"/>
      <w:bookmarkEnd w:id="585"/>
      <w:bookmarkEnd w:id="586"/>
    </w:p>
    <w:p>
      <w:pPr>
        <w:ind w:firstLine="480"/>
        <w:rPr>
          <w:rFonts w:ascii="Times New Roman" w:hAnsi="Times New Roman" w:eastAsia="宋体" w:cs="Times New Roman"/>
          <w:szCs w:val="24"/>
        </w:rPr>
      </w:pPr>
      <w:r>
        <w:rPr>
          <w:rFonts w:ascii="Times New Roman" w:hAnsi="Times New Roman" w:eastAsia="宋体" w:cs="Times New Roman"/>
          <w:szCs w:val="24"/>
        </w:rPr>
        <w:t>事故报告分内部报告和外部报告。</w:t>
      </w:r>
    </w:p>
    <w:p>
      <w:pPr>
        <w:ind w:firstLine="480"/>
        <w:rPr>
          <w:rFonts w:ascii="Times New Roman" w:hAnsi="Times New Roman" w:eastAsia="宋体" w:cs="Times New Roman"/>
          <w:szCs w:val="24"/>
        </w:rPr>
      </w:pPr>
      <w:r>
        <w:rPr>
          <w:rFonts w:ascii="Times New Roman" w:hAnsi="Times New Roman" w:eastAsia="宋体" w:cs="Times New Roman"/>
          <w:szCs w:val="24"/>
        </w:rPr>
        <w:t>应急救援人员之间采用手机和住宅电话等进行联系，应急救援小组的电话必须24小时开机，禁止随意更换电话号码。特殊情况下，电话号码发生变更，必须在变更之日起48小时内向应急救援办公室报告。应急救援办公室必须在24小时内向各成员和部门发布变更通知。</w:t>
      </w:r>
    </w:p>
    <w:p>
      <w:pPr>
        <w:ind w:firstLine="480"/>
        <w:rPr>
          <w:rFonts w:ascii="Times New Roman" w:hAnsi="Times New Roman" w:eastAsia="宋体" w:cs="Times New Roman"/>
          <w:szCs w:val="24"/>
          <w:u w:val="single"/>
        </w:rPr>
      </w:pPr>
      <w:r>
        <w:rPr>
          <w:rFonts w:ascii="Times New Roman" w:hAnsi="Times New Roman" w:eastAsia="宋体" w:cs="Times New Roman"/>
          <w:szCs w:val="24"/>
          <w:u w:val="single"/>
        </w:rPr>
        <w:t>应急救援组员联系电话和外部救援联系电话见附件</w:t>
      </w:r>
      <w:r>
        <w:rPr>
          <w:rFonts w:ascii="Times New Roman" w:hAnsi="Times New Roman" w:eastAsia="宋体" w:cs="Times New Roman"/>
          <w:szCs w:val="24"/>
        </w:rPr>
        <w:t>。</w:t>
      </w:r>
    </w:p>
    <w:p>
      <w:pPr>
        <w:pStyle w:val="8"/>
        <w:spacing w:before="180" w:after="180"/>
        <w:rPr>
          <w:rFonts w:eastAsia="宋体" w:cs="Times New Roman"/>
          <w:sz w:val="28"/>
          <w:szCs w:val="28"/>
        </w:rPr>
      </w:pPr>
      <w:bookmarkStart w:id="587" w:name="_Toc13442"/>
      <w:bookmarkStart w:id="588" w:name="_Toc21668"/>
      <w:bookmarkStart w:id="589" w:name="_Toc523160356"/>
      <w:bookmarkStart w:id="590" w:name="_Toc509234817"/>
      <w:bookmarkStart w:id="591" w:name="_Toc529542606"/>
      <w:bookmarkStart w:id="592" w:name="_Toc132468812"/>
      <w:bookmarkStart w:id="593" w:name="_Toc510164097"/>
      <w:r>
        <w:rPr>
          <w:rFonts w:eastAsia="宋体" w:cs="Times New Roman"/>
          <w:sz w:val="28"/>
          <w:szCs w:val="28"/>
        </w:rPr>
        <w:t>6.4.1内部报告</w:t>
      </w:r>
      <w:bookmarkEnd w:id="587"/>
      <w:bookmarkEnd w:id="588"/>
      <w:bookmarkEnd w:id="589"/>
      <w:bookmarkEnd w:id="590"/>
      <w:bookmarkEnd w:id="591"/>
      <w:bookmarkEnd w:id="592"/>
      <w:bookmarkEnd w:id="593"/>
    </w:p>
    <w:p>
      <w:pPr>
        <w:pStyle w:val="9"/>
        <w:spacing w:before="156" w:after="156" w:line="376" w:lineRule="auto"/>
        <w:rPr>
          <w:rFonts w:eastAsia="宋体" w:cs="Times New Roman"/>
          <w:kern w:val="0"/>
          <w:szCs w:val="24"/>
        </w:rPr>
      </w:pPr>
      <w:bookmarkStart w:id="594" w:name="_Toc132468813"/>
      <w:r>
        <w:rPr>
          <w:rFonts w:eastAsia="宋体" w:cs="Times New Roman"/>
          <w:kern w:val="0"/>
          <w:szCs w:val="24"/>
        </w:rPr>
        <w:t>6.4.1.1 24小时应急值守电话</w:t>
      </w:r>
      <w:bookmarkEnd w:id="594"/>
    </w:p>
    <w:p>
      <w:pPr>
        <w:ind w:firstLine="480"/>
        <w:jc w:val="left"/>
        <w:rPr>
          <w:rFonts w:ascii="Times New Roman" w:hAnsi="Times New Roman" w:eastAsia="宋体" w:cs="Times New Roman"/>
          <w:szCs w:val="24"/>
        </w:rPr>
      </w:pPr>
      <w:r>
        <w:rPr>
          <w:rFonts w:ascii="Times New Roman" w:hAnsi="Times New Roman" w:eastAsia="宋体" w:cs="Times New Roman"/>
          <w:szCs w:val="24"/>
        </w:rPr>
        <w:t>公司环境应急指挥中心设置调度室，实行24小时值班制度，值守电话：值班人手机号码（详见附件），必须告知我厂全体人员，并在生产区有明显标识。当发生突发环境应急事件，现场员工按照如下信息通报流程上报。</w:t>
      </w:r>
    </w:p>
    <w:p>
      <w:pPr>
        <w:ind w:firstLine="480"/>
        <w:jc w:val="center"/>
        <w:rPr>
          <w:rFonts w:ascii="Times New Roman" w:hAnsi="Times New Roman" w:eastAsia="宋体" w:cs="Times New Roman"/>
          <w:szCs w:val="24"/>
        </w:rPr>
      </w:pPr>
      <w:r>
        <w:drawing>
          <wp:inline distT="0" distB="0" distL="0" distR="0">
            <wp:extent cx="3597910" cy="152971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3607181" cy="1533887"/>
                    </a:xfrm>
                    <a:prstGeom prst="rect">
                      <a:avLst/>
                    </a:prstGeom>
                  </pic:spPr>
                </pic:pic>
              </a:graphicData>
            </a:graphic>
          </wp:inline>
        </w:drawing>
      </w:r>
    </w:p>
    <w:p>
      <w:pPr>
        <w:pStyle w:val="9"/>
        <w:spacing w:before="156" w:after="156" w:line="376" w:lineRule="auto"/>
        <w:rPr>
          <w:rFonts w:eastAsia="宋体" w:cs="Times New Roman"/>
          <w:kern w:val="0"/>
          <w:szCs w:val="24"/>
        </w:rPr>
      </w:pPr>
      <w:bookmarkStart w:id="595" w:name="_Toc132468814"/>
      <w:r>
        <w:rPr>
          <w:rFonts w:eastAsia="宋体" w:cs="Times New Roman"/>
          <w:kern w:val="0"/>
          <w:szCs w:val="24"/>
        </w:rPr>
        <w:t>6.4.1.2信息报告的形式和要求</w:t>
      </w:r>
      <w:bookmarkEnd w:id="595"/>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（1）单位内任何人一旦掌握事故征兆或发生环境事件的情况，应迅速向应急指挥部报告。应急总指挥不在公司，由副总指挥代行总指挥职责，副总指挥也不在公司，由</w:t>
      </w:r>
      <w:r>
        <w:rPr>
          <w:rFonts w:hint="eastAsia" w:ascii="Times New Roman" w:hAnsi="Times New Roman" w:eastAsia="宋体" w:cs="Times New Roman"/>
          <w:kern w:val="0"/>
          <w:szCs w:val="24"/>
        </w:rPr>
        <w:t>公司副总级管理人员</w:t>
      </w:r>
      <w:r>
        <w:rPr>
          <w:rFonts w:ascii="Times New Roman" w:hAnsi="Times New Roman" w:eastAsia="宋体" w:cs="Times New Roman"/>
          <w:kern w:val="0"/>
          <w:szCs w:val="24"/>
        </w:rPr>
        <w:t>代行总指挥职责。</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2）当发生突发环境事件后，由事故目击者或本岗位操作者立即将着火、泄漏点、时间、着火、泄漏的主要物质、现场及范围等情况汇报通知总指挥，总指挥要当机立断，采取果断措施，控制事故蔓延，同时发出紧急报警信号，迅速把相关情况详细报告应急总指挥。</w:t>
      </w:r>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t>（3）事故发生部门在报警的同时，立即采取有效自救措施，防止事故进一步扩大，如事态失控，立即将人员撤到安全地点。</w:t>
      </w:r>
    </w:p>
    <w:p>
      <w:pPr>
        <w:pStyle w:val="8"/>
        <w:spacing w:before="180" w:after="180"/>
        <w:rPr>
          <w:rFonts w:eastAsia="宋体" w:cs="Times New Roman"/>
          <w:sz w:val="28"/>
          <w:szCs w:val="28"/>
        </w:rPr>
      </w:pPr>
      <w:bookmarkStart w:id="596" w:name="_Toc523160357"/>
      <w:bookmarkStart w:id="597" w:name="_Toc510164098"/>
      <w:bookmarkStart w:id="598" w:name="_Toc529542607"/>
      <w:bookmarkStart w:id="599" w:name="_Toc31470"/>
      <w:bookmarkStart w:id="600" w:name="_Toc509234818"/>
      <w:bookmarkStart w:id="601" w:name="_Toc28843"/>
      <w:bookmarkStart w:id="602" w:name="_Toc132468815"/>
      <w:r>
        <w:rPr>
          <w:rFonts w:eastAsia="宋体" w:cs="Times New Roman"/>
          <w:sz w:val="28"/>
          <w:szCs w:val="28"/>
        </w:rPr>
        <w:t>6.4.2信息通报与上报</w:t>
      </w:r>
      <w:bookmarkEnd w:id="596"/>
      <w:bookmarkEnd w:id="597"/>
      <w:bookmarkEnd w:id="598"/>
      <w:bookmarkEnd w:id="599"/>
      <w:bookmarkEnd w:id="600"/>
      <w:bookmarkEnd w:id="601"/>
      <w:bookmarkEnd w:id="602"/>
    </w:p>
    <w:p>
      <w:pPr>
        <w:numPr>
          <w:ilvl w:val="0"/>
          <w:numId w:val="4"/>
        </w:numPr>
        <w:ind w:firstLine="480"/>
        <w:rPr>
          <w:rFonts w:ascii="Times New Roman" w:hAnsi="Times New Roman" w:eastAsia="宋体" w:cs="Times New Roman"/>
        </w:rPr>
      </w:pPr>
      <w:r>
        <w:rPr>
          <w:rFonts w:ascii="Times New Roman" w:hAnsi="Times New Roman" w:eastAsia="宋体" w:cs="Times New Roman"/>
        </w:rPr>
        <w:t>信息通报</w:t>
      </w:r>
    </w:p>
    <w:p>
      <w:pPr>
        <w:adjustRightInd w:val="0"/>
        <w:snapToGrid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一旦发生事故，应急总指挥及时通报厂区周边可能受影响的居民企业，主要有</w:t>
      </w:r>
      <w:r>
        <w:rPr>
          <w:rFonts w:ascii="Times New Roman" w:hAnsi="Times New Roman" w:eastAsia="宋体" w:cs="Times New Roman"/>
          <w:kern w:val="0"/>
          <w:szCs w:val="21"/>
        </w:rPr>
        <w:t>居民</w:t>
      </w:r>
      <w:r>
        <w:rPr>
          <w:rFonts w:hint="eastAsia" w:ascii="Times New Roman" w:hAnsi="Times New Roman" w:eastAsia="宋体" w:cs="Times New Roman"/>
          <w:kern w:val="0"/>
          <w:szCs w:val="21"/>
        </w:rPr>
        <w:t>车埠</w:t>
      </w:r>
      <w:r>
        <w:rPr>
          <w:rFonts w:ascii="Times New Roman" w:hAnsi="Times New Roman" w:eastAsia="宋体" w:cs="Times New Roman"/>
          <w:kern w:val="0"/>
          <w:szCs w:val="21"/>
        </w:rPr>
        <w:t>村</w:t>
      </w:r>
      <w:r>
        <w:rPr>
          <w:rFonts w:ascii="Times New Roman" w:hAnsi="Times New Roman" w:eastAsia="宋体" w:cs="Times New Roman"/>
          <w:kern w:val="0"/>
          <w:szCs w:val="24"/>
        </w:rPr>
        <w:t>等，</w:t>
      </w:r>
      <w:r>
        <w:rPr>
          <w:rFonts w:ascii="Times New Roman" w:hAnsi="Times New Roman" w:eastAsia="宋体" w:cs="Times New Roman"/>
          <w:szCs w:val="24"/>
        </w:rPr>
        <w:t>必要时请求政府支援进行人员疏散。</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通报内容：事件的时间、地点、涉及物质、现场情况及简要经过、可能造成危害的后果，应该采取的措施、疏散路线等。</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通报责任人：公司应急领导小组总指挥、副总指挥。</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报告方式：手机、固定电话、警报。</w:t>
      </w:r>
    </w:p>
    <w:p>
      <w:pPr>
        <w:pStyle w:val="2"/>
        <w:numPr>
          <w:ilvl w:val="0"/>
          <w:numId w:val="4"/>
        </w:numPr>
        <w:spacing w:line="360" w:lineRule="auto"/>
        <w:ind w:firstLine="480" w:firstLineChars="200"/>
        <w:rPr>
          <w:rFonts w:ascii="Times New Roman" w:hAnsi="Times New Roman" w:eastAsia="宋体" w:cs="Times New Roman"/>
          <w:color w:val="auto"/>
          <w:kern w:val="2"/>
        </w:rPr>
      </w:pPr>
      <w:r>
        <w:rPr>
          <w:rFonts w:ascii="Times New Roman" w:hAnsi="Times New Roman" w:eastAsia="宋体" w:cs="Times New Roman"/>
          <w:color w:val="auto"/>
          <w:kern w:val="2"/>
        </w:rPr>
        <w:t>信息上报</w:t>
      </w:r>
    </w:p>
    <w:p>
      <w:pPr>
        <w:pStyle w:val="2"/>
        <w:spacing w:line="360" w:lineRule="auto"/>
        <w:ind w:left="480" w:leftChars="200"/>
        <w:rPr>
          <w:rFonts w:ascii="Times New Roman" w:hAnsi="Times New Roman" w:eastAsia="宋体" w:cs="Times New Roman"/>
          <w:color w:val="auto"/>
          <w:kern w:val="2"/>
        </w:rPr>
      </w:pPr>
      <w:r>
        <w:rPr>
          <w:rFonts w:ascii="Times New Roman" w:hAnsi="Times New Roman" w:eastAsia="宋体" w:cs="Times New Roman"/>
          <w:color w:val="auto"/>
          <w:kern w:val="2"/>
        </w:rPr>
        <w:t>①上报部门</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当突发环境事件发生后，应根据事件的等级和现场控制处置情况</w:t>
      </w:r>
      <w:r>
        <w:rPr>
          <w:rFonts w:ascii="Times New Roman" w:hAnsi="Times New Roman" w:eastAsia="宋体" w:cs="Times New Roman"/>
          <w:kern w:val="0"/>
          <w:szCs w:val="24"/>
        </w:rPr>
        <w:t>总指挥</w:t>
      </w:r>
      <w:r>
        <w:rPr>
          <w:rFonts w:ascii="Times New Roman" w:hAnsi="Times New Roman" w:eastAsia="宋体" w:cs="Times New Roman"/>
          <w:szCs w:val="24"/>
        </w:rPr>
        <w:t>及时向咸宁市生态环境局赤壁市分局报告。</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上报内容：公司的周边概况、事件的时间、地点、涉及物质、现场情况及简要经过、已造成或可能造成危害的后果，已经采取的措施、请求支援的内容等。</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上报责任人：公司应急领导小组总指挥、副总指挥。</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报告方式：手机、固定电话。</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②上报时限</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1 \* ROMAN \* MERGEFORMAT </w:instrText>
      </w:r>
      <w:r>
        <w:rPr>
          <w:rFonts w:ascii="Times New Roman" w:hAnsi="Times New Roman" w:eastAsia="宋体" w:cs="Times New Roman"/>
          <w:szCs w:val="24"/>
        </w:rPr>
        <w:fldChar w:fldCharType="separate"/>
      </w:r>
      <w:r>
        <w:rPr>
          <w:rFonts w:ascii="Times New Roman" w:hAnsi="Times New Roman" w:eastAsia="宋体" w:cs="Times New Roman"/>
        </w:rPr>
        <w:t>I</w:t>
      </w:r>
      <w:r>
        <w:rPr>
          <w:rFonts w:ascii="Times New Roman" w:hAnsi="Times New Roman" w:eastAsia="宋体" w:cs="Times New Roman"/>
          <w:szCs w:val="24"/>
        </w:rPr>
        <w:fldChar w:fldCharType="end"/>
      </w:r>
      <w:r>
        <w:rPr>
          <w:rFonts w:ascii="Times New Roman" w:hAnsi="Times New Roman" w:eastAsia="宋体" w:cs="Times New Roman"/>
          <w:szCs w:val="24"/>
        </w:rPr>
        <w:t>级事件，第一时间向赤壁市生态环境局、赤壁市政府报告。</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2 \* ROMAN \* MERGEFORMAT </w:instrText>
      </w:r>
      <w:r>
        <w:rPr>
          <w:rFonts w:ascii="Times New Roman" w:hAnsi="Times New Roman" w:eastAsia="宋体" w:cs="Times New Roman"/>
          <w:szCs w:val="24"/>
        </w:rPr>
        <w:fldChar w:fldCharType="separate"/>
      </w:r>
      <w:r>
        <w:rPr>
          <w:rFonts w:ascii="Times New Roman" w:hAnsi="Times New Roman" w:eastAsia="宋体" w:cs="Times New Roman"/>
        </w:rPr>
        <w:t>II</w:t>
      </w:r>
      <w:r>
        <w:rPr>
          <w:rFonts w:ascii="Times New Roman" w:hAnsi="Times New Roman" w:eastAsia="宋体" w:cs="Times New Roman"/>
          <w:szCs w:val="24"/>
        </w:rPr>
        <w:fldChar w:fldCharType="end"/>
      </w:r>
      <w:r>
        <w:rPr>
          <w:rFonts w:ascii="Times New Roman" w:hAnsi="Times New Roman" w:eastAsia="宋体" w:cs="Times New Roman"/>
          <w:szCs w:val="24"/>
        </w:rPr>
        <w:t>级事件，第一时间向赤壁市生态环境局、赤壁市政府报告。</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③报告内容</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①初报。从发现事故后起1小时内上报，可通过电话、传真或直接派人等方式报告，报告内容包括：事故类型、发生时间、地点、污染源、主要污染物质、经济损失、人员受害等初步情况；</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②续报。在查清有关基本情况后立即上报，通过书面或直接派人形式报告，内容主要包括：在初报的基础上报告有关确切数据，事故发生的原因、过程和采取的应急措施等基本情况；</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③处理结果报告。在事故处理完后立即上报。报告应采用书面形式，主要内容包括：在续报的基础上，报告处理事故的措施、过程和结果，事故潜在或间接的危害、社会影响，处理后的遗留问题，参加处理工作的有关部门和工作内容，出具有关危害与损失的证明文件等详细情况。</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如果环境污染事件的影响范围</w:t>
      </w:r>
      <w:r>
        <w:rPr>
          <w:rFonts w:hint="eastAsia" w:ascii="Times New Roman" w:hAnsi="Times New Roman" w:eastAsia="宋体" w:cs="Times New Roman"/>
          <w:kern w:val="0"/>
          <w:szCs w:val="24"/>
          <w:lang w:eastAsia="zh-CN"/>
        </w:rPr>
        <w:t>涉及</w:t>
      </w:r>
      <w:r>
        <w:rPr>
          <w:rFonts w:ascii="Times New Roman" w:hAnsi="Times New Roman" w:eastAsia="宋体" w:cs="Times New Roman"/>
          <w:kern w:val="0"/>
          <w:szCs w:val="24"/>
        </w:rPr>
        <w:t>区域外时，必须立即形成信息报告连同预警信息</w:t>
      </w:r>
      <w:r>
        <w:rPr>
          <w:rFonts w:ascii="Times New Roman" w:hAnsi="Times New Roman" w:eastAsia="宋体" w:cs="Times New Roman"/>
          <w:szCs w:val="24"/>
        </w:rPr>
        <w:t>咸宁市生态环境局赤壁市分局、</w:t>
      </w:r>
      <w:r>
        <w:rPr>
          <w:rFonts w:ascii="Times New Roman" w:hAnsi="Times New Roman" w:eastAsia="宋体" w:cs="Times New Roman"/>
          <w:kern w:val="0"/>
          <w:szCs w:val="24"/>
        </w:rPr>
        <w:t>赤壁市人民政府，启动相应的预案。</w:t>
      </w:r>
    </w:p>
    <w:p>
      <w:pPr>
        <w:pStyle w:val="8"/>
        <w:spacing w:before="180" w:after="180"/>
        <w:rPr>
          <w:rFonts w:eastAsia="宋体" w:cs="Times New Roman"/>
          <w:sz w:val="28"/>
          <w:szCs w:val="28"/>
        </w:rPr>
      </w:pPr>
      <w:bookmarkStart w:id="603" w:name="_Toc17133"/>
      <w:bookmarkStart w:id="604" w:name="_Toc132468816"/>
      <w:bookmarkStart w:id="605" w:name="_Toc1056"/>
      <w:r>
        <w:rPr>
          <w:rFonts w:eastAsia="宋体" w:cs="Times New Roman"/>
          <w:sz w:val="28"/>
          <w:szCs w:val="28"/>
        </w:rPr>
        <w:t>6.4.3信息通报及请求相关救援单位支持</w:t>
      </w:r>
      <w:bookmarkEnd w:id="603"/>
      <w:bookmarkEnd w:id="604"/>
      <w:bookmarkEnd w:id="605"/>
    </w:p>
    <w:p>
      <w:pPr>
        <w:pStyle w:val="9"/>
        <w:spacing w:before="156" w:after="156"/>
        <w:rPr>
          <w:rFonts w:eastAsia="宋体" w:cs="Times New Roman"/>
        </w:rPr>
      </w:pPr>
      <w:bookmarkStart w:id="606" w:name="_Toc132468817"/>
      <w:r>
        <w:rPr>
          <w:rFonts w:eastAsia="宋体" w:cs="Times New Roman"/>
        </w:rPr>
        <w:t>6.4.3.1通报可能遭受事件影响的单位</w:t>
      </w:r>
      <w:bookmarkEnd w:id="606"/>
    </w:p>
    <w:p>
      <w:pPr>
        <w:autoSpaceDE w:val="0"/>
        <w:autoSpaceDN w:val="0"/>
        <w:adjustRightInd w:val="0"/>
        <w:ind w:firstLine="480"/>
        <w:jc w:val="left"/>
        <w:rPr>
          <w:rFonts w:ascii="Times New Roman" w:hAnsi="Times New Roman" w:eastAsia="宋体" w:cs="Times New Roman"/>
          <w:kern w:val="0"/>
        </w:rPr>
      </w:pPr>
      <w:r>
        <w:rPr>
          <w:rFonts w:ascii="Times New Roman" w:hAnsi="Times New Roman" w:eastAsia="宋体" w:cs="Times New Roman"/>
          <w:kern w:val="0"/>
        </w:rPr>
        <w:t>在事故可能影响到厂外的情况下，应急指挥部应立即向周边临近单位、社区（村委会）、受影响区域人群发出</w:t>
      </w:r>
      <w:r>
        <w:rPr>
          <w:rFonts w:ascii="Times New Roman" w:hAnsi="Times New Roman" w:eastAsia="宋体" w:cs="Times New Roman"/>
          <w:kern w:val="0"/>
          <w:u w:val="single"/>
        </w:rPr>
        <w:t>警报或者电话联系当地的村委会或者联系管理部门通知周边村委会居民</w:t>
      </w:r>
      <w:r>
        <w:rPr>
          <w:rFonts w:ascii="Times New Roman" w:hAnsi="Times New Roman" w:eastAsia="宋体" w:cs="Times New Roman"/>
          <w:kern w:val="0"/>
        </w:rPr>
        <w:t>。</w:t>
      </w:r>
    </w:p>
    <w:p>
      <w:pPr>
        <w:ind w:firstLine="480"/>
        <w:rPr>
          <w:rFonts w:ascii="Times New Roman" w:hAnsi="Times New Roman" w:eastAsia="宋体" w:cs="Times New Roman"/>
          <w:kern w:val="0"/>
        </w:rPr>
      </w:pPr>
      <w:r>
        <w:rPr>
          <w:rFonts w:ascii="Times New Roman" w:hAnsi="Times New Roman" w:eastAsia="宋体" w:cs="Times New Roman"/>
          <w:kern w:val="0"/>
        </w:rPr>
        <w:t>警报</w:t>
      </w:r>
      <w:r>
        <w:rPr>
          <w:rFonts w:hint="eastAsia" w:ascii="Times New Roman" w:hAnsi="Times New Roman" w:eastAsia="宋体" w:cs="Times New Roman"/>
          <w:kern w:val="0"/>
        </w:rPr>
        <w:t>应</w:t>
      </w:r>
      <w:r>
        <w:rPr>
          <w:rFonts w:ascii="Times New Roman" w:hAnsi="Times New Roman" w:eastAsia="宋体" w:cs="Times New Roman"/>
          <w:kern w:val="0"/>
        </w:rPr>
        <w:t>告诉公众该如何采取行动；如果决定疏散，应当通知居民避难所位置和疏散路线。</w:t>
      </w:r>
      <w:r>
        <w:rPr>
          <w:rFonts w:ascii="Times New Roman" w:hAnsi="Times New Roman" w:eastAsia="宋体" w:cs="Times New Roman"/>
          <w:kern w:val="0"/>
          <w:u w:val="single"/>
        </w:rPr>
        <w:t>电话通知的联系方式详见附件2。</w:t>
      </w:r>
    </w:p>
    <w:p>
      <w:pPr>
        <w:pStyle w:val="9"/>
        <w:spacing w:before="156" w:after="156"/>
        <w:rPr>
          <w:rFonts w:eastAsia="宋体" w:cs="Times New Roman"/>
          <w:szCs w:val="24"/>
        </w:rPr>
      </w:pPr>
      <w:bookmarkStart w:id="607" w:name="_Toc132468818"/>
      <w:r>
        <w:rPr>
          <w:rFonts w:eastAsia="宋体" w:cs="Times New Roman"/>
        </w:rPr>
        <w:t>6.4.3.2请求相关救援单位支持</w:t>
      </w:r>
      <w:bookmarkEnd w:id="607"/>
    </w:p>
    <w:p>
      <w:pPr>
        <w:ind w:firstLine="480"/>
        <w:rPr>
          <w:rFonts w:ascii="Times New Roman" w:hAnsi="Times New Roman" w:eastAsia="宋体" w:cs="Times New Roman"/>
          <w:szCs w:val="24"/>
        </w:rPr>
      </w:pPr>
      <w:r>
        <w:rPr>
          <w:rFonts w:ascii="Times New Roman" w:hAnsi="Times New Roman" w:eastAsia="宋体" w:cs="Times New Roman"/>
          <w:szCs w:val="24"/>
        </w:rPr>
        <w:t>若事故范围大，难以控制，如超出了本单位的范围，使邻近的单位受到影响，或者产生连锁反应，影响事故现场之外的周围地区；或危害严重，对生命和财产构成极端威胁，可能需要大范围撤离的事故；此时应急</w:t>
      </w:r>
      <w:r>
        <w:rPr>
          <w:rFonts w:ascii="Times New Roman" w:hAnsi="Times New Roman" w:eastAsia="宋体" w:cs="Times New Roman"/>
          <w:kern w:val="0"/>
          <w:szCs w:val="24"/>
        </w:rPr>
        <w:t>总指挥</w:t>
      </w:r>
      <w:r>
        <w:rPr>
          <w:rFonts w:ascii="Times New Roman" w:hAnsi="Times New Roman" w:eastAsia="宋体" w:cs="Times New Roman"/>
          <w:szCs w:val="24"/>
        </w:rPr>
        <w:t>应尽快请求政府派专家、资源进行支援，应急救援中心、消防、医院联系方式见附件。</w:t>
      </w:r>
    </w:p>
    <w:p>
      <w:pPr>
        <w:pStyle w:val="8"/>
        <w:spacing w:before="180" w:after="180"/>
        <w:rPr>
          <w:rFonts w:eastAsia="宋体" w:cs="Times New Roman"/>
          <w:sz w:val="28"/>
          <w:szCs w:val="28"/>
        </w:rPr>
      </w:pPr>
      <w:bookmarkStart w:id="608" w:name="_Toc8228"/>
      <w:bookmarkStart w:id="609" w:name="_Toc132468819"/>
      <w:bookmarkStart w:id="610" w:name="_Toc510164100"/>
      <w:bookmarkStart w:id="611" w:name="_Toc7371"/>
      <w:bookmarkStart w:id="612" w:name="_Toc523160359"/>
      <w:bookmarkStart w:id="613" w:name="_Toc509234820"/>
      <w:bookmarkStart w:id="614" w:name="_Toc529542609"/>
      <w:r>
        <w:rPr>
          <w:rFonts w:eastAsia="宋体" w:cs="Times New Roman"/>
          <w:sz w:val="28"/>
          <w:szCs w:val="28"/>
        </w:rPr>
        <w:t>6.4.4信息发布</w:t>
      </w:r>
      <w:bookmarkEnd w:id="608"/>
      <w:bookmarkEnd w:id="609"/>
      <w:bookmarkEnd w:id="610"/>
      <w:bookmarkEnd w:id="611"/>
      <w:bookmarkEnd w:id="612"/>
      <w:bookmarkEnd w:id="613"/>
      <w:bookmarkEnd w:id="614"/>
    </w:p>
    <w:p>
      <w:pPr>
        <w:pStyle w:val="9"/>
        <w:spacing w:before="156" w:after="156" w:line="376" w:lineRule="auto"/>
        <w:rPr>
          <w:rFonts w:eastAsia="宋体" w:cs="Times New Roman"/>
          <w:kern w:val="0"/>
          <w:szCs w:val="24"/>
        </w:rPr>
      </w:pPr>
      <w:bookmarkStart w:id="615" w:name="_Toc132468820"/>
      <w:r>
        <w:rPr>
          <w:rFonts w:eastAsia="宋体" w:cs="Times New Roman"/>
          <w:kern w:val="0"/>
          <w:szCs w:val="24"/>
        </w:rPr>
        <w:t>6.4.4.1信息发布总体原则</w:t>
      </w:r>
      <w:bookmarkEnd w:id="615"/>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当发生重大环境事故后，应急指挥部立即以电话通知</w:t>
      </w:r>
      <w:r>
        <w:rPr>
          <w:rFonts w:ascii="Times New Roman" w:hAnsi="Times New Roman" w:eastAsia="宋体" w:cs="Times New Roman"/>
          <w:szCs w:val="24"/>
        </w:rPr>
        <w:t>咸宁市生态环境局赤壁市分局、</w:t>
      </w:r>
      <w:r>
        <w:rPr>
          <w:rFonts w:ascii="Times New Roman" w:hAnsi="Times New Roman" w:eastAsia="宋体" w:cs="Times New Roman"/>
          <w:kern w:val="0"/>
          <w:szCs w:val="24"/>
        </w:rPr>
        <w:t>赤壁市人民政府，并在发生事故后15日内，公司以书面方式报告事故及处理情况，初报的内容包括以下内容：</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单位法定代表人的名称、地址、联系方式；设施的名称、地址和联系方式；事故发生的日期和时间，事故类型；所涉及材料的名称和数量；对人体健康和环境的潜在或实际危害的评估；事故产生的污染的处理情况。</w:t>
      </w:r>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t>书面报告视事件进展情况可一次或多次报告。报告内容除初报的内容外，还应当包括事件有关确切数据、发生的原因、过程、进展情况、危害程度及采取的应急措施、措施效果、处理结果等。</w:t>
      </w:r>
    </w:p>
    <w:p>
      <w:pPr>
        <w:pStyle w:val="9"/>
        <w:spacing w:before="156" w:after="156" w:line="376" w:lineRule="auto"/>
        <w:rPr>
          <w:rFonts w:eastAsia="宋体" w:cs="Times New Roman"/>
          <w:kern w:val="0"/>
          <w:szCs w:val="24"/>
        </w:rPr>
      </w:pPr>
      <w:bookmarkStart w:id="616" w:name="_Toc132468821"/>
      <w:r>
        <w:rPr>
          <w:rFonts w:eastAsia="宋体" w:cs="Times New Roman"/>
          <w:kern w:val="0"/>
          <w:szCs w:val="24"/>
        </w:rPr>
        <w:t>6.4.4.2信息工作执行部门</w:t>
      </w:r>
      <w:bookmarkEnd w:id="616"/>
    </w:p>
    <w:p>
      <w:pPr>
        <w:ind w:firstLine="480"/>
        <w:rPr>
          <w:rFonts w:ascii="Times New Roman" w:hAnsi="Times New Roman" w:eastAsia="宋体" w:cs="Times New Roman"/>
          <w:szCs w:val="24"/>
        </w:rPr>
      </w:pPr>
      <w:r>
        <w:rPr>
          <w:rFonts w:ascii="Times New Roman" w:hAnsi="Times New Roman" w:eastAsia="宋体" w:cs="Times New Roman"/>
          <w:szCs w:val="24"/>
        </w:rPr>
        <w:t>事故发生后，由应急指挥部制定事故的新闻发布方案，经公司审批后，根据事态进展，应急办公室适时对外发布，发布的信息内容必须准确详实，其它任何个人和单位不得擅自对外发布信息，避免错误报道，造成不良影响。</w:t>
      </w:r>
    </w:p>
    <w:p>
      <w:pPr>
        <w:spacing w:line="240" w:lineRule="auto"/>
        <w:ind w:firstLine="422"/>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表6.4-1  信息通报联动联系一览表</w:t>
      </w:r>
    </w:p>
    <w:tbl>
      <w:tblPr>
        <w:tblStyle w:val="36"/>
        <w:tblW w:w="9924"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21"/>
        <w:gridCol w:w="677"/>
        <w:gridCol w:w="4677"/>
        <w:gridCol w:w="374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821" w:type="dxa"/>
            <w:tcBorders>
              <w:bottom w:val="single" w:color="auto" w:sz="12" w:space="0"/>
            </w:tcBorders>
            <w:vAlign w:val="center"/>
          </w:tcPr>
          <w:p>
            <w:pPr>
              <w:ind w:firstLine="0" w:firstLineChars="0"/>
              <w:jc w:val="center"/>
              <w:rPr>
                <w:rFonts w:ascii="Times New Roman" w:hAnsi="Times New Roman" w:cs="Times New Roman"/>
                <w:b/>
                <w:bCs/>
                <w:sz w:val="18"/>
                <w:szCs w:val="18"/>
              </w:rPr>
            </w:pPr>
            <w:r>
              <w:rPr>
                <w:rFonts w:ascii="Times New Roman" w:hAnsi="Times New Roman" w:cs="Times New Roman"/>
                <w:b/>
                <w:bCs/>
                <w:sz w:val="18"/>
                <w:szCs w:val="18"/>
              </w:rPr>
              <w:t>类别</w:t>
            </w:r>
          </w:p>
        </w:tc>
        <w:tc>
          <w:tcPr>
            <w:tcW w:w="677" w:type="dxa"/>
            <w:tcBorders>
              <w:bottom w:val="single" w:color="auto" w:sz="12" w:space="0"/>
            </w:tcBorders>
            <w:vAlign w:val="center"/>
          </w:tcPr>
          <w:p>
            <w:pPr>
              <w:ind w:firstLine="0" w:firstLineChars="0"/>
              <w:jc w:val="center"/>
              <w:rPr>
                <w:rFonts w:ascii="Times New Roman" w:hAnsi="Times New Roman" w:cs="Times New Roman"/>
                <w:b/>
                <w:bCs/>
                <w:sz w:val="18"/>
                <w:szCs w:val="18"/>
              </w:rPr>
            </w:pPr>
            <w:r>
              <w:rPr>
                <w:rFonts w:ascii="Times New Roman" w:hAnsi="Times New Roman" w:cs="Times New Roman"/>
                <w:b/>
                <w:bCs/>
                <w:sz w:val="18"/>
                <w:szCs w:val="18"/>
              </w:rPr>
              <w:t>序号</w:t>
            </w:r>
          </w:p>
        </w:tc>
        <w:tc>
          <w:tcPr>
            <w:tcW w:w="4677" w:type="dxa"/>
            <w:tcBorders>
              <w:bottom w:val="single" w:color="auto" w:sz="12" w:space="0"/>
            </w:tcBorders>
            <w:vAlign w:val="center"/>
          </w:tcPr>
          <w:p>
            <w:pPr>
              <w:ind w:firstLine="0" w:firstLineChars="0"/>
              <w:jc w:val="center"/>
              <w:rPr>
                <w:rFonts w:ascii="Times New Roman" w:hAnsi="Times New Roman" w:cs="Times New Roman"/>
                <w:b/>
                <w:bCs/>
                <w:sz w:val="18"/>
                <w:szCs w:val="18"/>
              </w:rPr>
            </w:pPr>
            <w:r>
              <w:rPr>
                <w:rFonts w:ascii="Times New Roman" w:hAnsi="Times New Roman" w:cs="Times New Roman"/>
                <w:b/>
                <w:bCs/>
                <w:sz w:val="18"/>
                <w:szCs w:val="18"/>
              </w:rPr>
              <w:t>部门</w:t>
            </w:r>
          </w:p>
        </w:tc>
        <w:tc>
          <w:tcPr>
            <w:tcW w:w="3749" w:type="dxa"/>
            <w:tcBorders>
              <w:bottom w:val="single" w:color="auto" w:sz="12" w:space="0"/>
            </w:tcBorders>
            <w:vAlign w:val="center"/>
          </w:tcPr>
          <w:p>
            <w:pPr>
              <w:ind w:firstLine="0" w:firstLineChars="0"/>
              <w:jc w:val="center"/>
              <w:rPr>
                <w:rFonts w:ascii="Times New Roman" w:hAnsi="Times New Roman" w:cs="Times New Roman"/>
                <w:b/>
                <w:bCs/>
                <w:sz w:val="18"/>
                <w:szCs w:val="18"/>
              </w:rPr>
            </w:pPr>
            <w:r>
              <w:rPr>
                <w:rFonts w:ascii="Times New Roman" w:hAnsi="Times New Roman" w:cs="Times New Roman"/>
                <w:b/>
                <w:bCs/>
                <w:sz w:val="18"/>
                <w:szCs w:val="18"/>
              </w:rPr>
              <w:t>联系电话</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821" w:type="dxa"/>
            <w:vMerge w:val="restart"/>
            <w:tcBorders>
              <w:top w:val="single" w:color="auto" w:sz="12" w:space="0"/>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外部救援力量</w:t>
            </w:r>
          </w:p>
        </w:tc>
        <w:tc>
          <w:tcPr>
            <w:tcW w:w="677" w:type="dxa"/>
            <w:tcBorders>
              <w:top w:val="single" w:color="auto" w:sz="12" w:space="0"/>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1</w:t>
            </w:r>
          </w:p>
        </w:tc>
        <w:tc>
          <w:tcPr>
            <w:tcW w:w="4677" w:type="dxa"/>
            <w:tcBorders>
              <w:top w:val="single" w:color="auto" w:sz="12" w:space="0"/>
            </w:tcBorders>
            <w:vAlign w:val="center"/>
          </w:tcPr>
          <w:p>
            <w:pPr>
              <w:pStyle w:val="86"/>
              <w:rPr>
                <w:szCs w:val="18"/>
              </w:rPr>
            </w:pPr>
            <w:r>
              <w:rPr>
                <w:szCs w:val="18"/>
              </w:rPr>
              <w:t>急救、公安、消防、交通事故、气象</w:t>
            </w:r>
          </w:p>
        </w:tc>
        <w:tc>
          <w:tcPr>
            <w:tcW w:w="3749" w:type="dxa"/>
            <w:tcBorders>
              <w:top w:val="single" w:color="auto" w:sz="12" w:space="0"/>
            </w:tcBorders>
            <w:vAlign w:val="center"/>
          </w:tcPr>
          <w:p>
            <w:pPr>
              <w:pStyle w:val="86"/>
              <w:rPr>
                <w:szCs w:val="18"/>
              </w:rPr>
            </w:pPr>
            <w:r>
              <w:rPr>
                <w:szCs w:val="18"/>
              </w:rPr>
              <w:t>120/110/119/122/12121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821" w:type="dxa"/>
            <w:vMerge w:val="continue"/>
            <w:vAlign w:val="center"/>
          </w:tcPr>
          <w:p>
            <w:pPr>
              <w:ind w:firstLine="360"/>
              <w:jc w:val="center"/>
              <w:rPr>
                <w:rFonts w:ascii="Times New Roman" w:hAnsi="Times New Roman" w:cs="Times New Roman"/>
                <w:sz w:val="18"/>
                <w:szCs w:val="18"/>
              </w:rPr>
            </w:pPr>
          </w:p>
        </w:tc>
        <w:tc>
          <w:tcPr>
            <w:tcW w:w="677"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2</w:t>
            </w:r>
          </w:p>
        </w:tc>
        <w:tc>
          <w:tcPr>
            <w:tcW w:w="4677" w:type="dxa"/>
            <w:vAlign w:val="center"/>
          </w:tcPr>
          <w:p>
            <w:pPr>
              <w:pStyle w:val="86"/>
              <w:rPr>
                <w:szCs w:val="18"/>
              </w:rPr>
            </w:pPr>
            <w:r>
              <w:rPr>
                <w:szCs w:val="18"/>
              </w:rPr>
              <w:t>赤壁市环境监测中心</w:t>
            </w:r>
          </w:p>
        </w:tc>
        <w:tc>
          <w:tcPr>
            <w:tcW w:w="3749" w:type="dxa"/>
            <w:vAlign w:val="center"/>
          </w:tcPr>
          <w:p>
            <w:pPr>
              <w:pStyle w:val="86"/>
              <w:rPr>
                <w:szCs w:val="18"/>
              </w:rPr>
            </w:pPr>
            <w:r>
              <w:rPr>
                <w:szCs w:val="18"/>
              </w:rPr>
              <w:t>0715-5234312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821" w:type="dxa"/>
            <w:vMerge w:val="continue"/>
            <w:vAlign w:val="center"/>
          </w:tcPr>
          <w:p>
            <w:pPr>
              <w:ind w:firstLine="360"/>
              <w:jc w:val="center"/>
              <w:rPr>
                <w:rFonts w:ascii="Times New Roman" w:hAnsi="Times New Roman" w:cs="Times New Roman"/>
                <w:sz w:val="18"/>
                <w:szCs w:val="18"/>
              </w:rPr>
            </w:pPr>
          </w:p>
        </w:tc>
        <w:tc>
          <w:tcPr>
            <w:tcW w:w="677"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3</w:t>
            </w:r>
          </w:p>
        </w:tc>
        <w:tc>
          <w:tcPr>
            <w:tcW w:w="4677" w:type="dxa"/>
            <w:vAlign w:val="center"/>
          </w:tcPr>
          <w:p>
            <w:pPr>
              <w:ind w:firstLine="0" w:firstLineChars="0"/>
              <w:jc w:val="center"/>
              <w:rPr>
                <w:rFonts w:ascii="Times New Roman" w:hAnsi="Times New Roman" w:cs="Times New Roman"/>
                <w:kern w:val="0"/>
                <w:sz w:val="18"/>
                <w:szCs w:val="18"/>
              </w:rPr>
            </w:pPr>
            <w:r>
              <w:rPr>
                <w:rFonts w:ascii="Times New Roman" w:hAnsi="Times New Roman" w:eastAsia="宋体" w:cs="Times New Roman"/>
                <w:sz w:val="18"/>
                <w:szCs w:val="18"/>
              </w:rPr>
              <w:t>赤壁市供水公司</w:t>
            </w:r>
          </w:p>
        </w:tc>
        <w:tc>
          <w:tcPr>
            <w:tcW w:w="3749" w:type="dxa"/>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0715-5220777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821" w:type="dxa"/>
            <w:vMerge w:val="continue"/>
            <w:vAlign w:val="center"/>
          </w:tcPr>
          <w:p>
            <w:pPr>
              <w:ind w:firstLine="360"/>
              <w:jc w:val="center"/>
              <w:rPr>
                <w:rFonts w:ascii="Times New Roman" w:hAnsi="Times New Roman" w:cs="Times New Roman"/>
                <w:sz w:val="18"/>
                <w:szCs w:val="18"/>
              </w:rPr>
            </w:pPr>
          </w:p>
        </w:tc>
        <w:tc>
          <w:tcPr>
            <w:tcW w:w="677"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4</w:t>
            </w:r>
          </w:p>
        </w:tc>
        <w:tc>
          <w:tcPr>
            <w:tcW w:w="4677" w:type="dxa"/>
            <w:vAlign w:val="center"/>
          </w:tcPr>
          <w:p>
            <w:pPr>
              <w:ind w:firstLine="0" w:firstLineChars="0"/>
              <w:jc w:val="center"/>
              <w:rPr>
                <w:rFonts w:ascii="Times New Roman" w:hAnsi="Times New Roman" w:cs="Times New Roman"/>
                <w:kern w:val="0"/>
                <w:sz w:val="18"/>
                <w:szCs w:val="18"/>
              </w:rPr>
            </w:pPr>
            <w:r>
              <w:rPr>
                <w:rFonts w:ascii="Times New Roman" w:hAnsi="Times New Roman" w:eastAsia="宋体" w:cs="Times New Roman"/>
                <w:sz w:val="18"/>
                <w:szCs w:val="18"/>
              </w:rPr>
              <w:t>赤壁市供电公司</w:t>
            </w:r>
          </w:p>
        </w:tc>
        <w:tc>
          <w:tcPr>
            <w:tcW w:w="3749" w:type="dxa"/>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0715-5353630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821" w:type="dxa"/>
            <w:vMerge w:val="continue"/>
            <w:vAlign w:val="center"/>
          </w:tcPr>
          <w:p>
            <w:pPr>
              <w:ind w:firstLine="360"/>
              <w:jc w:val="center"/>
              <w:rPr>
                <w:rFonts w:ascii="Times New Roman" w:hAnsi="Times New Roman" w:cs="Times New Roman"/>
                <w:sz w:val="18"/>
                <w:szCs w:val="18"/>
              </w:rPr>
            </w:pPr>
          </w:p>
        </w:tc>
        <w:tc>
          <w:tcPr>
            <w:tcW w:w="677"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5</w:t>
            </w:r>
          </w:p>
        </w:tc>
        <w:tc>
          <w:tcPr>
            <w:tcW w:w="4677" w:type="dxa"/>
            <w:vAlign w:val="center"/>
          </w:tcPr>
          <w:p>
            <w:pPr>
              <w:pStyle w:val="86"/>
              <w:rPr>
                <w:szCs w:val="18"/>
              </w:rPr>
            </w:pPr>
            <w:r>
              <w:rPr>
                <w:szCs w:val="18"/>
              </w:rPr>
              <w:t>赤壁市应急管理局</w:t>
            </w:r>
          </w:p>
        </w:tc>
        <w:tc>
          <w:tcPr>
            <w:tcW w:w="3749" w:type="dxa"/>
            <w:vAlign w:val="center"/>
          </w:tcPr>
          <w:p>
            <w:pPr>
              <w:pStyle w:val="86"/>
              <w:rPr>
                <w:szCs w:val="18"/>
              </w:rPr>
            </w:pPr>
            <w:r>
              <w:rPr>
                <w:szCs w:val="18"/>
              </w:rPr>
              <w:t>0715-8620710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821" w:type="dxa"/>
            <w:vMerge w:val="continue"/>
            <w:vAlign w:val="center"/>
          </w:tcPr>
          <w:p>
            <w:pPr>
              <w:ind w:firstLine="360"/>
              <w:jc w:val="center"/>
              <w:rPr>
                <w:rFonts w:ascii="Times New Roman" w:hAnsi="Times New Roman" w:cs="Times New Roman"/>
                <w:sz w:val="18"/>
                <w:szCs w:val="18"/>
              </w:rPr>
            </w:pPr>
          </w:p>
        </w:tc>
        <w:tc>
          <w:tcPr>
            <w:tcW w:w="677"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6</w:t>
            </w:r>
          </w:p>
        </w:tc>
        <w:tc>
          <w:tcPr>
            <w:tcW w:w="4677" w:type="dxa"/>
            <w:vAlign w:val="center"/>
          </w:tcPr>
          <w:p>
            <w:pPr>
              <w:pStyle w:val="86"/>
              <w:rPr>
                <w:szCs w:val="18"/>
              </w:rPr>
            </w:pPr>
            <w:r>
              <w:rPr>
                <w:szCs w:val="18"/>
              </w:rPr>
              <w:t>咸宁市疾病预防控制中心</w:t>
            </w:r>
          </w:p>
        </w:tc>
        <w:tc>
          <w:tcPr>
            <w:tcW w:w="3749" w:type="dxa"/>
            <w:vAlign w:val="center"/>
          </w:tcPr>
          <w:p>
            <w:pPr>
              <w:pStyle w:val="86"/>
              <w:rPr>
                <w:kern w:val="0"/>
                <w:szCs w:val="18"/>
              </w:rPr>
            </w:pPr>
            <w:r>
              <w:rPr>
                <w:szCs w:val="18"/>
              </w:rPr>
              <w:t>0715-8269986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821" w:type="dxa"/>
            <w:vMerge w:val="continue"/>
            <w:vAlign w:val="center"/>
          </w:tcPr>
          <w:p>
            <w:pPr>
              <w:ind w:firstLine="360"/>
              <w:jc w:val="center"/>
              <w:rPr>
                <w:rFonts w:ascii="Times New Roman" w:hAnsi="Times New Roman" w:cs="Times New Roman"/>
                <w:sz w:val="18"/>
                <w:szCs w:val="18"/>
              </w:rPr>
            </w:pPr>
          </w:p>
        </w:tc>
        <w:tc>
          <w:tcPr>
            <w:tcW w:w="677"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7</w:t>
            </w:r>
          </w:p>
        </w:tc>
        <w:tc>
          <w:tcPr>
            <w:tcW w:w="4677" w:type="dxa"/>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赤壁市人民医院</w:t>
            </w:r>
          </w:p>
        </w:tc>
        <w:tc>
          <w:tcPr>
            <w:tcW w:w="3749" w:type="dxa"/>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0715-5369000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821" w:type="dxa"/>
            <w:vMerge w:val="continue"/>
            <w:vAlign w:val="center"/>
          </w:tcPr>
          <w:p>
            <w:pPr>
              <w:ind w:firstLine="360"/>
              <w:jc w:val="center"/>
              <w:rPr>
                <w:rFonts w:ascii="Times New Roman" w:hAnsi="Times New Roman" w:cs="Times New Roman"/>
                <w:sz w:val="18"/>
                <w:szCs w:val="18"/>
              </w:rPr>
            </w:pPr>
          </w:p>
        </w:tc>
        <w:tc>
          <w:tcPr>
            <w:tcW w:w="677"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8</w:t>
            </w:r>
          </w:p>
        </w:tc>
        <w:tc>
          <w:tcPr>
            <w:tcW w:w="4677" w:type="dxa"/>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赤壁市红十字会医院</w:t>
            </w:r>
          </w:p>
        </w:tc>
        <w:tc>
          <w:tcPr>
            <w:tcW w:w="3749" w:type="dxa"/>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0715-5230337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821" w:type="dxa"/>
            <w:vMerge w:val="continue"/>
            <w:vAlign w:val="center"/>
          </w:tcPr>
          <w:p>
            <w:pPr>
              <w:ind w:firstLine="360"/>
              <w:jc w:val="center"/>
              <w:rPr>
                <w:rFonts w:ascii="Times New Roman" w:hAnsi="Times New Roman" w:cs="Times New Roman"/>
                <w:sz w:val="18"/>
                <w:szCs w:val="18"/>
              </w:rPr>
            </w:pPr>
          </w:p>
        </w:tc>
        <w:tc>
          <w:tcPr>
            <w:tcW w:w="677"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9</w:t>
            </w:r>
          </w:p>
        </w:tc>
        <w:tc>
          <w:tcPr>
            <w:tcW w:w="4677" w:type="dxa"/>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车埠镇卫生院</w:t>
            </w:r>
          </w:p>
        </w:tc>
        <w:tc>
          <w:tcPr>
            <w:tcW w:w="3749" w:type="dxa"/>
            <w:vAlign w:val="center"/>
          </w:tcPr>
          <w:p>
            <w:pPr>
              <w:ind w:firstLine="0" w:firstLineChars="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0715-5742031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821" w:type="dxa"/>
            <w:vMerge w:val="continue"/>
            <w:vAlign w:val="center"/>
          </w:tcPr>
          <w:p>
            <w:pPr>
              <w:ind w:firstLine="360"/>
              <w:jc w:val="center"/>
              <w:rPr>
                <w:rFonts w:ascii="Times New Roman" w:hAnsi="Times New Roman" w:cs="Times New Roman"/>
                <w:sz w:val="18"/>
                <w:szCs w:val="18"/>
              </w:rPr>
            </w:pPr>
          </w:p>
        </w:tc>
        <w:tc>
          <w:tcPr>
            <w:tcW w:w="677"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10</w:t>
            </w:r>
          </w:p>
        </w:tc>
        <w:tc>
          <w:tcPr>
            <w:tcW w:w="4677" w:type="dxa"/>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赤壁市水利和湖泊局</w:t>
            </w:r>
          </w:p>
        </w:tc>
        <w:tc>
          <w:tcPr>
            <w:tcW w:w="3749" w:type="dxa"/>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0715-5351315</w:t>
            </w:r>
          </w:p>
        </w:tc>
      </w:tr>
    </w:tbl>
    <w:p>
      <w:pPr>
        <w:pStyle w:val="7"/>
        <w:spacing w:before="260" w:after="260"/>
        <w:rPr>
          <w:rFonts w:ascii="Times New Roman" w:hAnsi="Times New Roman" w:eastAsia="宋体" w:cs="Times New Roman"/>
          <w:sz w:val="30"/>
          <w:szCs w:val="30"/>
        </w:rPr>
      </w:pPr>
      <w:bookmarkStart w:id="617" w:name="_Toc5116"/>
      <w:bookmarkStart w:id="618" w:name="_Toc523160360"/>
      <w:bookmarkStart w:id="619" w:name="_Toc510164333"/>
      <w:bookmarkStart w:id="620" w:name="_Toc510164496"/>
      <w:bookmarkStart w:id="621" w:name="_Toc132468822"/>
      <w:bookmarkStart w:id="622" w:name="_Toc509234821"/>
      <w:bookmarkStart w:id="623" w:name="_Toc529542610"/>
      <w:bookmarkStart w:id="624" w:name="_Toc523160162"/>
      <w:bookmarkStart w:id="625" w:name="_Toc19239"/>
      <w:bookmarkStart w:id="626" w:name="_Toc510164101"/>
      <w:r>
        <w:rPr>
          <w:rFonts w:ascii="Times New Roman" w:hAnsi="Times New Roman" w:eastAsia="宋体" w:cs="Times New Roman"/>
          <w:sz w:val="30"/>
          <w:szCs w:val="30"/>
        </w:rPr>
        <w:t>6.5应急准备</w:t>
      </w:r>
      <w:bookmarkEnd w:id="617"/>
      <w:bookmarkEnd w:id="618"/>
      <w:bookmarkEnd w:id="619"/>
      <w:bookmarkEnd w:id="620"/>
      <w:bookmarkEnd w:id="621"/>
      <w:bookmarkEnd w:id="622"/>
      <w:bookmarkEnd w:id="623"/>
      <w:bookmarkEnd w:id="624"/>
      <w:bookmarkEnd w:id="625"/>
      <w:bookmarkEnd w:id="626"/>
    </w:p>
    <w:p>
      <w:pPr>
        <w:ind w:firstLine="480"/>
        <w:rPr>
          <w:rFonts w:ascii="Times New Roman" w:hAnsi="Times New Roman" w:eastAsia="宋体" w:cs="Times New Roman"/>
          <w:szCs w:val="24"/>
        </w:rPr>
      </w:pPr>
      <w:r>
        <w:rPr>
          <w:rFonts w:ascii="Times New Roman" w:hAnsi="Times New Roman" w:eastAsia="宋体" w:cs="Times New Roman"/>
          <w:szCs w:val="24"/>
        </w:rPr>
        <w:t>根据事故的大小和发展态势，由应急指挥部下达启动应急预案的命令。</w:t>
      </w:r>
    </w:p>
    <w:p>
      <w:pPr>
        <w:ind w:firstLine="480"/>
        <w:rPr>
          <w:rFonts w:ascii="Times New Roman" w:hAnsi="Times New Roman" w:eastAsia="宋体" w:cs="Times New Roman"/>
          <w:szCs w:val="24"/>
        </w:rPr>
      </w:pPr>
    </w:p>
    <w:p>
      <w:pPr>
        <w:ind w:firstLine="480"/>
        <w:rPr>
          <w:rFonts w:ascii="Times New Roman" w:hAnsi="Times New Roman" w:eastAsia="宋体" w:cs="Times New Roman"/>
          <w:szCs w:val="24"/>
        </w:rPr>
        <w:sectPr>
          <w:pgSz w:w="11906" w:h="16838"/>
          <w:pgMar w:top="1440" w:right="1080" w:bottom="1440" w:left="1080" w:header="851" w:footer="992" w:gutter="0"/>
          <w:pgNumType w:fmt="numberInDash"/>
          <w:cols w:space="425" w:num="1"/>
          <w:docGrid w:type="lines" w:linePitch="312" w:charSpace="0"/>
        </w:sectPr>
      </w:pPr>
    </w:p>
    <w:p>
      <w:pPr>
        <w:pStyle w:val="6"/>
        <w:spacing w:before="320" w:after="320"/>
        <w:rPr>
          <w:rFonts w:ascii="Times New Roman" w:hAnsi="Times New Roman" w:eastAsia="宋体" w:cs="Times New Roman"/>
          <w:sz w:val="32"/>
          <w:szCs w:val="32"/>
        </w:rPr>
      </w:pPr>
      <w:bookmarkStart w:id="627" w:name="_Toc510164102"/>
      <w:bookmarkStart w:id="628" w:name="_Toc16296"/>
      <w:bookmarkStart w:id="629" w:name="_Toc523160163"/>
      <w:bookmarkStart w:id="630" w:name="_Toc132468823"/>
      <w:bookmarkStart w:id="631" w:name="_Toc529542611"/>
      <w:bookmarkStart w:id="632" w:name="_Toc510164497"/>
      <w:bookmarkStart w:id="633" w:name="_Toc523160361"/>
      <w:bookmarkStart w:id="634" w:name="_Toc509234822"/>
      <w:bookmarkStart w:id="635" w:name="_Toc4461"/>
      <w:bookmarkStart w:id="636" w:name="_Toc510164334"/>
      <w:r>
        <w:rPr>
          <w:rFonts w:ascii="Times New Roman" w:hAnsi="Times New Roman" w:eastAsia="宋体" w:cs="Times New Roman"/>
          <w:sz w:val="32"/>
          <w:szCs w:val="32"/>
        </w:rPr>
        <w:t>7应急处置</w:t>
      </w:r>
      <w:bookmarkEnd w:id="627"/>
      <w:bookmarkEnd w:id="628"/>
      <w:bookmarkEnd w:id="629"/>
      <w:bookmarkEnd w:id="630"/>
      <w:bookmarkEnd w:id="631"/>
      <w:bookmarkEnd w:id="632"/>
      <w:bookmarkEnd w:id="633"/>
      <w:bookmarkEnd w:id="634"/>
      <w:bookmarkEnd w:id="635"/>
      <w:bookmarkEnd w:id="636"/>
    </w:p>
    <w:p>
      <w:pPr>
        <w:pStyle w:val="7"/>
        <w:spacing w:before="260" w:after="260"/>
        <w:rPr>
          <w:rFonts w:ascii="Times New Roman" w:hAnsi="Times New Roman" w:eastAsia="宋体" w:cs="Times New Roman"/>
          <w:sz w:val="30"/>
          <w:szCs w:val="30"/>
        </w:rPr>
      </w:pPr>
      <w:bookmarkStart w:id="637" w:name="_Toc225668641"/>
      <w:bookmarkStart w:id="638" w:name="_Toc523160164"/>
      <w:bookmarkStart w:id="639" w:name="_Toc246239583"/>
      <w:bookmarkStart w:id="640" w:name="_Toc21798"/>
      <w:bookmarkStart w:id="641" w:name="_Toc241053040"/>
      <w:bookmarkStart w:id="642" w:name="_Toc242849950"/>
      <w:bookmarkStart w:id="643" w:name="_Toc30008"/>
      <w:bookmarkStart w:id="644" w:name="_Toc515435526"/>
      <w:bookmarkStart w:id="645" w:name="_Toc5982"/>
      <w:bookmarkStart w:id="646" w:name="_Toc243218010"/>
      <w:bookmarkStart w:id="647" w:name="_Toc27128"/>
      <w:bookmarkStart w:id="648" w:name="_Toc132468824"/>
      <w:bookmarkStart w:id="649" w:name="_Toc286324595"/>
      <w:bookmarkStart w:id="650" w:name="_Toc529542612"/>
      <w:bookmarkStart w:id="651" w:name="_Toc523160362"/>
      <w:r>
        <w:rPr>
          <w:rFonts w:ascii="Times New Roman" w:hAnsi="Times New Roman" w:eastAsia="宋体" w:cs="Times New Roman"/>
          <w:sz w:val="30"/>
          <w:szCs w:val="30"/>
        </w:rPr>
        <w:t>7.1响应分级</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pPr>
        <w:adjustRightInd w:val="0"/>
        <w:snapToGrid w:val="0"/>
        <w:ind w:firstLine="482" w:firstLineChars="0"/>
        <w:rPr>
          <w:rFonts w:ascii="Times New Roman" w:hAnsi="Times New Roman" w:eastAsia="宋体" w:cs="Times New Roman"/>
          <w:szCs w:val="24"/>
        </w:rPr>
      </w:pPr>
      <w:bookmarkStart w:id="652" w:name="_Toc241053041"/>
      <w:bookmarkStart w:id="653" w:name="_Toc243218011"/>
      <w:bookmarkStart w:id="654" w:name="_Toc246239584"/>
      <w:bookmarkStart w:id="655" w:name="_Toc242849951"/>
      <w:bookmarkStart w:id="656" w:name="_Toc225668642"/>
      <w:r>
        <w:rPr>
          <w:rFonts w:ascii="Times New Roman" w:hAnsi="Times New Roman" w:eastAsia="宋体" w:cs="Times New Roman"/>
          <w:szCs w:val="24"/>
        </w:rPr>
        <w:t>针对突发环境事件严重性、紧急程度、危害程度、影响范围、公司内部（生产工段、车间）控制事态的能力以及需要调动的应急资源，将突发环境事件分为不同的等级。响应级别由低到高分别为</w:t>
      </w: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3 \* ROMAN \* MERGEFORMAT </w:instrText>
      </w:r>
      <w:r>
        <w:rPr>
          <w:rFonts w:ascii="Times New Roman" w:hAnsi="Times New Roman" w:eastAsia="宋体" w:cs="Times New Roman"/>
          <w:szCs w:val="24"/>
        </w:rPr>
        <w:fldChar w:fldCharType="separate"/>
      </w:r>
      <w:r>
        <w:rPr>
          <w:rFonts w:ascii="Times New Roman" w:hAnsi="Times New Roman" w:eastAsia="宋体" w:cs="Times New Roman"/>
        </w:rPr>
        <w:t>III</w:t>
      </w:r>
      <w:r>
        <w:rPr>
          <w:rFonts w:ascii="Times New Roman" w:hAnsi="Times New Roman" w:eastAsia="宋体" w:cs="Times New Roman"/>
          <w:szCs w:val="24"/>
        </w:rPr>
        <w:fldChar w:fldCharType="end"/>
      </w:r>
      <w:r>
        <w:rPr>
          <w:rFonts w:ascii="Times New Roman" w:hAnsi="Times New Roman" w:eastAsia="宋体" w:cs="Times New Roman"/>
          <w:szCs w:val="24"/>
        </w:rPr>
        <w:t>级（车间级）响应（一般突发环境事件）、</w:t>
      </w: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2 \* ROMAN \* MERGEFORMAT </w:instrText>
      </w:r>
      <w:r>
        <w:rPr>
          <w:rFonts w:ascii="Times New Roman" w:hAnsi="Times New Roman" w:eastAsia="宋体" w:cs="Times New Roman"/>
          <w:szCs w:val="24"/>
        </w:rPr>
        <w:fldChar w:fldCharType="separate"/>
      </w:r>
      <w:r>
        <w:rPr>
          <w:rFonts w:ascii="Times New Roman" w:hAnsi="Times New Roman" w:eastAsia="宋体" w:cs="Times New Roman"/>
        </w:rPr>
        <w:t>II</w:t>
      </w:r>
      <w:r>
        <w:rPr>
          <w:rFonts w:ascii="Times New Roman" w:hAnsi="Times New Roman" w:eastAsia="宋体" w:cs="Times New Roman"/>
          <w:szCs w:val="24"/>
        </w:rPr>
        <w:fldChar w:fldCharType="end"/>
      </w:r>
      <w:r>
        <w:rPr>
          <w:rFonts w:ascii="Times New Roman" w:hAnsi="Times New Roman" w:eastAsia="宋体" w:cs="Times New Roman"/>
          <w:szCs w:val="24"/>
        </w:rPr>
        <w:t>级（公司级）响应（较大突发环境事件）、</w:t>
      </w: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1 \* ROMAN \* MERGEFORMAT </w:instrText>
      </w:r>
      <w:r>
        <w:rPr>
          <w:rFonts w:ascii="Times New Roman" w:hAnsi="Times New Roman" w:eastAsia="宋体" w:cs="Times New Roman"/>
          <w:szCs w:val="24"/>
        </w:rPr>
        <w:fldChar w:fldCharType="separate"/>
      </w:r>
      <w:r>
        <w:rPr>
          <w:rFonts w:ascii="Times New Roman" w:hAnsi="Times New Roman" w:eastAsia="宋体" w:cs="Times New Roman"/>
        </w:rPr>
        <w:t>I</w:t>
      </w:r>
      <w:r>
        <w:rPr>
          <w:rFonts w:ascii="Times New Roman" w:hAnsi="Times New Roman" w:eastAsia="宋体" w:cs="Times New Roman"/>
          <w:szCs w:val="24"/>
        </w:rPr>
        <w:fldChar w:fldCharType="end"/>
      </w:r>
      <w:r>
        <w:rPr>
          <w:rFonts w:ascii="Times New Roman" w:hAnsi="Times New Roman" w:eastAsia="宋体" w:cs="Times New Roman"/>
          <w:szCs w:val="24"/>
        </w:rPr>
        <w:t>级（社会级）响应（重大、特大突发环境事件）。</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3 \* ROMAN \* MERGEFORMAT </w:instrText>
      </w:r>
      <w:r>
        <w:rPr>
          <w:rFonts w:ascii="Times New Roman" w:hAnsi="Times New Roman" w:eastAsia="宋体" w:cs="Times New Roman"/>
          <w:szCs w:val="24"/>
        </w:rPr>
        <w:fldChar w:fldCharType="separate"/>
      </w:r>
      <w:r>
        <w:rPr>
          <w:rFonts w:ascii="Times New Roman" w:hAnsi="Times New Roman" w:eastAsia="宋体" w:cs="Times New Roman"/>
        </w:rPr>
        <w:t>III</w:t>
      </w:r>
      <w:r>
        <w:rPr>
          <w:rFonts w:ascii="Times New Roman" w:hAnsi="Times New Roman" w:eastAsia="宋体" w:cs="Times New Roman"/>
          <w:szCs w:val="24"/>
        </w:rPr>
        <w:fldChar w:fldCharType="end"/>
      </w:r>
      <w:r>
        <w:rPr>
          <w:rFonts w:ascii="Times New Roman" w:hAnsi="Times New Roman" w:eastAsia="宋体" w:cs="Times New Roman"/>
          <w:szCs w:val="24"/>
        </w:rPr>
        <w:t>级响应：当发生一般突发环境事件（分部级）时启动，由现场发现人员立即报告班组负责人，并由其上报现场负责人，由现场负责人报告</w:t>
      </w:r>
      <w:r>
        <w:rPr>
          <w:rFonts w:hint="eastAsia" w:ascii="Times New Roman" w:hAnsi="Times New Roman" w:eastAsia="宋体" w:cs="Times New Roman"/>
          <w:szCs w:val="24"/>
        </w:rPr>
        <w:t>公司值班</w:t>
      </w:r>
      <w:r>
        <w:rPr>
          <w:rFonts w:ascii="Times New Roman" w:hAnsi="Times New Roman" w:eastAsia="宋体" w:cs="Times New Roman"/>
          <w:szCs w:val="24"/>
        </w:rPr>
        <w:t>领导，并启动相应的应急方案；</w:t>
      </w:r>
    </w:p>
    <w:p>
      <w:pPr>
        <w:adjustRightInd w:val="0"/>
        <w:snapToGrid w:val="0"/>
        <w:ind w:left="240" w:leftChars="100" w:firstLine="240" w:firstLineChars="100"/>
        <w:rPr>
          <w:rFonts w:ascii="Times New Roman" w:hAnsi="Times New Roman" w:eastAsia="宋体" w:cs="Times New Roman"/>
          <w:szCs w:val="24"/>
        </w:rPr>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2 \* ROMAN \* MERGEFORMAT </w:instrText>
      </w:r>
      <w:r>
        <w:rPr>
          <w:rFonts w:ascii="Times New Roman" w:hAnsi="Times New Roman" w:eastAsia="宋体" w:cs="Times New Roman"/>
          <w:szCs w:val="24"/>
        </w:rPr>
        <w:fldChar w:fldCharType="separate"/>
      </w:r>
      <w:r>
        <w:rPr>
          <w:rFonts w:ascii="Times New Roman" w:hAnsi="Times New Roman" w:eastAsia="宋体" w:cs="Times New Roman"/>
        </w:rPr>
        <w:t>II</w:t>
      </w:r>
      <w:r>
        <w:rPr>
          <w:rFonts w:ascii="Times New Roman" w:hAnsi="Times New Roman" w:eastAsia="宋体" w:cs="Times New Roman"/>
          <w:szCs w:val="24"/>
        </w:rPr>
        <w:fldChar w:fldCharType="end"/>
      </w:r>
      <w:r>
        <w:rPr>
          <w:rFonts w:ascii="Times New Roman" w:hAnsi="Times New Roman" w:eastAsia="宋体" w:cs="Times New Roman"/>
          <w:szCs w:val="24"/>
        </w:rPr>
        <w:t>级响应：当发生较大突发环境事件时启动，由现场负责人报告</w:t>
      </w:r>
      <w:r>
        <w:rPr>
          <w:rFonts w:hint="eastAsia" w:ascii="Times New Roman" w:hAnsi="Times New Roman" w:eastAsia="宋体" w:cs="Times New Roman"/>
          <w:szCs w:val="24"/>
        </w:rPr>
        <w:t>公司值班领导</w:t>
      </w:r>
      <w:r>
        <w:rPr>
          <w:rFonts w:ascii="Times New Roman" w:hAnsi="Times New Roman" w:eastAsia="宋体" w:cs="Times New Roman"/>
          <w:szCs w:val="24"/>
        </w:rPr>
        <w:t>，</w:t>
      </w:r>
      <w:r>
        <w:rPr>
          <w:rFonts w:hint="eastAsia" w:ascii="Times New Roman" w:hAnsi="Times New Roman" w:eastAsia="宋体" w:cs="Times New Roman"/>
          <w:szCs w:val="24"/>
        </w:rPr>
        <w:t>值班领导</w:t>
      </w:r>
      <w:r>
        <w:rPr>
          <w:rFonts w:ascii="Times New Roman" w:hAnsi="Times New Roman" w:eastAsia="宋体" w:cs="Times New Roman"/>
          <w:szCs w:val="24"/>
        </w:rPr>
        <w:t>上报</w:t>
      </w:r>
      <w:r>
        <w:rPr>
          <w:rFonts w:hint="eastAsia" w:ascii="Times New Roman" w:hAnsi="Times New Roman" w:eastAsia="宋体" w:cs="Times New Roman"/>
          <w:szCs w:val="24"/>
        </w:rPr>
        <w:t>公司</w:t>
      </w:r>
      <w:r>
        <w:rPr>
          <w:rFonts w:ascii="Times New Roman" w:hAnsi="Times New Roman" w:eastAsia="宋体" w:cs="Times New Roman"/>
          <w:szCs w:val="24"/>
        </w:rPr>
        <w:t>应急指挥中心，由应急指挥长启动相应的应急方案；</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1 \* ROMAN \* MERGEFORMAT </w:instrText>
      </w:r>
      <w:r>
        <w:rPr>
          <w:rFonts w:ascii="Times New Roman" w:hAnsi="Times New Roman" w:eastAsia="宋体" w:cs="Times New Roman"/>
          <w:szCs w:val="24"/>
        </w:rPr>
        <w:fldChar w:fldCharType="separate"/>
      </w:r>
      <w:r>
        <w:rPr>
          <w:rFonts w:ascii="Times New Roman" w:hAnsi="Times New Roman" w:eastAsia="宋体" w:cs="Times New Roman"/>
        </w:rPr>
        <w:t>I</w:t>
      </w:r>
      <w:r>
        <w:rPr>
          <w:rFonts w:ascii="Times New Roman" w:hAnsi="Times New Roman" w:eastAsia="宋体" w:cs="Times New Roman"/>
          <w:szCs w:val="24"/>
        </w:rPr>
        <w:fldChar w:fldCharType="end"/>
      </w:r>
      <w:r>
        <w:rPr>
          <w:rFonts w:ascii="Times New Roman" w:hAnsi="Times New Roman" w:eastAsia="宋体" w:cs="Times New Roman"/>
          <w:szCs w:val="24"/>
        </w:rPr>
        <w:t>级响应：当企业发生特大、重大突发环境事件时启动，事故发生后应急指挥长应立即拨打报警电话，请求支援，并及时上报上级主管部门及企业所在区域应急管理局、环保局，并求助专业抢险队、政府部门和社会救援力量。</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根据事态发展，一旦事故超出本级应急处置能力时，应及时请求上一级应急救援指挥机构启动更高一级应急预案。</w:t>
      </w:r>
    </w:p>
    <w:p>
      <w:pPr>
        <w:pStyle w:val="7"/>
        <w:spacing w:before="260" w:after="260"/>
        <w:rPr>
          <w:rFonts w:ascii="Times New Roman" w:hAnsi="Times New Roman" w:eastAsia="宋体" w:cs="Times New Roman"/>
          <w:sz w:val="30"/>
          <w:szCs w:val="30"/>
        </w:rPr>
      </w:pPr>
      <w:bookmarkStart w:id="657" w:name="_Toc949"/>
      <w:bookmarkStart w:id="658" w:name="_Toc286324596"/>
      <w:bookmarkStart w:id="659" w:name="_Toc27138"/>
      <w:bookmarkStart w:id="660" w:name="_Toc523160165"/>
      <w:bookmarkStart w:id="661" w:name="_Toc5729"/>
      <w:bookmarkStart w:id="662" w:name="_Toc23102"/>
      <w:bookmarkStart w:id="663" w:name="_Toc523160363"/>
      <w:bookmarkStart w:id="664" w:name="_Toc132468825"/>
      <w:bookmarkStart w:id="665" w:name="_Toc529542613"/>
      <w:bookmarkStart w:id="666" w:name="_Toc515435527"/>
      <w:r>
        <w:rPr>
          <w:rFonts w:ascii="Times New Roman" w:hAnsi="Times New Roman" w:eastAsia="宋体" w:cs="Times New Roman"/>
          <w:sz w:val="30"/>
          <w:szCs w:val="30"/>
        </w:rPr>
        <w:t>7.2应急程序</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pPr>
        <w:pStyle w:val="8"/>
        <w:spacing w:before="180" w:after="180"/>
        <w:rPr>
          <w:rFonts w:eastAsia="宋体" w:cs="Times New Roman"/>
          <w:sz w:val="28"/>
          <w:szCs w:val="28"/>
          <w:lang w:val="zh-CN"/>
        </w:rPr>
      </w:pPr>
      <w:bookmarkStart w:id="667" w:name="_Toc523160364"/>
      <w:bookmarkStart w:id="668" w:name="_Toc20885"/>
      <w:bookmarkStart w:id="669" w:name="_Toc286324597"/>
      <w:bookmarkStart w:id="670" w:name="_Toc132468826"/>
      <w:bookmarkStart w:id="671" w:name="_Toc515435528"/>
      <w:bookmarkStart w:id="672" w:name="_Toc5695"/>
      <w:bookmarkStart w:id="673" w:name="_Toc529542614"/>
      <w:bookmarkStart w:id="674" w:name="_Toc8416"/>
      <w:bookmarkStart w:id="675" w:name="_Toc29158"/>
      <w:bookmarkStart w:id="676" w:name="_Toc246239585"/>
      <w:r>
        <w:rPr>
          <w:rFonts w:eastAsia="宋体" w:cs="Times New Roman"/>
          <w:sz w:val="28"/>
          <w:szCs w:val="28"/>
          <w:lang w:val="zh-CN"/>
        </w:rPr>
        <w:t>7.2.1 响应程序</w:t>
      </w:r>
      <w:bookmarkEnd w:id="667"/>
      <w:bookmarkEnd w:id="668"/>
      <w:bookmarkEnd w:id="669"/>
      <w:bookmarkEnd w:id="670"/>
      <w:bookmarkEnd w:id="671"/>
      <w:bookmarkEnd w:id="672"/>
      <w:bookmarkEnd w:id="673"/>
      <w:bookmarkEnd w:id="674"/>
      <w:bookmarkEnd w:id="675"/>
      <w:bookmarkEnd w:id="676"/>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三级应急响应程序均执行以下应急准备与响应控制程序，即：</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发现→逐级上报→指挥长（或指挥机构）→启动预案</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也就是说事故现场发现人员，及时逐级上报，企业相关领导和政府部门负责指挥协调应急抢险工作，并启动响应预案。程序如下图所示：</w:t>
      </w:r>
    </w:p>
    <w:p>
      <w:pPr>
        <w:adjustRightInd w:val="0"/>
        <w:snapToGrid w:val="0"/>
        <w:ind w:firstLine="482" w:firstLineChars="0"/>
        <w:rPr>
          <w:rFonts w:ascii="Times New Roman" w:hAnsi="Times New Roman" w:eastAsia="宋体" w:cs="Times New Roman"/>
          <w:szCs w:val="24"/>
        </w:rPr>
      </w:pPr>
    </w:p>
    <w:p>
      <w:pPr>
        <w:adjustRightInd w:val="0"/>
        <w:snapToGrid w:val="0"/>
        <w:ind w:firstLine="482" w:firstLineChars="0"/>
        <w:rPr>
          <w:rFonts w:ascii="Times New Roman" w:hAnsi="Times New Roman" w:eastAsia="宋体" w:cs="Times New Roman"/>
          <w:szCs w:val="24"/>
        </w:rPr>
      </w:pPr>
    </w:p>
    <w:p>
      <w:pPr>
        <w:adjustRightInd w:val="0"/>
        <w:snapToGrid w:val="0"/>
        <w:ind w:firstLine="482" w:firstLineChars="0"/>
        <w:rPr>
          <w:rFonts w:ascii="Times New Roman" w:hAnsi="Times New Roman" w:eastAsia="宋体" w:cs="Times New Roman"/>
          <w:szCs w:val="24"/>
        </w:rPr>
      </w:pPr>
    </w:p>
    <w:p>
      <w:pPr>
        <w:adjustRightInd w:val="0"/>
        <w:snapToGrid w:val="0"/>
        <w:ind w:firstLine="482" w:firstLineChars="0"/>
        <w:rPr>
          <w:rFonts w:ascii="Times New Roman" w:hAnsi="Times New Roman" w:eastAsia="宋体" w:cs="Times New Roman"/>
          <w:szCs w:val="24"/>
        </w:rPr>
      </w:pPr>
    </w:p>
    <w:p>
      <w:pPr>
        <w:adjustRightInd w:val="0"/>
        <w:snapToGrid w:val="0"/>
        <w:ind w:firstLine="482" w:firstLineChars="0"/>
        <w:rPr>
          <w:rFonts w:ascii="Times New Roman" w:hAnsi="Times New Roman" w:eastAsia="宋体" w:cs="Times New Roman"/>
          <w:sz w:val="21"/>
          <w:szCs w:val="20"/>
        </w:rPr>
      </w:pPr>
    </w:p>
    <w:p>
      <w:pPr>
        <w:adjustRightInd w:val="0"/>
        <w:snapToGrid w:val="0"/>
        <w:ind w:firstLine="482" w:firstLineChars="0"/>
        <w:jc w:val="center"/>
        <w:rPr>
          <w:rFonts w:ascii="Times New Roman" w:hAnsi="Times New Roman" w:eastAsia="宋体" w:cs="Times New Roman"/>
          <w:sz w:val="21"/>
        </w:rPr>
      </w:pPr>
      <w:r>
        <w:rPr>
          <w:rFonts w:ascii="Times New Roman" w:hAnsi="Times New Roman" w:eastAsia="宋体" w:cs="Times New Roman"/>
          <w:sz w:val="21"/>
        </w:rPr>
        <w:object>
          <v:shape id="_x0000_i1028" o:spt="75" type="#_x0000_t75" style="height:591pt;width:435pt;" o:ole="t" filled="f" o:preferrelative="t" stroked="f" coordsize="21600,21600">
            <v:path/>
            <v:fill on="f" focussize="0,0"/>
            <v:stroke on="f" joinstyle="miter"/>
            <v:imagedata r:id="rId36" o:title=""/>
            <o:lock v:ext="edit" aspectratio="t"/>
            <w10:wrap type="none"/>
            <w10:anchorlock/>
          </v:shape>
          <o:OLEObject Type="Embed" ProgID="Visio.Drawing.11" ShapeID="_x0000_i1028" DrawAspect="Content" ObjectID="_1468075728" r:id="rId35">
            <o:LockedField>false</o:LockedField>
          </o:OLEObject>
        </w:object>
      </w:r>
    </w:p>
    <w:p>
      <w:pPr>
        <w:adjustRightInd w:val="0"/>
        <w:snapToGrid w:val="0"/>
        <w:ind w:firstLine="3162" w:firstLineChars="1500"/>
        <w:rPr>
          <w:rFonts w:ascii="Times New Roman" w:hAnsi="Times New Roman" w:eastAsia="宋体" w:cs="Times New Roman"/>
          <w:b/>
          <w:sz w:val="21"/>
        </w:rPr>
      </w:pPr>
      <w:r>
        <w:rPr>
          <w:rFonts w:ascii="Times New Roman" w:hAnsi="Times New Roman" w:eastAsia="宋体" w:cs="Times New Roman"/>
          <w:b/>
          <w:sz w:val="21"/>
        </w:rPr>
        <w:t>图7.2-1  应急响应程序图</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企业环境应急指挥部指挥协调事故现场的主要内容包括：</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（1）提出企业事故现场应急行动原则要求；</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（2）协调各职能小组、各专业应急力量实施应急支援行动；</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（3）严格督促受威胁的周边地区危险源的监控工作；</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（4）划定建立现场警戒区和交通管制区域，确定重点防护区域；</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（5）根据现场救援进展情况，确定被转移群众的疏散及返回时间；</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（6）及时向上级主管部门报告应急行动的进展情况；</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（7）如有必要，请示上级邀请有关专家和专业人员参与现场应急救援指挥部的应急指挥工作；</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以下具体叙述本企业发生不同级别的突发环境事件的响应过程：</w:t>
      </w:r>
    </w:p>
    <w:p>
      <w:pPr>
        <w:adjustRightInd w:val="0"/>
        <w:snapToGrid w:val="0"/>
        <w:ind w:firstLine="482" w:firstLineChars="0"/>
        <w:rPr>
          <w:rFonts w:ascii="Times New Roman" w:hAnsi="Times New Roman" w:eastAsia="宋体" w:cs="Times New Roman"/>
          <w:sz w:val="21"/>
          <w:szCs w:val="20"/>
        </w:rPr>
      </w:pPr>
      <w:r>
        <w:rPr>
          <w:rFonts w:ascii="Times New Roman" w:hAnsi="Times New Roman" w:eastAsia="宋体" w:cs="Times New Roman"/>
          <w:szCs w:val="24"/>
        </w:rPr>
        <w:t>（1）发生一般突发环境事件时的</w:t>
      </w: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3 \* ROMAN \* MERGEFORMAT </w:instrText>
      </w:r>
      <w:r>
        <w:rPr>
          <w:rFonts w:ascii="Times New Roman" w:hAnsi="Times New Roman" w:eastAsia="宋体" w:cs="Times New Roman"/>
          <w:szCs w:val="24"/>
        </w:rPr>
        <w:fldChar w:fldCharType="separate"/>
      </w:r>
      <w:r>
        <w:rPr>
          <w:rFonts w:ascii="Times New Roman" w:hAnsi="Times New Roman" w:eastAsia="宋体" w:cs="Times New Roman"/>
        </w:rPr>
        <w:t>III</w:t>
      </w:r>
      <w:r>
        <w:rPr>
          <w:rFonts w:ascii="Times New Roman" w:hAnsi="Times New Roman" w:eastAsia="宋体" w:cs="Times New Roman"/>
          <w:szCs w:val="24"/>
        </w:rPr>
        <w:fldChar w:fldCharType="end"/>
      </w:r>
      <w:r>
        <w:rPr>
          <w:rFonts w:ascii="Times New Roman" w:hAnsi="Times New Roman" w:eastAsia="宋体" w:cs="Times New Roman"/>
          <w:szCs w:val="24"/>
        </w:rPr>
        <w:t>级（车间级）响应过程（生产单元内发生设备或危化品包装桶泄漏事故等），由事故发现人及时上报给车间当班负责人，说明具体情况，车间负责人立即查看现场后上报</w:t>
      </w:r>
      <w:r>
        <w:rPr>
          <w:rFonts w:hint="eastAsia" w:ascii="Times New Roman" w:hAnsi="Times New Roman" w:eastAsia="宋体" w:cs="Times New Roman"/>
          <w:szCs w:val="24"/>
        </w:rPr>
        <w:t>值班领导</w:t>
      </w:r>
      <w:r>
        <w:rPr>
          <w:rFonts w:ascii="Times New Roman" w:hAnsi="Times New Roman" w:eastAsia="宋体" w:cs="Times New Roman"/>
          <w:szCs w:val="24"/>
        </w:rPr>
        <w:t>，由</w:t>
      </w:r>
      <w:r>
        <w:rPr>
          <w:rFonts w:hint="eastAsia" w:ascii="Times New Roman" w:hAnsi="Times New Roman" w:eastAsia="宋体" w:cs="Times New Roman"/>
          <w:szCs w:val="24"/>
        </w:rPr>
        <w:t>值班领导</w:t>
      </w:r>
      <w:r>
        <w:rPr>
          <w:rFonts w:ascii="Times New Roman" w:hAnsi="Times New Roman" w:eastAsia="宋体" w:cs="Times New Roman"/>
          <w:szCs w:val="24"/>
        </w:rPr>
        <w:t>报告</w:t>
      </w:r>
      <w:r>
        <w:rPr>
          <w:rFonts w:hint="eastAsia" w:ascii="Times New Roman" w:hAnsi="Times New Roman" w:eastAsia="宋体" w:cs="Times New Roman"/>
          <w:szCs w:val="24"/>
        </w:rPr>
        <w:t>公司</w:t>
      </w:r>
      <w:r>
        <w:rPr>
          <w:rFonts w:ascii="Times New Roman" w:hAnsi="Times New Roman" w:eastAsia="宋体" w:cs="Times New Roman"/>
          <w:szCs w:val="24"/>
        </w:rPr>
        <w:t>应急指挥中心，并启动</w:t>
      </w: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3 \* ROMAN \* MERGEFORMAT </w:instrText>
      </w:r>
      <w:r>
        <w:rPr>
          <w:rFonts w:ascii="Times New Roman" w:hAnsi="Times New Roman" w:eastAsia="宋体" w:cs="Times New Roman"/>
          <w:szCs w:val="24"/>
        </w:rPr>
        <w:fldChar w:fldCharType="separate"/>
      </w:r>
      <w:r>
        <w:rPr>
          <w:rFonts w:ascii="Times New Roman" w:hAnsi="Times New Roman" w:eastAsia="宋体" w:cs="Times New Roman"/>
        </w:rPr>
        <w:t>III</w:t>
      </w:r>
      <w:r>
        <w:rPr>
          <w:rFonts w:ascii="Times New Roman" w:hAnsi="Times New Roman" w:eastAsia="宋体" w:cs="Times New Roman"/>
          <w:szCs w:val="24"/>
        </w:rPr>
        <w:fldChar w:fldCharType="end"/>
      </w:r>
      <w:r>
        <w:rPr>
          <w:rFonts w:ascii="Times New Roman" w:hAnsi="Times New Roman" w:eastAsia="宋体" w:cs="Times New Roman"/>
          <w:szCs w:val="24"/>
        </w:rPr>
        <w:t>级响应及相应的应急预案，并按照</w:t>
      </w: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3 \* ROMAN \* MERGEFORMAT </w:instrText>
      </w:r>
      <w:r>
        <w:rPr>
          <w:rFonts w:ascii="Times New Roman" w:hAnsi="Times New Roman" w:eastAsia="宋体" w:cs="Times New Roman"/>
          <w:szCs w:val="24"/>
        </w:rPr>
        <w:fldChar w:fldCharType="separate"/>
      </w:r>
      <w:r>
        <w:rPr>
          <w:rFonts w:ascii="Times New Roman" w:hAnsi="Times New Roman" w:eastAsia="宋体" w:cs="Times New Roman"/>
        </w:rPr>
        <w:t>III</w:t>
      </w:r>
      <w:r>
        <w:rPr>
          <w:rFonts w:ascii="Times New Roman" w:hAnsi="Times New Roman" w:eastAsia="宋体" w:cs="Times New Roman"/>
          <w:szCs w:val="24"/>
        </w:rPr>
        <w:fldChar w:fldCharType="end"/>
      </w:r>
      <w:r>
        <w:rPr>
          <w:rFonts w:ascii="Times New Roman" w:hAnsi="Times New Roman" w:eastAsia="宋体" w:cs="Times New Roman"/>
          <w:szCs w:val="24"/>
        </w:rPr>
        <w:t>级响应开始组织车间应急小组及时进行应急工作。</w:t>
      </w:r>
    </w:p>
    <w:p>
      <w:pPr>
        <w:tabs>
          <w:tab w:val="left" w:pos="1260"/>
        </w:tabs>
        <w:adjustRightInd w:val="0"/>
        <w:snapToGrid w:val="0"/>
        <w:ind w:firstLine="480" w:firstLineChars="0"/>
        <w:jc w:val="left"/>
        <w:rPr>
          <w:rFonts w:ascii="Times New Roman" w:hAnsi="Times New Roman" w:eastAsia="宋体" w:cs="Times New Roman"/>
          <w:kern w:val="0"/>
          <w:szCs w:val="24"/>
        </w:rPr>
      </w:pPr>
      <w:r>
        <w:rPr>
          <w:rFonts w:ascii="Times New Roman" w:hAnsi="Times New Roman" w:eastAsia="宋体" w:cs="Times New Roman"/>
          <w:szCs w:val="24"/>
        </w:rPr>
        <w:t>（2）发生较大突发环境事件的</w:t>
      </w: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2 \* ROMAN \* MERGEFORMAT </w:instrText>
      </w:r>
      <w:r>
        <w:rPr>
          <w:rFonts w:ascii="Times New Roman" w:hAnsi="Times New Roman" w:eastAsia="宋体" w:cs="Times New Roman"/>
          <w:szCs w:val="24"/>
        </w:rPr>
        <w:fldChar w:fldCharType="separate"/>
      </w:r>
      <w:r>
        <w:rPr>
          <w:rFonts w:ascii="Times New Roman" w:hAnsi="Times New Roman" w:eastAsia="宋体" w:cs="Times New Roman"/>
        </w:rPr>
        <w:t>II</w:t>
      </w:r>
      <w:r>
        <w:rPr>
          <w:rFonts w:ascii="Times New Roman" w:hAnsi="Times New Roman" w:eastAsia="宋体" w:cs="Times New Roman"/>
          <w:szCs w:val="24"/>
        </w:rPr>
        <w:fldChar w:fldCharType="end"/>
      </w:r>
      <w:r>
        <w:rPr>
          <w:rFonts w:ascii="Times New Roman" w:hAnsi="Times New Roman" w:eastAsia="宋体" w:cs="Times New Roman"/>
          <w:szCs w:val="24"/>
        </w:rPr>
        <w:t>级（公司级）响应（例如危化品包装桶、生产车间等发生小型火灾或厂区内有工作人员出现中毒症状等），事故发现人员在做好自身防护时，立即报告车间负责人和</w:t>
      </w:r>
      <w:r>
        <w:rPr>
          <w:rFonts w:hint="eastAsia" w:ascii="Times New Roman" w:hAnsi="Times New Roman" w:eastAsia="宋体" w:cs="Times New Roman"/>
          <w:szCs w:val="24"/>
        </w:rPr>
        <w:t>值班领导</w:t>
      </w:r>
      <w:r>
        <w:rPr>
          <w:rFonts w:ascii="Times New Roman" w:hAnsi="Times New Roman" w:eastAsia="宋体" w:cs="Times New Roman"/>
          <w:szCs w:val="24"/>
        </w:rPr>
        <w:t>，由</w:t>
      </w:r>
      <w:r>
        <w:rPr>
          <w:rFonts w:hint="eastAsia" w:ascii="Times New Roman" w:hAnsi="Times New Roman" w:eastAsia="宋体" w:cs="Times New Roman"/>
          <w:szCs w:val="24"/>
        </w:rPr>
        <w:t>值班领导报公司应急指挥</w:t>
      </w:r>
      <w:r>
        <w:rPr>
          <w:rFonts w:ascii="Times New Roman" w:hAnsi="Times New Roman" w:eastAsia="宋体" w:cs="Times New Roman"/>
          <w:szCs w:val="24"/>
        </w:rPr>
        <w:t>长，启动应急预案，应急指挥中心和</w:t>
      </w:r>
      <w:r>
        <w:rPr>
          <w:rFonts w:hint="eastAsia" w:ascii="Times New Roman" w:hAnsi="Times New Roman" w:eastAsia="宋体" w:cs="Times New Roman"/>
          <w:szCs w:val="24"/>
        </w:rPr>
        <w:t>生产部在</w:t>
      </w:r>
      <w:r>
        <w:rPr>
          <w:rFonts w:ascii="Times New Roman" w:hAnsi="Times New Roman" w:eastAsia="宋体" w:cs="Times New Roman"/>
          <w:szCs w:val="24"/>
        </w:rPr>
        <w:t>应急指挥长的指挥下，通知安全</w:t>
      </w:r>
      <w:r>
        <w:rPr>
          <w:rFonts w:hint="eastAsia" w:ascii="Times New Roman" w:hAnsi="Times New Roman" w:eastAsia="宋体" w:cs="Times New Roman"/>
          <w:szCs w:val="24"/>
        </w:rPr>
        <w:t>科</w:t>
      </w:r>
      <w:r>
        <w:rPr>
          <w:rFonts w:ascii="Times New Roman" w:hAnsi="Times New Roman" w:eastAsia="宋体" w:cs="Times New Roman"/>
          <w:szCs w:val="24"/>
        </w:rPr>
        <w:t>、设备管理部等部门进入事故应急状态，并由其根据各自在事故预案中的职责组织厂内物资供应、环境监测、消防气防等应急小队开展应急救援工作。物资保障和运输队须在第一时间迅速赶赴物资储备仓库，给抢险救援队员紧急配发防护装备和应急物资。在外来救援队伍到来之前，各应急小队坚决服从公司应急指挥长的统一指挥，在保证自身安全的情况下，立即进入抢险救援状态，进行紧急抢险、环境监测和厂区人员疏散、隔离工作。与此同时，应根据事态发展情况由综合管理部通知下游居民区、周边企业负责人，告知其尽快组织居民和职工撤离。当发生人员中毒等伤害时，应通知医院参与救护。</w:t>
      </w:r>
    </w:p>
    <w:p>
      <w:pPr>
        <w:adjustRightInd w:val="0"/>
        <w:snapToGrid w:val="0"/>
        <w:ind w:firstLine="482" w:firstLineChars="0"/>
        <w:rPr>
          <w:rFonts w:ascii="Times New Roman" w:hAnsi="Times New Roman" w:eastAsia="宋体" w:cs="Times New Roman"/>
          <w:sz w:val="21"/>
          <w:szCs w:val="20"/>
        </w:rPr>
      </w:pPr>
      <w:r>
        <w:rPr>
          <w:rFonts w:ascii="Times New Roman" w:hAnsi="Times New Roman" w:eastAsia="宋体" w:cs="Times New Roman"/>
          <w:szCs w:val="24"/>
        </w:rPr>
        <w:t>（3）发生重大突发环境事件的</w:t>
      </w: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1 \* ROMAN \* MERGEFORMAT </w:instrText>
      </w:r>
      <w:r>
        <w:rPr>
          <w:rFonts w:ascii="Times New Roman" w:hAnsi="Times New Roman" w:eastAsia="宋体" w:cs="Times New Roman"/>
          <w:szCs w:val="24"/>
        </w:rPr>
        <w:fldChar w:fldCharType="separate"/>
      </w:r>
      <w:r>
        <w:rPr>
          <w:rFonts w:ascii="Times New Roman" w:hAnsi="Times New Roman" w:eastAsia="宋体" w:cs="Times New Roman"/>
        </w:rPr>
        <w:t>I</w:t>
      </w:r>
      <w:r>
        <w:rPr>
          <w:rFonts w:ascii="Times New Roman" w:hAnsi="Times New Roman" w:eastAsia="宋体" w:cs="Times New Roman"/>
          <w:szCs w:val="24"/>
        </w:rPr>
        <w:fldChar w:fldCharType="end"/>
      </w:r>
      <w:r>
        <w:rPr>
          <w:rFonts w:ascii="Times New Roman" w:hAnsi="Times New Roman" w:eastAsia="宋体" w:cs="Times New Roman"/>
          <w:szCs w:val="24"/>
        </w:rPr>
        <w:t>级（社会级）响应(比如生产装置或车间发生大面积火灾、伴随爆炸事故等，产生的有毒有害气体对厂外环境和人群健康产生严重影响的)，</w:t>
      </w:r>
      <w:r>
        <w:rPr>
          <w:rFonts w:ascii="Times New Roman" w:hAnsi="Times New Roman" w:eastAsia="宋体" w:cs="Times New Roman"/>
          <w:szCs w:val="24"/>
          <w:highlight w:val="yellow"/>
        </w:rPr>
        <w:t>事</w:t>
      </w:r>
      <w:r>
        <w:rPr>
          <w:rFonts w:ascii="Times New Roman" w:hAnsi="Times New Roman" w:eastAsia="宋体" w:cs="Times New Roman"/>
          <w:szCs w:val="24"/>
        </w:rPr>
        <w:t>故发现人员立即通过手摇报警器通知公司分管副总及应急指挥长，应急指挥长接到报告后立即拨打火警电话请求外部消防支援，并启动应急预案。应急指挥中心和</w:t>
      </w:r>
      <w:r>
        <w:rPr>
          <w:rFonts w:hint="eastAsia" w:ascii="Times New Roman" w:hAnsi="Times New Roman" w:eastAsia="宋体" w:cs="Times New Roman"/>
          <w:szCs w:val="24"/>
        </w:rPr>
        <w:t>生产部</w:t>
      </w:r>
      <w:r>
        <w:rPr>
          <w:rFonts w:ascii="Times New Roman" w:hAnsi="Times New Roman" w:eastAsia="宋体" w:cs="Times New Roman"/>
          <w:szCs w:val="24"/>
        </w:rPr>
        <w:t>在应急指挥长的指挥下，通知安全</w:t>
      </w:r>
      <w:r>
        <w:rPr>
          <w:rFonts w:hint="eastAsia" w:ascii="Times New Roman" w:hAnsi="Times New Roman" w:eastAsia="宋体" w:cs="Times New Roman"/>
          <w:szCs w:val="24"/>
        </w:rPr>
        <w:t>科</w:t>
      </w:r>
      <w:r>
        <w:rPr>
          <w:rFonts w:ascii="Times New Roman" w:hAnsi="Times New Roman" w:eastAsia="宋体" w:cs="Times New Roman"/>
          <w:szCs w:val="24"/>
        </w:rPr>
        <w:t>、设备管理部等部门进入事故应急状态，并由其根据各自在事故预案中的职责组织厂内物资供应、抢险救援等应急小队开展应急救援工作。物资保障和运输队在第一时间迅速赶赴物资储备仓库，给抢险救援队员紧急配发防护装备和应急物资。在外来救援队伍到来之前，各应急小队坚决服从公司应急指挥长的统一指挥，立即进入抢险救援状态，进行紧急的抢险和人员疏散、隔离、救护及环境监测工作。</w:t>
      </w:r>
      <w:r>
        <w:rPr>
          <w:rFonts w:hint="eastAsia" w:ascii="Times New Roman" w:hAnsi="Times New Roman" w:eastAsia="宋体" w:cs="Times New Roman"/>
          <w:szCs w:val="24"/>
        </w:rPr>
        <w:t>公司办公室</w:t>
      </w:r>
      <w:r>
        <w:rPr>
          <w:rFonts w:ascii="Times New Roman" w:hAnsi="Times New Roman" w:eastAsia="宋体" w:cs="Times New Roman"/>
          <w:szCs w:val="24"/>
        </w:rPr>
        <w:t>立即通知附近企业、居民区负责人，告知其立即组织居民和职工撤离，同时通知医院赶赴现场进行人员救治。安全</w:t>
      </w:r>
      <w:r>
        <w:rPr>
          <w:rFonts w:hint="eastAsia" w:ascii="Times New Roman" w:hAnsi="Times New Roman" w:eastAsia="宋体" w:cs="Times New Roman"/>
          <w:szCs w:val="24"/>
        </w:rPr>
        <w:t>科</w:t>
      </w:r>
      <w:r>
        <w:rPr>
          <w:rFonts w:ascii="Times New Roman" w:hAnsi="Times New Roman" w:eastAsia="宋体" w:cs="Times New Roman"/>
          <w:szCs w:val="24"/>
        </w:rPr>
        <w:t>上报当地政府和职能部门相关领导，启动相应的应急措施。</w:t>
      </w:r>
    </w:p>
    <w:p>
      <w:pPr>
        <w:pStyle w:val="8"/>
        <w:spacing w:before="180" w:after="180"/>
        <w:rPr>
          <w:rFonts w:eastAsia="宋体" w:cs="Times New Roman"/>
          <w:sz w:val="28"/>
          <w:szCs w:val="28"/>
          <w:lang w:val="zh-CN"/>
        </w:rPr>
      </w:pPr>
      <w:bookmarkStart w:id="677" w:name="_Toc515435529"/>
      <w:bookmarkStart w:id="678" w:name="_Toc529542615"/>
      <w:bookmarkStart w:id="679" w:name="_Toc27759"/>
      <w:bookmarkStart w:id="680" w:name="_Toc3560"/>
      <w:bookmarkStart w:id="681" w:name="_Toc18201"/>
      <w:bookmarkStart w:id="682" w:name="_Toc286324598"/>
      <w:bookmarkStart w:id="683" w:name="_Toc523160365"/>
      <w:bookmarkStart w:id="684" w:name="_Toc132468827"/>
      <w:bookmarkStart w:id="685" w:name="_Toc22868"/>
      <w:r>
        <w:rPr>
          <w:rFonts w:eastAsia="宋体" w:cs="Times New Roman"/>
          <w:sz w:val="28"/>
          <w:szCs w:val="28"/>
          <w:lang w:val="zh-CN"/>
        </w:rPr>
        <w:t>7.2.2 应急指挥内容</w:t>
      </w:r>
      <w:bookmarkEnd w:id="677"/>
      <w:bookmarkEnd w:id="678"/>
      <w:bookmarkEnd w:id="679"/>
      <w:bookmarkEnd w:id="680"/>
      <w:bookmarkEnd w:id="681"/>
      <w:bookmarkEnd w:id="682"/>
      <w:bookmarkEnd w:id="683"/>
      <w:bookmarkEnd w:id="684"/>
      <w:bookmarkEnd w:id="685"/>
    </w:p>
    <w:p>
      <w:pPr>
        <w:adjustRightInd w:val="0"/>
        <w:snapToGrid w:val="0"/>
        <w:ind w:firstLine="482" w:firstLineChars="0"/>
        <w:rPr>
          <w:rFonts w:ascii="Times New Roman" w:hAnsi="Times New Roman" w:eastAsia="宋体" w:cs="Times New Roman"/>
          <w:szCs w:val="24"/>
        </w:rPr>
      </w:pPr>
      <w:bookmarkStart w:id="686" w:name="_Toc242849952"/>
      <w:bookmarkStart w:id="687" w:name="_Toc243218012"/>
      <w:bookmarkStart w:id="688" w:name="_Toc241053042"/>
      <w:bookmarkStart w:id="689" w:name="_Toc246239587"/>
      <w:bookmarkStart w:id="690" w:name="_Toc225668643"/>
      <w:r>
        <w:rPr>
          <w:rFonts w:ascii="Times New Roman" w:hAnsi="Times New Roman" w:eastAsia="宋体" w:cs="Times New Roman"/>
          <w:szCs w:val="24"/>
        </w:rPr>
        <w:t>企业环境应急指挥部指挥协调事故现场的主要内容包括：</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（1）发生紧急事件，所有员工听从现场最高指挥者统一指挥、统一行动，有秩序的进行应急响应，要对事故现场应急行动提出原则要求；</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（2）企业内的所有物资、工具、车辆、材料均以突发事件为第一保证目标，可授权现场最高指挥者随机调动，事后报告和补办手续；</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（3）发生突发环境事件后，应以严防危险品扩散、保护现场人员安全、减轻环境污染为主要原则，其次考虑尽可能减少经济损失；</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（4）严格加强受威胁的周边地区危险源的监控工作；</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（5）划定建立现场警戒区和临时保护区，确定重点防护区域；</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（6）根据现场监测结果和救援情况，确定被转移群众的疏散距离及返回时间；</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（7）以新闻发布形式向外界及时准确、客观公正地发布有关抢险救援进展情况和其它有关信息；</w:t>
      </w:r>
    </w:p>
    <w:p>
      <w:pPr>
        <w:adjustRightInd w:val="0"/>
        <w:snapToGrid w:val="0"/>
        <w:ind w:firstLine="482" w:firstLineChars="0"/>
        <w:rPr>
          <w:rFonts w:ascii="Times New Roman" w:hAnsi="Times New Roman" w:eastAsia="宋体" w:cs="Times New Roman"/>
          <w:sz w:val="21"/>
          <w:szCs w:val="20"/>
        </w:rPr>
      </w:pPr>
      <w:r>
        <w:rPr>
          <w:rFonts w:ascii="Times New Roman" w:hAnsi="Times New Roman" w:eastAsia="宋体" w:cs="Times New Roman"/>
          <w:szCs w:val="24"/>
        </w:rPr>
        <w:t>（8）及时向上级主管部门报告应急行动的进展情况。</w:t>
      </w:r>
    </w:p>
    <w:bookmarkEnd w:id="686"/>
    <w:bookmarkEnd w:id="687"/>
    <w:bookmarkEnd w:id="688"/>
    <w:bookmarkEnd w:id="689"/>
    <w:bookmarkEnd w:id="690"/>
    <w:p>
      <w:pPr>
        <w:pStyle w:val="7"/>
        <w:spacing w:before="260" w:after="260"/>
        <w:rPr>
          <w:rFonts w:ascii="Times New Roman" w:hAnsi="Times New Roman" w:eastAsia="宋体" w:cs="Times New Roman"/>
          <w:sz w:val="30"/>
          <w:szCs w:val="30"/>
        </w:rPr>
      </w:pPr>
      <w:bookmarkStart w:id="691" w:name="_Toc529542616"/>
      <w:bookmarkStart w:id="692" w:name="_Toc523160366"/>
      <w:bookmarkStart w:id="693" w:name="_Toc18850"/>
      <w:bookmarkStart w:id="694" w:name="_Toc515435530"/>
      <w:bookmarkStart w:id="695" w:name="_Toc300384089"/>
      <w:bookmarkStart w:id="696" w:name="_Toc31032"/>
      <w:bookmarkStart w:id="697" w:name="_Toc132468828"/>
      <w:bookmarkStart w:id="698" w:name="_Toc10128"/>
      <w:bookmarkStart w:id="699" w:name="_Toc7296"/>
      <w:bookmarkStart w:id="700" w:name="_Toc523160166"/>
      <w:bookmarkStart w:id="701" w:name="_Toc243218018"/>
      <w:bookmarkStart w:id="702" w:name="_Toc286324603"/>
      <w:bookmarkStart w:id="703" w:name="_Toc225668648"/>
      <w:bookmarkStart w:id="704" w:name="_Toc246239591"/>
      <w:bookmarkStart w:id="705" w:name="_Toc242849958"/>
      <w:bookmarkStart w:id="706" w:name="_Toc241053048"/>
      <w:r>
        <w:rPr>
          <w:rFonts w:ascii="Times New Roman" w:hAnsi="Times New Roman" w:eastAsia="宋体" w:cs="Times New Roman"/>
          <w:sz w:val="30"/>
          <w:szCs w:val="30"/>
        </w:rPr>
        <w:t>7.3现场应急处置措施</w:t>
      </w:r>
      <w:bookmarkEnd w:id="691"/>
      <w:bookmarkEnd w:id="692"/>
      <w:bookmarkEnd w:id="693"/>
      <w:bookmarkEnd w:id="694"/>
      <w:bookmarkEnd w:id="695"/>
      <w:bookmarkEnd w:id="696"/>
      <w:bookmarkEnd w:id="697"/>
      <w:bookmarkEnd w:id="698"/>
      <w:bookmarkEnd w:id="699"/>
      <w:bookmarkEnd w:id="700"/>
    </w:p>
    <w:p>
      <w:pPr>
        <w:pStyle w:val="8"/>
        <w:spacing w:before="180" w:after="180"/>
        <w:rPr>
          <w:rFonts w:eastAsia="宋体" w:cs="Times New Roman"/>
          <w:sz w:val="28"/>
          <w:szCs w:val="28"/>
          <w:lang w:val="zh-CN"/>
        </w:rPr>
      </w:pPr>
      <w:bookmarkStart w:id="707" w:name="_Toc132468829"/>
      <w:bookmarkStart w:id="708" w:name="_Toc529542617"/>
      <w:bookmarkStart w:id="709" w:name="_Toc523160367"/>
      <w:bookmarkStart w:id="710" w:name="_Toc26584"/>
      <w:bookmarkStart w:id="711" w:name="_Toc23300"/>
      <w:r>
        <w:rPr>
          <w:rFonts w:eastAsia="宋体" w:cs="Times New Roman"/>
          <w:sz w:val="28"/>
          <w:szCs w:val="28"/>
          <w:lang w:val="zh-CN"/>
        </w:rPr>
        <w:t>7.3.1应急处置原则</w:t>
      </w:r>
      <w:bookmarkEnd w:id="707"/>
      <w:bookmarkEnd w:id="708"/>
      <w:bookmarkEnd w:id="709"/>
      <w:bookmarkEnd w:id="710"/>
      <w:bookmarkEnd w:id="711"/>
    </w:p>
    <w:p>
      <w:pPr>
        <w:ind w:firstLine="480"/>
        <w:rPr>
          <w:rFonts w:ascii="Times New Roman" w:hAnsi="Times New Roman" w:eastAsia="宋体" w:cs="Times New Roman"/>
          <w:szCs w:val="24"/>
        </w:rPr>
      </w:pPr>
      <w:r>
        <w:rPr>
          <w:rFonts w:ascii="Times New Roman" w:hAnsi="Times New Roman" w:eastAsia="宋体" w:cs="Times New Roman"/>
          <w:szCs w:val="24"/>
        </w:rPr>
        <w:t>坚持以人为本，保护人民群众生命财产安全。提高环境事件防范和处理能力，采取相应的处理措施，从源头上控制污染，尽可能地避免或减少突发环境事件的发生扩大，防止和控制时间蔓延，缩小突发环境事件造成的危害范围。</w:t>
      </w:r>
    </w:p>
    <w:p>
      <w:pPr>
        <w:ind w:firstLine="480"/>
        <w:rPr>
          <w:rFonts w:ascii="Times New Roman" w:hAnsi="Times New Roman" w:eastAsia="宋体" w:cs="Times New Roman"/>
          <w:szCs w:val="24"/>
        </w:rPr>
      </w:pPr>
      <w:r>
        <w:rPr>
          <w:rFonts w:ascii="Times New Roman" w:hAnsi="Times New Roman" w:eastAsia="宋体" w:cs="Times New Roman"/>
          <w:szCs w:val="24"/>
        </w:rPr>
        <w:t>应急响应启动后，各应急救援人员赶到事故现场，在总指挥或应急小组组长的指挥下开展应急抢险工作，应急抢险程序如下图所示：</w:t>
      </w:r>
    </w:p>
    <w:p>
      <w:pPr>
        <w:ind w:firstLine="480"/>
        <w:jc w:val="center"/>
        <w:rPr>
          <w:rFonts w:ascii="Times New Roman" w:hAnsi="Times New Roman" w:eastAsia="宋体" w:cs="Times New Roman"/>
        </w:rPr>
      </w:pPr>
      <w:r>
        <w:rPr>
          <w:rFonts w:ascii="Times New Roman" w:hAnsi="Times New Roman" w:eastAsia="宋体" w:cs="Times New Roman"/>
        </w:rPr>
        <w:object>
          <v:shape id="_x0000_i1029" o:spt="75" type="#_x0000_t75" style="height:501.75pt;width:367.5pt;" o:ole="t" filled="f" o:preferrelative="t" stroked="f" coordsize="21600,21600">
            <v:path/>
            <v:fill on="f" focussize="0,0"/>
            <v:stroke on="f" joinstyle="miter"/>
            <v:imagedata r:id="rId38" o:title=""/>
            <o:lock v:ext="edit" aspectratio="t"/>
            <w10:wrap type="none"/>
            <w10:anchorlock/>
          </v:shape>
          <o:OLEObject Type="Embed" ProgID="Visio.Drawing.11" ShapeID="_x0000_i1029" DrawAspect="Content" ObjectID="_1468075729" r:id="rId37">
            <o:LockedField>false</o:LockedField>
          </o:OLEObject>
        </w:object>
      </w:r>
    </w:p>
    <w:p>
      <w:pPr>
        <w:ind w:firstLine="422"/>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图 7.3-1  应急抢险程序图</w:t>
      </w:r>
    </w:p>
    <w:p>
      <w:pPr>
        <w:pStyle w:val="8"/>
        <w:spacing w:before="180" w:after="180"/>
        <w:rPr>
          <w:rFonts w:eastAsia="宋体" w:cs="Times New Roman"/>
          <w:sz w:val="28"/>
          <w:szCs w:val="28"/>
          <w:lang w:val="zh-CN"/>
        </w:rPr>
      </w:pPr>
      <w:bookmarkStart w:id="712" w:name="_Toc21485"/>
      <w:bookmarkStart w:id="713" w:name="_Toc132468830"/>
      <w:bookmarkStart w:id="714" w:name="_Toc14997"/>
      <w:bookmarkStart w:id="715" w:name="_Toc529542618"/>
      <w:bookmarkStart w:id="716" w:name="_Toc523160368"/>
      <w:r>
        <w:rPr>
          <w:rFonts w:eastAsia="宋体" w:cs="Times New Roman"/>
          <w:sz w:val="28"/>
          <w:szCs w:val="28"/>
          <w:lang w:val="zh-CN"/>
        </w:rPr>
        <w:t>7.3.2应急联动</w:t>
      </w:r>
      <w:bookmarkEnd w:id="712"/>
      <w:bookmarkEnd w:id="713"/>
      <w:bookmarkEnd w:id="714"/>
      <w:bookmarkEnd w:id="715"/>
      <w:bookmarkEnd w:id="716"/>
    </w:p>
    <w:p>
      <w:pPr>
        <w:ind w:firstLine="480"/>
        <w:rPr>
          <w:rFonts w:ascii="Times New Roman" w:hAnsi="Times New Roman" w:eastAsia="宋体" w:cs="Times New Roman"/>
          <w:szCs w:val="24"/>
        </w:rPr>
      </w:pPr>
      <w:r>
        <w:rPr>
          <w:rFonts w:ascii="Times New Roman" w:hAnsi="Times New Roman" w:eastAsia="宋体" w:cs="Times New Roman"/>
          <w:szCs w:val="24"/>
        </w:rPr>
        <w:t>在外部救援到来之后，应急救援办公室应向救援人员详细介绍现场情况，并说明危险性；依托有关单位对企业周边环境进行监测，已确定时间影响程度，同时对进水水质进行分析监测，为应急处置提供依据。</w:t>
      </w:r>
    </w:p>
    <w:p>
      <w:pPr>
        <w:ind w:firstLine="0" w:firstLineChars="0"/>
        <w:rPr>
          <w:rFonts w:ascii="Times New Roman" w:hAnsi="Times New Roman" w:eastAsia="宋体" w:cs="Times New Roman"/>
          <w:szCs w:val="24"/>
        </w:rPr>
      </w:pPr>
      <w:r>
        <w:rPr>
          <w:rFonts w:ascii="Times New Roman" w:hAnsi="Times New Roman" w:eastAsia="宋体" w:cs="Times New Roman"/>
          <w:szCs w:val="24"/>
        </w:rPr>
        <w:t>（1）危化品间系统突发事故环境风险应急联动响应对策：</w:t>
      </w:r>
    </w:p>
    <w:p>
      <w:pPr>
        <w:ind w:firstLine="480"/>
        <w:rPr>
          <w:rFonts w:ascii="Times New Roman" w:hAnsi="Times New Roman" w:eastAsia="宋体" w:cs="Times New Roman"/>
          <w:szCs w:val="24"/>
        </w:rPr>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1 \* GB3 </w:instrText>
      </w:r>
      <w:r>
        <w:rPr>
          <w:rFonts w:ascii="Times New Roman" w:hAnsi="Times New Roman" w:eastAsia="宋体" w:cs="Times New Roman"/>
          <w:szCs w:val="24"/>
        </w:rPr>
        <w:fldChar w:fldCharType="separate"/>
      </w:r>
      <w:r>
        <w:rPr>
          <w:rFonts w:ascii="Times New Roman" w:hAnsi="Times New Roman" w:eastAsia="宋体" w:cs="Times New Roman"/>
          <w:szCs w:val="24"/>
        </w:rPr>
        <w:t>①</w:t>
      </w:r>
      <w:r>
        <w:rPr>
          <w:rFonts w:ascii="Times New Roman" w:hAnsi="Times New Roman" w:eastAsia="宋体" w:cs="Times New Roman"/>
          <w:szCs w:val="24"/>
        </w:rPr>
        <w:fldChar w:fldCharType="end"/>
      </w:r>
      <w:r>
        <w:rPr>
          <w:rFonts w:ascii="Times New Roman" w:hAnsi="Times New Roman" w:eastAsia="宋体" w:cs="Times New Roman"/>
          <w:szCs w:val="24"/>
        </w:rPr>
        <w:t>报公司领导进行应急处置</w:t>
      </w:r>
    </w:p>
    <w:p>
      <w:pPr>
        <w:ind w:firstLine="480"/>
        <w:rPr>
          <w:rFonts w:ascii="Times New Roman" w:hAnsi="Times New Roman" w:eastAsia="宋体" w:cs="Times New Roman"/>
          <w:szCs w:val="24"/>
        </w:rPr>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2 \* GB3 </w:instrText>
      </w:r>
      <w:r>
        <w:rPr>
          <w:rFonts w:ascii="Times New Roman" w:hAnsi="Times New Roman" w:eastAsia="宋体" w:cs="Times New Roman"/>
          <w:szCs w:val="24"/>
        </w:rPr>
        <w:fldChar w:fldCharType="separate"/>
      </w:r>
      <w:r>
        <w:rPr>
          <w:rFonts w:ascii="Times New Roman" w:hAnsi="Times New Roman" w:eastAsia="宋体" w:cs="Times New Roman"/>
          <w:szCs w:val="24"/>
        </w:rPr>
        <w:t>②</w:t>
      </w:r>
      <w:r>
        <w:rPr>
          <w:rFonts w:ascii="Times New Roman" w:hAnsi="Times New Roman" w:eastAsia="宋体" w:cs="Times New Roman"/>
          <w:szCs w:val="24"/>
        </w:rPr>
        <w:fldChar w:fldCharType="end"/>
      </w:r>
      <w:r>
        <w:rPr>
          <w:rFonts w:ascii="Times New Roman" w:hAnsi="Times New Roman" w:eastAsia="宋体" w:cs="Times New Roman"/>
          <w:szCs w:val="24"/>
        </w:rPr>
        <w:t>联系消防队电话：119进行增援</w:t>
      </w:r>
    </w:p>
    <w:p>
      <w:pPr>
        <w:ind w:firstLine="480"/>
        <w:rPr>
          <w:rFonts w:ascii="Times New Roman" w:hAnsi="Times New Roman" w:eastAsia="宋体" w:cs="Times New Roman"/>
          <w:szCs w:val="24"/>
        </w:rPr>
      </w:pPr>
      <w:r>
        <w:rPr>
          <w:rFonts w:ascii="Times New Roman" w:hAnsi="Times New Roman" w:eastAsia="宋体" w:cs="Times New Roman"/>
          <w:szCs w:val="24"/>
        </w:rPr>
        <w:t>③报告咸宁市生态环境局赤壁市分局电话：</w:t>
      </w:r>
      <w:r>
        <w:rPr>
          <w:rFonts w:ascii="Times New Roman" w:hAnsi="Times New Roman" w:cs="Times New Roman"/>
          <w:szCs w:val="24"/>
        </w:rPr>
        <w:t>0715-5882548</w:t>
      </w:r>
      <w:r>
        <w:rPr>
          <w:rFonts w:ascii="Times New Roman" w:hAnsi="Times New Roman" w:eastAsia="宋体" w:cs="Times New Roman"/>
          <w:szCs w:val="24"/>
        </w:rPr>
        <w:t>进行增援</w:t>
      </w:r>
    </w:p>
    <w:p>
      <w:pPr>
        <w:ind w:firstLine="0" w:firstLineChars="0"/>
        <w:rPr>
          <w:rFonts w:ascii="Times New Roman" w:hAnsi="Times New Roman" w:eastAsia="宋体" w:cs="Times New Roman"/>
          <w:szCs w:val="24"/>
        </w:rPr>
      </w:pPr>
      <w:r>
        <w:rPr>
          <w:rFonts w:ascii="Times New Roman" w:hAnsi="Times New Roman" w:eastAsia="宋体" w:cs="Times New Roman"/>
          <w:szCs w:val="24"/>
        </w:rPr>
        <w:t>（2）</w:t>
      </w:r>
      <w:r>
        <w:rPr>
          <w:rFonts w:ascii="Times New Roman" w:hAnsi="Times New Roman" w:eastAsia="宋体" w:cs="Times New Roman"/>
        </w:rPr>
        <w:t>生产车间</w:t>
      </w:r>
      <w:r>
        <w:rPr>
          <w:rFonts w:ascii="Times New Roman" w:hAnsi="Times New Roman" w:eastAsia="宋体" w:cs="Times New Roman"/>
          <w:szCs w:val="24"/>
        </w:rPr>
        <w:t>突发事故环境风险应急联动响应对策：</w:t>
      </w:r>
    </w:p>
    <w:p>
      <w:pPr>
        <w:ind w:firstLine="480"/>
        <w:rPr>
          <w:rFonts w:ascii="Times New Roman" w:hAnsi="Times New Roman" w:eastAsia="宋体" w:cs="Times New Roman"/>
          <w:szCs w:val="24"/>
        </w:rPr>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1 \* GB3 </w:instrText>
      </w:r>
      <w:r>
        <w:rPr>
          <w:rFonts w:ascii="Times New Roman" w:hAnsi="Times New Roman" w:eastAsia="宋体" w:cs="Times New Roman"/>
          <w:szCs w:val="24"/>
        </w:rPr>
        <w:fldChar w:fldCharType="separate"/>
      </w:r>
      <w:r>
        <w:rPr>
          <w:rFonts w:ascii="Times New Roman" w:hAnsi="Times New Roman" w:eastAsia="宋体" w:cs="Times New Roman"/>
          <w:szCs w:val="24"/>
        </w:rPr>
        <w:t>①</w:t>
      </w:r>
      <w:r>
        <w:rPr>
          <w:rFonts w:ascii="Times New Roman" w:hAnsi="Times New Roman" w:eastAsia="宋体" w:cs="Times New Roman"/>
          <w:szCs w:val="24"/>
        </w:rPr>
        <w:fldChar w:fldCharType="end"/>
      </w:r>
      <w:r>
        <w:rPr>
          <w:rFonts w:ascii="Times New Roman" w:hAnsi="Times New Roman" w:eastAsia="宋体" w:cs="Times New Roman"/>
          <w:szCs w:val="24"/>
        </w:rPr>
        <w:t>报公司领导进行应急处置</w:t>
      </w:r>
    </w:p>
    <w:p>
      <w:pPr>
        <w:ind w:firstLine="480"/>
        <w:rPr>
          <w:rFonts w:ascii="Times New Roman" w:hAnsi="Times New Roman" w:eastAsia="宋体" w:cs="Times New Roman"/>
          <w:szCs w:val="24"/>
        </w:rPr>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2 \* GB3 </w:instrText>
      </w:r>
      <w:r>
        <w:rPr>
          <w:rFonts w:ascii="Times New Roman" w:hAnsi="Times New Roman" w:eastAsia="宋体" w:cs="Times New Roman"/>
          <w:szCs w:val="24"/>
        </w:rPr>
        <w:fldChar w:fldCharType="separate"/>
      </w:r>
      <w:r>
        <w:rPr>
          <w:rFonts w:ascii="Times New Roman" w:hAnsi="Times New Roman" w:eastAsia="宋体" w:cs="Times New Roman"/>
          <w:szCs w:val="24"/>
        </w:rPr>
        <w:t>②</w:t>
      </w:r>
      <w:r>
        <w:rPr>
          <w:rFonts w:ascii="Times New Roman" w:hAnsi="Times New Roman" w:eastAsia="宋体" w:cs="Times New Roman"/>
          <w:szCs w:val="24"/>
        </w:rPr>
        <w:fldChar w:fldCharType="end"/>
      </w:r>
      <w:r>
        <w:rPr>
          <w:rFonts w:ascii="Times New Roman" w:hAnsi="Times New Roman" w:eastAsia="宋体" w:cs="Times New Roman"/>
          <w:szCs w:val="24"/>
        </w:rPr>
        <w:t>联系消防队电话：119进行增援</w:t>
      </w:r>
    </w:p>
    <w:p>
      <w:pPr>
        <w:pStyle w:val="8"/>
        <w:spacing w:before="180" w:after="180"/>
        <w:rPr>
          <w:rFonts w:eastAsia="宋体" w:cs="Times New Roman"/>
          <w:sz w:val="28"/>
          <w:szCs w:val="28"/>
          <w:lang w:val="zh-CN"/>
        </w:rPr>
      </w:pPr>
      <w:bookmarkStart w:id="717" w:name="_Toc21732"/>
      <w:bookmarkStart w:id="718" w:name="_Toc16979"/>
      <w:bookmarkStart w:id="719" w:name="_Toc300384090"/>
      <w:bookmarkStart w:id="720" w:name="_Toc244048583"/>
      <w:bookmarkStart w:id="721" w:name="_Toc246239588"/>
      <w:bookmarkStart w:id="722" w:name="_Toc512693884"/>
      <w:bookmarkStart w:id="723" w:name="_Toc523160369"/>
      <w:bookmarkStart w:id="724" w:name="_Toc29873"/>
      <w:bookmarkStart w:id="725" w:name="_Toc515435531"/>
      <w:bookmarkStart w:id="726" w:name="_Toc21271"/>
      <w:bookmarkStart w:id="727" w:name="_Toc132468831"/>
      <w:bookmarkStart w:id="728" w:name="_Toc529542619"/>
      <w:r>
        <w:rPr>
          <w:rFonts w:eastAsia="宋体" w:cs="Times New Roman"/>
          <w:sz w:val="28"/>
          <w:szCs w:val="28"/>
          <w:lang w:val="zh-CN"/>
        </w:rPr>
        <w:t>7.3.</w:t>
      </w:r>
      <w:bookmarkEnd w:id="717"/>
      <w:bookmarkEnd w:id="718"/>
      <w:bookmarkEnd w:id="719"/>
      <w:bookmarkEnd w:id="720"/>
      <w:bookmarkEnd w:id="721"/>
      <w:r>
        <w:rPr>
          <w:rFonts w:eastAsia="宋体" w:cs="Times New Roman"/>
          <w:sz w:val="28"/>
          <w:szCs w:val="28"/>
          <w:lang w:val="zh-CN"/>
        </w:rPr>
        <w:t>3 水环境突发事件应急处置</w:t>
      </w:r>
      <w:bookmarkEnd w:id="722"/>
      <w:bookmarkEnd w:id="723"/>
      <w:bookmarkEnd w:id="724"/>
      <w:bookmarkEnd w:id="725"/>
      <w:bookmarkEnd w:id="726"/>
      <w:bookmarkEnd w:id="727"/>
      <w:bookmarkEnd w:id="728"/>
    </w:p>
    <w:p>
      <w:pPr>
        <w:adjustRightInd w:val="0"/>
        <w:snapToGrid w:val="0"/>
        <w:ind w:firstLine="482" w:firstLineChars="0"/>
        <w:rPr>
          <w:rFonts w:ascii="Times New Roman" w:hAnsi="Times New Roman" w:eastAsia="宋体" w:cs="Times New Roman"/>
          <w:bCs/>
          <w:szCs w:val="24"/>
          <w:u w:val="single"/>
        </w:rPr>
      </w:pPr>
      <w:r>
        <w:rPr>
          <w:rFonts w:ascii="Times New Roman" w:hAnsi="Times New Roman" w:eastAsia="宋体" w:cs="Times New Roman"/>
          <w:bCs/>
          <w:szCs w:val="24"/>
          <w:u w:val="single"/>
        </w:rPr>
        <w:t>公司发生水环境突发事件主要为污水异常排放及危化品泄漏或者泄漏引发地表水污染环境事件。</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1）现场人员发现“水环境突发事件”时应及时汇报上级主管，相关责任人迅速将消息传达到应急指挥中心办公室，由其负责通知应急指挥长，并协调相关部门做好应急准备，要求有关人员通讯要保持畅通，便于联络。</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（2）立即关闭废水和雨水总排放口，防止污染物流出厂区外环境，减少污染事件影响区域和范围；</w:t>
      </w:r>
    </w:p>
    <w:p>
      <w:pPr>
        <w:adjustRightInd w:val="0"/>
        <w:snapToGrid w:val="0"/>
        <w:ind w:firstLine="482" w:firstLineChars="0"/>
        <w:rPr>
          <w:rFonts w:ascii="Times New Roman" w:hAnsi="Times New Roman" w:eastAsia="宋体" w:cs="Times New Roman"/>
          <w:kern w:val="0"/>
          <w:szCs w:val="24"/>
        </w:rPr>
      </w:pPr>
      <w:r>
        <w:rPr>
          <w:rFonts w:ascii="Times New Roman" w:hAnsi="Times New Roman" w:eastAsia="宋体" w:cs="Times New Roman"/>
          <w:szCs w:val="24"/>
        </w:rPr>
        <w:t>（3）如事件污水已超标排入</w:t>
      </w:r>
      <w:r>
        <w:rPr>
          <w:rFonts w:hint="eastAsia" w:ascii="Times New Roman" w:hAnsi="Times New Roman" w:eastAsia="宋体" w:cs="Times New Roman"/>
          <w:szCs w:val="24"/>
        </w:rPr>
        <w:t>周边水体</w:t>
      </w:r>
      <w:r>
        <w:rPr>
          <w:rFonts w:ascii="Times New Roman" w:hAnsi="Times New Roman" w:eastAsia="宋体" w:cs="Times New Roman"/>
          <w:szCs w:val="24"/>
        </w:rPr>
        <w:t>，应及时汇报咸宁市生态环境局赤壁市分局，并委托赤壁市环境监测中心或者第三方检测公司对</w:t>
      </w:r>
      <w:r>
        <w:rPr>
          <w:rFonts w:hint="eastAsia" w:ascii="Times New Roman" w:hAnsi="Times New Roman" w:eastAsia="宋体" w:cs="Times New Roman"/>
          <w:szCs w:val="24"/>
        </w:rPr>
        <w:t>周边水体</w:t>
      </w:r>
      <w:r>
        <w:rPr>
          <w:rFonts w:ascii="Times New Roman" w:hAnsi="Times New Roman" w:eastAsia="宋体" w:cs="Times New Roman"/>
          <w:szCs w:val="24"/>
        </w:rPr>
        <w:t>进行水环境经检测，分析超标污水对质造成的影响。</w:t>
      </w:r>
    </w:p>
    <w:p>
      <w:pPr>
        <w:pStyle w:val="8"/>
        <w:spacing w:before="180" w:after="180"/>
        <w:rPr>
          <w:rFonts w:eastAsia="宋体" w:cs="Times New Roman"/>
          <w:sz w:val="28"/>
          <w:szCs w:val="28"/>
          <w:lang w:val="zh-CN"/>
        </w:rPr>
      </w:pPr>
      <w:bookmarkStart w:id="729" w:name="_Toc529542620"/>
      <w:bookmarkStart w:id="730" w:name="_Toc515435532"/>
      <w:bookmarkStart w:id="731" w:name="_Toc17636"/>
      <w:bookmarkStart w:id="732" w:name="_Toc523160370"/>
      <w:bookmarkStart w:id="733" w:name="_Toc512693885"/>
      <w:bookmarkStart w:id="734" w:name="_Toc27852"/>
      <w:bookmarkStart w:id="735" w:name="_Toc132468832"/>
      <w:r>
        <w:rPr>
          <w:rFonts w:eastAsia="宋体" w:cs="Times New Roman"/>
          <w:sz w:val="28"/>
          <w:szCs w:val="28"/>
          <w:lang w:val="zh-CN"/>
        </w:rPr>
        <w:t>7.3.4 大气环境突发事件应急处置</w:t>
      </w:r>
      <w:bookmarkEnd w:id="729"/>
      <w:bookmarkEnd w:id="730"/>
      <w:bookmarkEnd w:id="731"/>
      <w:bookmarkEnd w:id="732"/>
      <w:bookmarkEnd w:id="733"/>
      <w:bookmarkEnd w:id="734"/>
      <w:bookmarkEnd w:id="735"/>
    </w:p>
    <w:p>
      <w:pPr>
        <w:adjustRightInd w:val="0"/>
        <w:snapToGrid w:val="0"/>
        <w:ind w:firstLine="482" w:firstLineChars="0"/>
        <w:rPr>
          <w:rFonts w:ascii="Times New Roman" w:hAnsi="Times New Roman" w:eastAsia="宋体" w:cs="Times New Roman"/>
          <w:bCs/>
          <w:szCs w:val="24"/>
          <w:u w:val="single"/>
        </w:rPr>
      </w:pPr>
      <w:r>
        <w:rPr>
          <w:rFonts w:ascii="Times New Roman" w:hAnsi="Times New Roman" w:eastAsia="宋体" w:cs="Times New Roman"/>
          <w:bCs/>
          <w:szCs w:val="24"/>
          <w:u w:val="single"/>
        </w:rPr>
        <w:t>大气环境突发事件的主要类型有：废气处理装置异常引起的废气超标排放、危废品间、生产车间以及危废暂存间发生火灾事件引起的次生大气环境事件。</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1）现场人员发现“大气环境突发事件”时应及时汇报上级主管，上级迅速将消息传达到应急指挥中心办公室，由其负责通知应急指挥长，并协调相关部门做好应急准备，要求有关人员通讯要保持畅通，便于联络。</w:t>
      </w:r>
    </w:p>
    <w:p>
      <w:pPr>
        <w:adjustRightInd w:val="0"/>
        <w:snapToGrid w:val="0"/>
        <w:ind w:firstLine="482" w:firstLineChars="0"/>
        <w:rPr>
          <w:rFonts w:ascii="Times New Roman" w:hAnsi="Times New Roman" w:eastAsia="宋体" w:cs="Times New Roman"/>
          <w:kern w:val="0"/>
          <w:szCs w:val="24"/>
        </w:rPr>
      </w:pPr>
      <w:r>
        <w:rPr>
          <w:rFonts w:ascii="Times New Roman" w:hAnsi="Times New Roman" w:eastAsia="宋体" w:cs="Times New Roman"/>
          <w:szCs w:val="24"/>
        </w:rPr>
        <w:t>（2）环保系统废气处理操作人员在第一时间启动应急处理系统，对废气处理设施故障进行排查，采取关闭阀门、切断受损设施内的进料或转出的物料，或者紧急抢修堵漏点等措施，避免污染物进一步产生，必要时关停生产设施，确保未达标的废气不对外排放。</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（3）根据“大气环境突发事件”类型，启动相应的现场处置预案；</w:t>
      </w:r>
    </w:p>
    <w:p>
      <w:pPr>
        <w:pStyle w:val="8"/>
        <w:spacing w:before="180" w:after="180"/>
        <w:rPr>
          <w:rFonts w:eastAsia="宋体" w:cs="Times New Roman"/>
          <w:sz w:val="28"/>
          <w:szCs w:val="28"/>
          <w:lang w:val="zh-CN"/>
        </w:rPr>
      </w:pPr>
      <w:bookmarkStart w:id="736" w:name="_Toc30147"/>
      <w:bookmarkStart w:id="737" w:name="_Toc132468833"/>
      <w:bookmarkStart w:id="738" w:name="_Toc21550"/>
      <w:r>
        <w:rPr>
          <w:rFonts w:eastAsia="宋体" w:cs="Times New Roman"/>
          <w:sz w:val="28"/>
          <w:szCs w:val="28"/>
          <w:lang w:val="zh-CN"/>
        </w:rPr>
        <w:t>7.3.</w:t>
      </w:r>
      <w:r>
        <w:rPr>
          <w:rFonts w:eastAsia="宋体" w:cs="Times New Roman"/>
          <w:sz w:val="28"/>
          <w:szCs w:val="28"/>
        </w:rPr>
        <w:t>5</w:t>
      </w:r>
      <w:r>
        <w:rPr>
          <w:rFonts w:eastAsia="宋体" w:cs="Times New Roman"/>
          <w:sz w:val="28"/>
          <w:szCs w:val="28"/>
          <w:lang w:val="zh-CN"/>
        </w:rPr>
        <w:t>地下水和土壤环境突发事件应急措施</w:t>
      </w:r>
      <w:bookmarkEnd w:id="736"/>
      <w:bookmarkEnd w:id="737"/>
      <w:bookmarkEnd w:id="738"/>
    </w:p>
    <w:p>
      <w:pPr>
        <w:pStyle w:val="17"/>
        <w:ind w:firstLine="480"/>
        <w:jc w:val="left"/>
        <w:rPr>
          <w:rFonts w:ascii="Times New Roman" w:hAnsi="Times New Roman" w:eastAsia="宋体" w:cs="Times New Roman"/>
        </w:rPr>
      </w:pPr>
      <w:r>
        <w:rPr>
          <w:rFonts w:ascii="Times New Roman" w:hAnsi="Times New Roman" w:eastAsia="宋体" w:cs="Times New Roman"/>
        </w:rPr>
        <w:t>①当确定发生地下水异常情况时，及时向有关部门汇报，通知附近地下水用户，密切关注地下水水质变化情况。</w:t>
      </w:r>
    </w:p>
    <w:p>
      <w:pPr>
        <w:pStyle w:val="17"/>
        <w:ind w:firstLine="480"/>
        <w:jc w:val="left"/>
        <w:rPr>
          <w:rFonts w:ascii="Times New Roman" w:hAnsi="Times New Roman" w:eastAsia="宋体" w:cs="Times New Roman"/>
        </w:rPr>
      </w:pPr>
      <w:r>
        <w:rPr>
          <w:rFonts w:ascii="Times New Roman" w:hAnsi="Times New Roman" w:eastAsia="宋体" w:cs="Times New Roman"/>
        </w:rPr>
        <w:t>②组织专业队伍对事故现场进行调查、监测，查找环境事故发生点、分析事故原因，尽量将紧急事件局部化，如可能应予以消除，采取包括切断生产装置或设施等措施，防止事故的扩散、蔓延及连锁反应，尽量缩小地下水污染事故对人员和财产的影响。</w:t>
      </w:r>
    </w:p>
    <w:p>
      <w:pPr>
        <w:pStyle w:val="17"/>
        <w:ind w:firstLine="480"/>
        <w:jc w:val="left"/>
        <w:rPr>
          <w:rFonts w:ascii="Times New Roman" w:hAnsi="Times New Roman" w:eastAsia="宋体" w:cs="Times New Roman"/>
        </w:rPr>
      </w:pPr>
      <w:r>
        <w:rPr>
          <w:rFonts w:ascii="Times New Roman" w:hAnsi="Times New Roman" w:eastAsia="宋体" w:cs="Times New Roman"/>
        </w:rPr>
        <w:t>③当通过监测发现对周围地下水造成污染时，根据观测井的反馈信息，对污染区地下水进行人工抽采形成地下水降落漏斗，控制污染区地下水流场，防止污染物扩散，并抽取已污染的地下水送生产系统循环使用。</w:t>
      </w:r>
    </w:p>
    <w:p>
      <w:pPr>
        <w:pStyle w:val="17"/>
        <w:ind w:firstLine="480"/>
        <w:jc w:val="left"/>
        <w:rPr>
          <w:rFonts w:ascii="Times New Roman" w:hAnsi="Times New Roman" w:eastAsia="宋体" w:cs="Times New Roman"/>
        </w:rPr>
      </w:pPr>
      <w:r>
        <w:rPr>
          <w:rFonts w:ascii="Times New Roman" w:hAnsi="Times New Roman" w:eastAsia="宋体" w:cs="Times New Roman"/>
        </w:rPr>
        <w:t>④对事故后果进行评估，并制定防止类似事件发生的措施。</w:t>
      </w:r>
    </w:p>
    <w:p>
      <w:pPr>
        <w:pStyle w:val="17"/>
        <w:ind w:firstLine="480"/>
        <w:jc w:val="left"/>
        <w:rPr>
          <w:rFonts w:ascii="Times New Roman" w:hAnsi="Times New Roman" w:eastAsia="宋体" w:cs="Times New Roman"/>
        </w:rPr>
      </w:pPr>
      <w:r>
        <w:rPr>
          <w:rFonts w:ascii="Times New Roman" w:hAnsi="Times New Roman" w:eastAsia="宋体" w:cs="Times New Roman"/>
        </w:rPr>
        <w:t>⑤必要时应请求社会应急力量协助处理。</w:t>
      </w:r>
    </w:p>
    <w:p>
      <w:pPr>
        <w:pStyle w:val="17"/>
        <w:ind w:firstLine="480"/>
        <w:jc w:val="left"/>
        <w:rPr>
          <w:rFonts w:ascii="Times New Roman" w:hAnsi="Times New Roman" w:eastAsia="宋体" w:cs="Times New Roman"/>
        </w:rPr>
      </w:pPr>
      <w:r>
        <w:rPr>
          <w:rFonts w:ascii="Times New Roman" w:hAnsi="Times New Roman" w:eastAsia="宋体" w:cs="Times New Roman"/>
        </w:rPr>
        <w:t>地下水污染具有不易被发现和一旦发生污染事故很难治理的特点，因此，防治地下水污染应遵循源头控制、分区防治、污染监测及事故应急处理的主动及被动相结合的原则。</w:t>
      </w:r>
    </w:p>
    <w:p>
      <w:pPr>
        <w:pStyle w:val="17"/>
        <w:ind w:firstLine="480"/>
        <w:jc w:val="left"/>
        <w:rPr>
          <w:rFonts w:ascii="Times New Roman" w:hAnsi="Times New Roman" w:eastAsia="宋体" w:cs="Times New Roman"/>
        </w:rPr>
      </w:pPr>
      <w:r>
        <w:rPr>
          <w:rFonts w:ascii="Times New Roman" w:hAnsi="Times New Roman" w:eastAsia="宋体" w:cs="Times New Roman"/>
        </w:rPr>
        <w:t>地下水污染调查及污染修复是一项专业性较强的工作，一旦发生污染事故，应委托具有地下水剂土壤污染治理能力及污染事故处理经验的单位查明并修复污染地区地下水和土壤。污染发生后，应及早的寻找新的水源，保证当地居民用水安全。</w:t>
      </w:r>
    </w:p>
    <w:p>
      <w:pPr>
        <w:pStyle w:val="8"/>
        <w:spacing w:before="180" w:after="180"/>
        <w:rPr>
          <w:rFonts w:eastAsia="宋体" w:cs="Times New Roman"/>
          <w:sz w:val="28"/>
          <w:szCs w:val="28"/>
          <w:lang w:val="zh-CN"/>
        </w:rPr>
      </w:pPr>
      <w:bookmarkStart w:id="739" w:name="_Toc529542621"/>
      <w:bookmarkStart w:id="740" w:name="_Toc32227"/>
      <w:bookmarkStart w:id="741" w:name="_Toc523160371"/>
      <w:bookmarkStart w:id="742" w:name="_Toc17803"/>
      <w:bookmarkStart w:id="743" w:name="_Toc515435533"/>
      <w:bookmarkStart w:id="744" w:name="_Toc132468834"/>
      <w:bookmarkStart w:id="745" w:name="_Toc512693886"/>
      <w:r>
        <w:rPr>
          <w:rFonts w:eastAsia="宋体" w:cs="Times New Roman"/>
          <w:sz w:val="28"/>
          <w:szCs w:val="28"/>
          <w:lang w:val="zh-CN"/>
        </w:rPr>
        <w:t>7.3.</w:t>
      </w:r>
      <w:r>
        <w:rPr>
          <w:rFonts w:eastAsia="宋体" w:cs="Times New Roman"/>
          <w:sz w:val="28"/>
          <w:szCs w:val="28"/>
        </w:rPr>
        <w:t>6</w:t>
      </w:r>
      <w:r>
        <w:rPr>
          <w:rFonts w:eastAsia="宋体" w:cs="Times New Roman"/>
          <w:sz w:val="28"/>
          <w:szCs w:val="28"/>
          <w:lang w:val="zh-CN"/>
        </w:rPr>
        <w:t xml:space="preserve"> 风险物质泄漏事故应急措施</w:t>
      </w:r>
      <w:bookmarkEnd w:id="739"/>
      <w:bookmarkEnd w:id="740"/>
      <w:bookmarkEnd w:id="741"/>
      <w:bookmarkEnd w:id="742"/>
      <w:bookmarkEnd w:id="743"/>
      <w:bookmarkEnd w:id="744"/>
      <w:bookmarkEnd w:id="745"/>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发现危化品物料和危险废物泄漏后，厂区发现人立即向厂区负责人报告，由厂区负责人报告应急指挥中心办公室领导，由其启动Ⅲ级响应和Ⅲ级应急预案。同时，及时上报应急指挥长，根据现场事态发展的情况，由应急指挥长决定是否启动Ⅱ级响应和Ⅱ级应急预案。具体过程为：</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（1）疏散与隔离</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原辅料和化学品生产、储存和使用过程中一旦发生泄漏，首先要疏散无关人员，隔离泄漏污染区。如果是易燃易爆化学品大量泄漏，这时一定要打“119”报警，请求消防专业人员救援，同时要保护、控制好现场。</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（2）切断火源</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切断火源对化学品的泄漏处理特别重要，如果泄漏物品是易燃品，必须立即消除泄漏污染区域的各种火源。</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（3）个人防护</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参加泄漏处理人员应对泄漏品的化学性质和反应特征有充分的了解，要于高处和上风处进行处理，严禁单独行动，要有监护人。必要时要用水枪（雾状水）掩护。要根据泄漏品的性质和毒物接触形式，选择适当的防护用品，防止事故处理过程中发生伤亡、中毒事故。</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①呼吸系统防护</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为了防止有毒有害物质通过呼吸系统侵入人体，应根据不同场合选择不同的防护器具。对于泄漏化学品毒性大、浓度较高，且缺氧的情况下，必须采用氧气呼吸器、空气呼吸器、送风式长管面具等。对于泄漏中氧气浓度不低于18%，毒物浓度在一定范围内的场合，可以采用防毒面具（毒物浓度在2%以下的采用隔离式防毒面具，浓度在1%以下采用直接式防毒面具，浓度在0.1%以下采取防毒口罩）。在粉尘环境中可采用防尘口罩。</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②眼睛防护</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为防止眼睛受到伤害，可采用化学安全防护眼镜、安全防护面罩等。</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③身体防护</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为了避免皮肤受到损伤，可以采用带面罩式胶布防毒衣、连衣式胶布防毒衣、橡胶工作服、防毒物渗透工作服、透气型防毒服等。</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④手防护</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为了保护手不受损害，可以采用橡胶手套、乳胶手套、耐酸碱手套、防化学品手套等。</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（4）化学品泄漏后处置</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如果在生产使用过程中发生泄漏，要在统一指挥下，通过关闭有关阀门，切断与之相连的设备、管线，停止作业，或改变工艺流程等方法来控制化学品的进一步泄漏。如果是罐体/桶体发生泄漏，应根据实际情况，采取措施堵塞和修补裂口，制止进一步泄漏。另外，要防止泄漏物扩散，殃及周围的建筑物、车辆及人群，万一控制不住泄漏，要及时处置泄漏物，严密监视，以防火灾。防止二次事故的发生。</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地面上泄漏物处置主要有以下方法：</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对于发生</w:t>
      </w:r>
      <w:r>
        <w:rPr>
          <w:rFonts w:hint="eastAsia" w:ascii="Times New Roman" w:hAnsi="Times New Roman" w:cs="Times New Roman"/>
          <w:szCs w:val="24"/>
        </w:rPr>
        <w:t>油类物质</w:t>
      </w:r>
      <w:r>
        <w:rPr>
          <w:rFonts w:ascii="Times New Roman" w:hAnsi="Times New Roman" w:eastAsia="宋体" w:cs="Times New Roman"/>
          <w:szCs w:val="24"/>
        </w:rPr>
        <w:t>泄漏时，及时将雨水阀关闭或者用沙袋堵住，防止物料进入厂内雨水系统。同时，为降低液体物料向大气中的蒸发速度，可用泡沫或其他覆盖物品覆盖外泄的物料，在其表面形成覆盖层，抑制其蒸发。</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对于大型液体泄漏，可选择用隔膜泵将泄漏出的物料抽入容器内或槽车内；当泄漏量小时，可用沙子、吸附材料、中和材料等吸收中和，或者用固化法处理泄漏物。</w:t>
      </w:r>
    </w:p>
    <w:p>
      <w:pPr>
        <w:pStyle w:val="2"/>
        <w:jc w:val="center"/>
        <w:rPr>
          <w:rFonts w:ascii="Times New Roman" w:hAnsi="Times New Roman" w:eastAsia="宋体" w:cs="Times New Roman"/>
          <w:color w:val="auto"/>
          <w:sz w:val="21"/>
          <w:szCs w:val="21"/>
        </w:rPr>
      </w:pPr>
      <w:r>
        <w:rPr>
          <w:rFonts w:ascii="Times New Roman" w:hAnsi="Times New Roman" w:eastAsia="宋体" w:cs="Times New Roman"/>
          <w:b/>
          <w:color w:val="auto"/>
          <w:sz w:val="21"/>
          <w:szCs w:val="21"/>
        </w:rPr>
        <w:t xml:space="preserve">表7.3-1  </w:t>
      </w:r>
      <w:r>
        <w:rPr>
          <w:rFonts w:ascii="Times New Roman" w:hAnsi="Times New Roman" w:eastAsia="宋体" w:cs="Times New Roman"/>
          <w:b/>
          <w:color w:val="auto"/>
          <w:spacing w:val="-1"/>
          <w:sz w:val="21"/>
          <w:szCs w:val="21"/>
        </w:rPr>
        <w:t>危险化学品泄漏事故现场应急处置措施</w:t>
      </w:r>
    </w:p>
    <w:tbl>
      <w:tblPr>
        <w:tblStyle w:val="37"/>
        <w:tblW w:w="10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4940"/>
        <w:gridCol w:w="37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342" w:type="dxa"/>
            <w:tcBorders>
              <w:bottom w:val="single" w:color="auto" w:sz="12" w:space="0"/>
            </w:tcBorders>
            <w:vAlign w:val="center"/>
          </w:tcPr>
          <w:p>
            <w:pPr>
              <w:pStyle w:val="2"/>
              <w:snapToGrid w:val="0"/>
              <w:jc w:val="center"/>
              <w:rPr>
                <w:rFonts w:ascii="Times New Roman" w:hAnsi="Times New Roman" w:eastAsia="宋体" w:cs="Times New Roman"/>
                <w:color w:val="auto"/>
                <w:sz w:val="18"/>
                <w:szCs w:val="18"/>
              </w:rPr>
            </w:pPr>
            <w:r>
              <w:rPr>
                <w:rFonts w:ascii="Times New Roman" w:hAnsi="Times New Roman" w:eastAsia="宋体" w:cs="Times New Roman"/>
                <w:b/>
                <w:color w:val="auto"/>
                <w:sz w:val="18"/>
                <w:szCs w:val="18"/>
              </w:rPr>
              <w:t>措施危险源</w:t>
            </w:r>
          </w:p>
        </w:tc>
        <w:tc>
          <w:tcPr>
            <w:tcW w:w="4940" w:type="dxa"/>
            <w:tcBorders>
              <w:bottom w:val="single" w:color="auto" w:sz="12" w:space="0"/>
            </w:tcBorders>
            <w:vAlign w:val="center"/>
          </w:tcPr>
          <w:p>
            <w:pPr>
              <w:pStyle w:val="2"/>
              <w:jc w:val="center"/>
              <w:rPr>
                <w:rFonts w:ascii="Times New Roman" w:hAnsi="Times New Roman" w:eastAsia="宋体" w:cs="Times New Roman"/>
                <w:color w:val="auto"/>
                <w:sz w:val="18"/>
                <w:szCs w:val="18"/>
              </w:rPr>
            </w:pPr>
            <w:r>
              <w:rPr>
                <w:rFonts w:ascii="Times New Roman" w:hAnsi="Times New Roman" w:eastAsia="宋体" w:cs="Times New Roman"/>
                <w:b/>
                <w:color w:val="auto"/>
                <w:sz w:val="18"/>
                <w:szCs w:val="18"/>
              </w:rPr>
              <w:t>辅料存放区或储罐区</w:t>
            </w:r>
          </w:p>
        </w:tc>
        <w:tc>
          <w:tcPr>
            <w:tcW w:w="3752" w:type="dxa"/>
            <w:tcBorders>
              <w:bottom w:val="single" w:color="auto" w:sz="12" w:space="0"/>
            </w:tcBorders>
            <w:vAlign w:val="center"/>
          </w:tcPr>
          <w:p>
            <w:pPr>
              <w:pStyle w:val="2"/>
              <w:jc w:val="center"/>
              <w:rPr>
                <w:rFonts w:ascii="Times New Roman" w:hAnsi="Times New Roman" w:eastAsia="宋体" w:cs="Times New Roman"/>
                <w:color w:val="auto"/>
                <w:sz w:val="18"/>
                <w:szCs w:val="18"/>
              </w:rPr>
            </w:pPr>
            <w:r>
              <w:rPr>
                <w:rFonts w:ascii="Times New Roman" w:hAnsi="Times New Roman" w:eastAsia="宋体" w:cs="Times New Roman"/>
                <w:b/>
                <w:color w:val="auto"/>
                <w:sz w:val="18"/>
                <w:szCs w:val="18"/>
              </w:rPr>
              <w:t>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tcBorders>
              <w:top w:val="single" w:color="auto" w:sz="12" w:space="0"/>
              <w:tl2br w:val="nil"/>
              <w:tr2bl w:val="nil"/>
            </w:tcBorders>
            <w:vAlign w:val="center"/>
          </w:tcPr>
          <w:p>
            <w:pPr>
              <w:pStyle w:val="2"/>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切断污染源措施</w:t>
            </w:r>
          </w:p>
        </w:tc>
        <w:tc>
          <w:tcPr>
            <w:tcW w:w="4940" w:type="dxa"/>
            <w:tcBorders>
              <w:top w:val="single" w:color="auto" w:sz="12" w:space="0"/>
              <w:tl2br w:val="nil"/>
              <w:tr2bl w:val="nil"/>
            </w:tcBorders>
            <w:vAlign w:val="center"/>
          </w:tcPr>
          <w:p>
            <w:pPr>
              <w:pStyle w:val="103"/>
              <w:spacing w:before="1" w:line="240" w:lineRule="auto"/>
              <w:ind w:firstLine="0" w:firstLineChars="0"/>
              <w:jc w:val="left"/>
              <w:rPr>
                <w:rFonts w:ascii="Times New Roman" w:hAnsi="Times New Roman" w:cs="Times New Roman"/>
                <w:sz w:val="18"/>
                <w:szCs w:val="18"/>
                <w:lang w:val="en-US"/>
              </w:rPr>
            </w:pPr>
            <w:r>
              <w:rPr>
                <w:rFonts w:ascii="Times New Roman" w:hAnsi="Times New Roman" w:cs="Times New Roman"/>
                <w:sz w:val="18"/>
                <w:szCs w:val="18"/>
              </w:rPr>
              <w:t>1、全厂停工</w:t>
            </w:r>
            <w:r>
              <w:rPr>
                <w:rFonts w:ascii="Times New Roman" w:hAnsi="Times New Roman" w:cs="Times New Roman"/>
                <w:sz w:val="18"/>
                <w:szCs w:val="18"/>
                <w:lang w:val="en-US"/>
              </w:rPr>
              <w:t>；</w:t>
            </w:r>
          </w:p>
          <w:p>
            <w:pPr>
              <w:pStyle w:val="103"/>
              <w:spacing w:before="5" w:line="240" w:lineRule="auto"/>
              <w:ind w:right="55" w:firstLine="0" w:firstLineChars="0"/>
              <w:jc w:val="left"/>
              <w:rPr>
                <w:rFonts w:ascii="Times New Roman" w:hAnsi="Times New Roman" w:cs="Times New Roman"/>
                <w:sz w:val="18"/>
                <w:szCs w:val="18"/>
                <w:lang w:val="en-US"/>
              </w:rPr>
            </w:pPr>
            <w:r>
              <w:rPr>
                <w:rFonts w:ascii="Times New Roman" w:hAnsi="Times New Roman" w:cs="Times New Roman"/>
                <w:sz w:val="18"/>
                <w:szCs w:val="18"/>
              </w:rPr>
              <w:t>2、应急处理人员</w:t>
            </w:r>
            <w:r>
              <w:rPr>
                <w:rFonts w:hint="eastAsia" w:ascii="Times New Roman" w:hAnsi="Times New Roman" w:cs="Times New Roman"/>
                <w:sz w:val="18"/>
                <w:szCs w:val="18"/>
              </w:rPr>
              <w:t>做好个人防护</w:t>
            </w:r>
            <w:r>
              <w:rPr>
                <w:rFonts w:ascii="Times New Roman" w:hAnsi="Times New Roman" w:cs="Times New Roman"/>
                <w:sz w:val="18"/>
                <w:szCs w:val="18"/>
              </w:rPr>
              <w:t>。不要直接接触泄漏物；</w:t>
            </w:r>
          </w:p>
          <w:p>
            <w:pPr>
              <w:pStyle w:val="103"/>
              <w:spacing w:line="240" w:lineRule="auto"/>
              <w:ind w:firstLine="0" w:firstLineChars="0"/>
              <w:jc w:val="left"/>
              <w:rPr>
                <w:rFonts w:ascii="Times New Roman" w:hAnsi="Times New Roman" w:cs="Times New Roman"/>
                <w:sz w:val="18"/>
                <w:szCs w:val="18"/>
              </w:rPr>
            </w:pPr>
            <w:r>
              <w:rPr>
                <w:rFonts w:ascii="Times New Roman" w:hAnsi="Times New Roman" w:cs="Times New Roman"/>
                <w:sz w:val="18"/>
                <w:szCs w:val="18"/>
              </w:rPr>
              <w:t>3</w:t>
            </w:r>
            <w:r>
              <w:rPr>
                <w:rFonts w:ascii="Times New Roman" w:hAnsi="Times New Roman" w:cs="Times New Roman"/>
                <w:spacing w:val="-13"/>
                <w:sz w:val="18"/>
                <w:szCs w:val="18"/>
              </w:rPr>
              <w:t>、采取措施修补和堵塞裂口，制止原料的进一步泄漏；</w:t>
            </w:r>
          </w:p>
          <w:p>
            <w:pPr>
              <w:pStyle w:val="2"/>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w:t>
            </w:r>
            <w:r>
              <w:rPr>
                <w:rFonts w:ascii="Times New Roman" w:hAnsi="Times New Roman" w:eastAsia="宋体" w:cs="Times New Roman"/>
                <w:color w:val="auto"/>
                <w:spacing w:val="-4"/>
                <w:sz w:val="18"/>
                <w:szCs w:val="18"/>
              </w:rPr>
              <w:t>、第一时间关闭雨水总排口阀门，确保厂区内无外排放</w:t>
            </w:r>
            <w:r>
              <w:rPr>
                <w:rFonts w:ascii="Times New Roman" w:hAnsi="Times New Roman" w:eastAsia="宋体" w:cs="Times New Roman"/>
                <w:color w:val="auto"/>
                <w:sz w:val="18"/>
                <w:szCs w:val="18"/>
              </w:rPr>
              <w:t>口，事故废水通过</w:t>
            </w:r>
            <w:r>
              <w:rPr>
                <w:rFonts w:ascii="Times New Roman" w:hAnsi="Times New Roman" w:eastAsia="宋体" w:cs="Times New Roman"/>
                <w:color w:val="auto"/>
                <w:spacing w:val="-5"/>
                <w:sz w:val="18"/>
                <w:szCs w:val="18"/>
              </w:rPr>
              <w:t>构建的、截留沟等方式进行收集</w:t>
            </w:r>
            <w:r>
              <w:rPr>
                <w:rFonts w:ascii="Times New Roman" w:hAnsi="Times New Roman" w:eastAsia="宋体" w:cs="Times New Roman"/>
                <w:color w:val="auto"/>
                <w:sz w:val="18"/>
                <w:szCs w:val="18"/>
              </w:rPr>
              <w:t>。</w:t>
            </w:r>
          </w:p>
        </w:tc>
        <w:tc>
          <w:tcPr>
            <w:tcW w:w="3752" w:type="dxa"/>
            <w:tcBorders>
              <w:top w:val="single" w:color="auto" w:sz="12" w:space="0"/>
              <w:tl2br w:val="nil"/>
              <w:tr2bl w:val="nil"/>
            </w:tcBorders>
            <w:vAlign w:val="center"/>
          </w:tcPr>
          <w:p>
            <w:pPr>
              <w:pStyle w:val="103"/>
              <w:spacing w:before="119" w:line="240" w:lineRule="auto"/>
              <w:ind w:firstLine="0" w:firstLineChars="0"/>
              <w:jc w:val="left"/>
              <w:rPr>
                <w:rFonts w:ascii="Times New Roman" w:hAnsi="Times New Roman" w:cs="Times New Roman"/>
                <w:sz w:val="18"/>
                <w:szCs w:val="18"/>
                <w:lang w:val="en-US"/>
              </w:rPr>
            </w:pPr>
            <w:r>
              <w:rPr>
                <w:rFonts w:ascii="Times New Roman" w:hAnsi="Times New Roman" w:cs="Times New Roman"/>
                <w:sz w:val="18"/>
                <w:szCs w:val="18"/>
                <w:lang w:val="en-US"/>
              </w:rPr>
              <w:t>1</w:t>
            </w:r>
            <w:r>
              <w:rPr>
                <w:rFonts w:ascii="Times New Roman" w:hAnsi="Times New Roman" w:cs="Times New Roman"/>
                <w:sz w:val="18"/>
                <w:szCs w:val="18"/>
              </w:rPr>
              <w:t>、全厂停工或部分停工</w:t>
            </w:r>
            <w:r>
              <w:rPr>
                <w:rFonts w:ascii="Times New Roman" w:hAnsi="Times New Roman" w:cs="Times New Roman"/>
                <w:sz w:val="18"/>
                <w:szCs w:val="18"/>
                <w:lang w:val="en-US"/>
              </w:rPr>
              <w:t>；</w:t>
            </w:r>
          </w:p>
          <w:p>
            <w:pPr>
              <w:pStyle w:val="103"/>
              <w:spacing w:before="2" w:line="240" w:lineRule="auto"/>
              <w:ind w:firstLine="0" w:firstLineChars="0"/>
              <w:jc w:val="left"/>
              <w:rPr>
                <w:rFonts w:ascii="Times New Roman" w:hAnsi="Times New Roman" w:cs="Times New Roman"/>
                <w:sz w:val="18"/>
                <w:szCs w:val="18"/>
              </w:rPr>
            </w:pPr>
            <w:r>
              <w:rPr>
                <w:rFonts w:ascii="Times New Roman" w:hAnsi="Times New Roman" w:cs="Times New Roman"/>
                <w:sz w:val="18"/>
                <w:szCs w:val="18"/>
                <w:lang w:val="en-US"/>
              </w:rPr>
              <w:t>2</w:t>
            </w:r>
            <w:r>
              <w:rPr>
                <w:rFonts w:ascii="Times New Roman" w:hAnsi="Times New Roman" w:cs="Times New Roman"/>
                <w:sz w:val="18"/>
                <w:szCs w:val="18"/>
              </w:rPr>
              <w:t>、关闭或者用沙袋堵住厂区雨水排放总阀门；</w:t>
            </w:r>
          </w:p>
          <w:p>
            <w:pPr>
              <w:pStyle w:val="2"/>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3</w:t>
            </w:r>
            <w:r>
              <w:rPr>
                <w:rFonts w:ascii="Times New Roman" w:hAnsi="Times New Roman" w:eastAsia="宋体" w:cs="Times New Roman"/>
                <w:color w:val="auto"/>
                <w:spacing w:val="-11"/>
                <w:sz w:val="18"/>
                <w:szCs w:val="18"/>
              </w:rPr>
              <w:t>、车间危险品发生泄漏时，杜</w:t>
            </w:r>
            <w:r>
              <w:rPr>
                <w:rFonts w:ascii="Times New Roman" w:hAnsi="Times New Roman" w:eastAsia="宋体" w:cs="Times New Roman"/>
                <w:color w:val="auto"/>
                <w:spacing w:val="-1"/>
                <w:sz w:val="18"/>
                <w:szCs w:val="18"/>
              </w:rPr>
              <w:t>绝一切火种，用黄沙掩盖吸附，移至容</w:t>
            </w:r>
            <w:r>
              <w:rPr>
                <w:rFonts w:ascii="Times New Roman" w:hAnsi="Times New Roman" w:eastAsia="宋体" w:cs="Times New Roman"/>
                <w:color w:val="auto"/>
                <w:sz w:val="18"/>
                <w:szCs w:val="18"/>
              </w:rPr>
              <w:t>器中。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tcBorders>
              <w:tl2br w:val="nil"/>
              <w:tr2bl w:val="nil"/>
            </w:tcBorders>
            <w:vAlign w:val="center"/>
          </w:tcPr>
          <w:p>
            <w:pPr>
              <w:pStyle w:val="103"/>
              <w:spacing w:line="240" w:lineRule="auto"/>
              <w:ind w:right="149" w:firstLine="0" w:firstLineChars="0"/>
              <w:rPr>
                <w:rFonts w:ascii="Times New Roman" w:hAnsi="Times New Roman" w:cs="Times New Roman"/>
                <w:sz w:val="18"/>
                <w:szCs w:val="18"/>
              </w:rPr>
            </w:pPr>
            <w:r>
              <w:rPr>
                <w:rFonts w:ascii="Times New Roman" w:hAnsi="Times New Roman" w:cs="Times New Roman"/>
                <w:sz w:val="18"/>
                <w:szCs w:val="18"/>
              </w:rPr>
              <w:t>防治污染物扩散措施</w:t>
            </w:r>
          </w:p>
        </w:tc>
        <w:tc>
          <w:tcPr>
            <w:tcW w:w="4940" w:type="dxa"/>
            <w:tcBorders>
              <w:tl2br w:val="nil"/>
              <w:tr2bl w:val="nil"/>
            </w:tcBorders>
            <w:vAlign w:val="center"/>
          </w:tcPr>
          <w:p>
            <w:pPr>
              <w:pStyle w:val="103"/>
              <w:spacing w:before="1" w:line="240" w:lineRule="auto"/>
              <w:ind w:right="55" w:firstLine="0" w:firstLineChars="0"/>
              <w:jc w:val="left"/>
              <w:rPr>
                <w:rFonts w:ascii="Times New Roman" w:hAnsi="Times New Roman" w:cs="Times New Roman"/>
                <w:sz w:val="18"/>
                <w:szCs w:val="18"/>
              </w:rPr>
            </w:pPr>
            <w:r>
              <w:rPr>
                <w:rFonts w:ascii="Times New Roman" w:hAnsi="Times New Roman" w:cs="Times New Roman"/>
                <w:sz w:val="18"/>
                <w:szCs w:val="18"/>
              </w:rPr>
              <w:t>1、小量泄漏：用黄沙吸附或吸收，将泄漏的污染物控制在危化品间范围内；</w:t>
            </w:r>
          </w:p>
          <w:p>
            <w:pPr>
              <w:pStyle w:val="103"/>
              <w:spacing w:line="240" w:lineRule="auto"/>
              <w:ind w:right="89" w:firstLine="0" w:firstLineChars="0"/>
              <w:jc w:val="left"/>
              <w:rPr>
                <w:rFonts w:ascii="Times New Roman" w:hAnsi="Times New Roman" w:cs="Times New Roman"/>
                <w:spacing w:val="-5"/>
                <w:sz w:val="18"/>
                <w:szCs w:val="18"/>
              </w:rPr>
            </w:pPr>
            <w:r>
              <w:rPr>
                <w:rFonts w:ascii="Times New Roman" w:hAnsi="Times New Roman" w:cs="Times New Roman"/>
                <w:spacing w:val="-5"/>
                <w:sz w:val="18"/>
                <w:szCs w:val="18"/>
                <w:lang w:val="en-US"/>
              </w:rPr>
              <w:t>2</w:t>
            </w:r>
            <w:r>
              <w:rPr>
                <w:rFonts w:ascii="Times New Roman" w:hAnsi="Times New Roman" w:cs="Times New Roman"/>
                <w:spacing w:val="-5"/>
                <w:sz w:val="18"/>
                <w:szCs w:val="18"/>
              </w:rPr>
              <w:t>、大量泄漏：用防爆泵将泄漏出的物料抽入容器内或槽车内；</w:t>
            </w:r>
          </w:p>
          <w:p>
            <w:pPr>
              <w:pStyle w:val="103"/>
              <w:spacing w:before="2" w:line="240" w:lineRule="auto"/>
              <w:ind w:firstLine="0" w:firstLineChars="0"/>
              <w:jc w:val="left"/>
              <w:rPr>
                <w:rFonts w:ascii="Times New Roman" w:hAnsi="Times New Roman" w:cs="Times New Roman"/>
                <w:sz w:val="18"/>
                <w:szCs w:val="18"/>
              </w:rPr>
            </w:pPr>
            <w:r>
              <w:rPr>
                <w:rFonts w:ascii="Times New Roman" w:hAnsi="Times New Roman" w:cs="Times New Roman"/>
                <w:sz w:val="18"/>
                <w:szCs w:val="18"/>
              </w:rPr>
              <w:t>3、采用消防水枪向有害物蒸汽云喷射雾状水，加速气体向高空扩散，使其在安全地带扩散。</w:t>
            </w:r>
          </w:p>
        </w:tc>
        <w:tc>
          <w:tcPr>
            <w:tcW w:w="3752" w:type="dxa"/>
            <w:tcBorders>
              <w:tl2br w:val="nil"/>
              <w:tr2bl w:val="nil"/>
            </w:tcBorders>
            <w:vAlign w:val="center"/>
          </w:tcPr>
          <w:p>
            <w:pPr>
              <w:pStyle w:val="103"/>
              <w:spacing w:before="1" w:line="240" w:lineRule="auto"/>
              <w:ind w:right="91" w:firstLine="0" w:firstLineChars="0"/>
              <w:jc w:val="left"/>
              <w:rPr>
                <w:rFonts w:ascii="Times New Roman" w:hAnsi="Times New Roman" w:cs="Times New Roman"/>
                <w:spacing w:val="-1"/>
                <w:sz w:val="18"/>
                <w:szCs w:val="18"/>
              </w:rPr>
            </w:pPr>
            <w:r>
              <w:rPr>
                <w:rFonts w:ascii="Times New Roman" w:hAnsi="Times New Roman" w:cs="Times New Roman"/>
                <w:spacing w:val="-11"/>
                <w:sz w:val="18"/>
                <w:szCs w:val="18"/>
                <w:lang w:val="en-US"/>
              </w:rPr>
              <w:t>1</w:t>
            </w:r>
            <w:r>
              <w:rPr>
                <w:rFonts w:ascii="Times New Roman" w:hAnsi="Times New Roman" w:cs="Times New Roman"/>
                <w:spacing w:val="-11"/>
                <w:sz w:val="18"/>
                <w:szCs w:val="18"/>
              </w:rPr>
              <w:t>、小</w:t>
            </w:r>
            <w:r>
              <w:rPr>
                <w:rFonts w:ascii="Times New Roman" w:hAnsi="Times New Roman" w:cs="Times New Roman"/>
                <w:spacing w:val="-1"/>
                <w:sz w:val="18"/>
                <w:szCs w:val="18"/>
              </w:rPr>
              <w:t>量泄漏：用黄沙吸收，将泄漏的废液控制在车间范围内。</w:t>
            </w:r>
          </w:p>
          <w:p>
            <w:pPr>
              <w:pStyle w:val="103"/>
              <w:spacing w:before="2" w:line="240" w:lineRule="auto"/>
              <w:ind w:firstLine="0" w:firstLineChars="0"/>
              <w:jc w:val="left"/>
              <w:rPr>
                <w:rFonts w:ascii="Times New Roman" w:hAnsi="Times New Roman" w:cs="Times New Roman"/>
                <w:spacing w:val="-1"/>
                <w:sz w:val="18"/>
                <w:szCs w:val="18"/>
              </w:rPr>
            </w:pPr>
            <w:r>
              <w:rPr>
                <w:rFonts w:ascii="Times New Roman" w:hAnsi="Times New Roman" w:cs="Times New Roman"/>
                <w:sz w:val="18"/>
                <w:szCs w:val="18"/>
              </w:rPr>
              <w:t>2、大量泄漏</w:t>
            </w:r>
            <w:r>
              <w:rPr>
                <w:rFonts w:ascii="Times New Roman" w:hAnsi="Times New Roman" w:cs="Times New Roman"/>
                <w:spacing w:val="-1"/>
                <w:sz w:val="18"/>
                <w:szCs w:val="18"/>
              </w:rPr>
              <w:t>：构筑围堤或挖坑收容。用泵转移至槽车或专用收集器内，回收或运至废物处理场所处置。</w:t>
            </w:r>
          </w:p>
          <w:p>
            <w:pPr>
              <w:pStyle w:val="103"/>
              <w:spacing w:before="2" w:line="240" w:lineRule="auto"/>
              <w:ind w:right="91" w:firstLine="0" w:firstLineChars="0"/>
              <w:jc w:val="left"/>
              <w:rPr>
                <w:rFonts w:ascii="Times New Roman" w:hAnsi="Times New Roman" w:cs="Times New Roman"/>
                <w:sz w:val="18"/>
                <w:szCs w:val="18"/>
              </w:rPr>
            </w:pPr>
            <w:r>
              <w:rPr>
                <w:rFonts w:ascii="Times New Roman" w:hAnsi="Times New Roman" w:cs="Times New Roman"/>
                <w:spacing w:val="-11"/>
                <w:sz w:val="18"/>
                <w:szCs w:val="18"/>
              </w:rPr>
              <w:t>3、采用消防水枪向有害物蒸汽云喷射雾状水，加速气体向高空扩散，使其在安全地带扩散。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tcBorders>
              <w:tl2br w:val="nil"/>
              <w:tr2bl w:val="nil"/>
            </w:tcBorders>
            <w:vAlign w:val="center"/>
          </w:tcPr>
          <w:p>
            <w:pPr>
              <w:pStyle w:val="103"/>
              <w:spacing w:line="240" w:lineRule="auto"/>
              <w:ind w:right="149" w:firstLine="0" w:firstLineChars="0"/>
              <w:rPr>
                <w:rFonts w:ascii="Times New Roman" w:hAnsi="Times New Roman" w:cs="Times New Roman"/>
                <w:sz w:val="18"/>
                <w:szCs w:val="18"/>
              </w:rPr>
            </w:pPr>
            <w:r>
              <w:rPr>
                <w:rFonts w:ascii="Times New Roman" w:hAnsi="Times New Roman" w:cs="Times New Roman"/>
                <w:sz w:val="18"/>
                <w:szCs w:val="18"/>
              </w:rPr>
              <w:t>次生污染消除措施</w:t>
            </w:r>
          </w:p>
        </w:tc>
        <w:tc>
          <w:tcPr>
            <w:tcW w:w="4940" w:type="dxa"/>
            <w:tcBorders>
              <w:tl2br w:val="nil"/>
              <w:tr2bl w:val="nil"/>
            </w:tcBorders>
            <w:vAlign w:val="center"/>
          </w:tcPr>
          <w:p>
            <w:pPr>
              <w:pStyle w:val="103"/>
              <w:spacing w:before="2" w:line="240" w:lineRule="auto"/>
              <w:ind w:firstLine="0" w:firstLineChars="0"/>
              <w:jc w:val="left"/>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、待事故现场污染物得到控制并消除已产生的污染物后方可启动正常排污口。</w:t>
            </w:r>
          </w:p>
          <w:p>
            <w:pPr>
              <w:pStyle w:val="103"/>
              <w:spacing w:before="2" w:line="240" w:lineRule="auto"/>
              <w:ind w:firstLine="0" w:firstLineChars="0"/>
              <w:jc w:val="left"/>
              <w:rPr>
                <w:rFonts w:ascii="Times New Roman" w:hAnsi="Times New Roman" w:cs="Times New Roman"/>
                <w:sz w:val="18"/>
                <w:szCs w:val="18"/>
              </w:rPr>
            </w:pPr>
            <w:r>
              <w:rPr>
                <w:rFonts w:ascii="Times New Roman" w:hAnsi="Times New Roman" w:cs="Times New Roman"/>
                <w:sz w:val="18"/>
                <w:szCs w:val="18"/>
                <w:lang w:val="en-US"/>
              </w:rPr>
              <w:t>2</w:t>
            </w:r>
            <w:r>
              <w:rPr>
                <w:rFonts w:ascii="Times New Roman" w:hAnsi="Times New Roman" w:cs="Times New Roman"/>
                <w:sz w:val="18"/>
                <w:szCs w:val="18"/>
              </w:rPr>
              <w:t>、事件处理过程中产生的固态液态废物（包括危险废物）回收处置。</w:t>
            </w:r>
          </w:p>
        </w:tc>
        <w:tc>
          <w:tcPr>
            <w:tcW w:w="3752" w:type="dxa"/>
            <w:tcBorders>
              <w:tl2br w:val="nil"/>
              <w:tr2bl w:val="nil"/>
            </w:tcBorders>
            <w:vAlign w:val="center"/>
          </w:tcPr>
          <w:p>
            <w:pPr>
              <w:pStyle w:val="103"/>
              <w:spacing w:line="240" w:lineRule="auto"/>
              <w:ind w:right="149" w:firstLine="0" w:firstLineChars="0"/>
              <w:jc w:val="left"/>
              <w:rPr>
                <w:rFonts w:ascii="Times New Roman" w:hAnsi="Times New Roman" w:cs="Times New Roman"/>
                <w:sz w:val="18"/>
                <w:szCs w:val="18"/>
              </w:rPr>
            </w:pPr>
            <w:r>
              <w:rPr>
                <w:rFonts w:ascii="Times New Roman" w:hAnsi="Times New Roman" w:cs="Times New Roman"/>
                <w:sz w:val="18"/>
                <w:szCs w:val="18"/>
              </w:rPr>
              <w:t>次生污染消除措施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tcBorders>
              <w:tl2br w:val="nil"/>
              <w:tr2bl w:val="nil"/>
            </w:tcBorders>
            <w:vAlign w:val="center"/>
          </w:tcPr>
          <w:p>
            <w:pPr>
              <w:pStyle w:val="103"/>
              <w:spacing w:line="240" w:lineRule="auto"/>
              <w:ind w:right="149" w:firstLine="0" w:firstLineChars="0"/>
              <w:rPr>
                <w:rFonts w:ascii="Times New Roman" w:hAnsi="Times New Roman" w:cs="Times New Roman"/>
                <w:sz w:val="18"/>
                <w:szCs w:val="18"/>
              </w:rPr>
            </w:pPr>
            <w:r>
              <w:rPr>
                <w:rFonts w:ascii="Times New Roman" w:hAnsi="Times New Roman" w:cs="Times New Roman"/>
                <w:sz w:val="18"/>
                <w:szCs w:val="18"/>
              </w:rPr>
              <w:t>应急使用药剂及工具</w:t>
            </w:r>
          </w:p>
        </w:tc>
        <w:tc>
          <w:tcPr>
            <w:tcW w:w="4940" w:type="dxa"/>
            <w:tcBorders>
              <w:tl2br w:val="nil"/>
              <w:tr2bl w:val="nil"/>
            </w:tcBorders>
            <w:vAlign w:val="center"/>
          </w:tcPr>
          <w:p>
            <w:pPr>
              <w:pStyle w:val="103"/>
              <w:spacing w:before="2" w:line="240" w:lineRule="auto"/>
              <w:ind w:firstLine="0" w:firstLineChars="0"/>
              <w:jc w:val="left"/>
              <w:rPr>
                <w:rFonts w:ascii="Times New Roman" w:hAnsi="Times New Roman" w:cs="Times New Roman"/>
                <w:sz w:val="18"/>
                <w:szCs w:val="18"/>
              </w:rPr>
            </w:pPr>
            <w:r>
              <w:rPr>
                <w:rFonts w:ascii="Times New Roman" w:hAnsi="Times New Roman" w:cs="Times New Roman"/>
                <w:sz w:val="18"/>
                <w:szCs w:val="18"/>
              </w:rPr>
              <w:t>黄沙、消防水枪、消防给水泵、事故应急水泵。</w:t>
            </w:r>
          </w:p>
        </w:tc>
        <w:tc>
          <w:tcPr>
            <w:tcW w:w="3752" w:type="dxa"/>
            <w:tcBorders>
              <w:tl2br w:val="nil"/>
              <w:tr2bl w:val="nil"/>
            </w:tcBorders>
            <w:vAlign w:val="center"/>
          </w:tcPr>
          <w:p>
            <w:pPr>
              <w:pStyle w:val="103"/>
              <w:spacing w:line="240" w:lineRule="auto"/>
              <w:ind w:right="149" w:firstLine="0" w:firstLineChars="0"/>
              <w:jc w:val="left"/>
              <w:rPr>
                <w:rFonts w:ascii="Times New Roman" w:hAnsi="Times New Roman" w:cs="Times New Roman"/>
                <w:sz w:val="18"/>
                <w:szCs w:val="18"/>
              </w:rPr>
            </w:pPr>
            <w:r>
              <w:rPr>
                <w:rFonts w:ascii="Times New Roman" w:hAnsi="Times New Roman" w:cs="Times New Roman"/>
                <w:sz w:val="18"/>
                <w:szCs w:val="18"/>
              </w:rPr>
              <w:t>应急使用药剂及工具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tcBorders>
              <w:tl2br w:val="nil"/>
              <w:tr2bl w:val="nil"/>
            </w:tcBorders>
            <w:vAlign w:val="center"/>
          </w:tcPr>
          <w:p>
            <w:pPr>
              <w:pStyle w:val="103"/>
              <w:spacing w:before="1" w:line="240" w:lineRule="auto"/>
              <w:ind w:right="132" w:firstLine="0" w:firstLineChars="0"/>
              <w:rPr>
                <w:rFonts w:ascii="Times New Roman" w:hAnsi="Times New Roman" w:cs="Times New Roman"/>
                <w:sz w:val="18"/>
                <w:szCs w:val="18"/>
              </w:rPr>
            </w:pPr>
            <w:r>
              <w:rPr>
                <w:rFonts w:ascii="Times New Roman" w:hAnsi="Times New Roman" w:cs="Times New Roman"/>
                <w:sz w:val="18"/>
                <w:szCs w:val="18"/>
              </w:rPr>
              <w:t>应急处置废物处理措施</w:t>
            </w:r>
          </w:p>
        </w:tc>
        <w:tc>
          <w:tcPr>
            <w:tcW w:w="4940" w:type="dxa"/>
            <w:tcBorders>
              <w:tl2br w:val="nil"/>
              <w:tr2bl w:val="nil"/>
            </w:tcBorders>
            <w:vAlign w:val="center"/>
          </w:tcPr>
          <w:p>
            <w:pPr>
              <w:pStyle w:val="103"/>
              <w:spacing w:before="1" w:line="240" w:lineRule="auto"/>
              <w:ind w:firstLine="0" w:firstLineChars="0"/>
              <w:jc w:val="left"/>
              <w:rPr>
                <w:rFonts w:ascii="Times New Roman" w:hAnsi="Times New Roman" w:cs="Times New Roman"/>
                <w:sz w:val="18"/>
                <w:szCs w:val="18"/>
              </w:rPr>
            </w:pPr>
            <w:r>
              <w:rPr>
                <w:rFonts w:ascii="Times New Roman" w:hAnsi="Times New Roman" w:cs="Times New Roman"/>
                <w:sz w:val="18"/>
                <w:szCs w:val="18"/>
              </w:rPr>
              <w:t>事件处理过程中产生的固态液态废物（包括危险废物）经统一回收后，委托有资质单位统一运输处置。</w:t>
            </w:r>
          </w:p>
        </w:tc>
        <w:tc>
          <w:tcPr>
            <w:tcW w:w="3752" w:type="dxa"/>
            <w:tcBorders>
              <w:tl2br w:val="nil"/>
              <w:tr2bl w:val="nil"/>
            </w:tcBorders>
            <w:vAlign w:val="center"/>
          </w:tcPr>
          <w:p>
            <w:pPr>
              <w:pStyle w:val="103"/>
              <w:spacing w:before="1" w:line="240" w:lineRule="auto"/>
              <w:ind w:right="132" w:firstLine="0" w:firstLineChars="0"/>
              <w:jc w:val="left"/>
              <w:rPr>
                <w:rFonts w:ascii="Times New Roman" w:hAnsi="Times New Roman" w:cs="Times New Roman"/>
                <w:sz w:val="18"/>
                <w:szCs w:val="18"/>
              </w:rPr>
            </w:pPr>
            <w:r>
              <w:rPr>
                <w:rFonts w:ascii="Times New Roman" w:hAnsi="Times New Roman" w:cs="Times New Roman"/>
                <w:sz w:val="18"/>
                <w:szCs w:val="18"/>
              </w:rPr>
              <w:t>应急处置废物处理措施</w:t>
            </w:r>
          </w:p>
        </w:tc>
      </w:tr>
    </w:tbl>
    <w:p>
      <w:pPr>
        <w:pStyle w:val="8"/>
        <w:spacing w:before="180" w:after="180"/>
        <w:rPr>
          <w:rFonts w:eastAsia="宋体" w:cs="Times New Roman"/>
          <w:sz w:val="28"/>
          <w:szCs w:val="28"/>
          <w:lang w:val="zh-CN"/>
        </w:rPr>
      </w:pPr>
      <w:bookmarkStart w:id="746" w:name="_Toc529542622"/>
      <w:bookmarkStart w:id="747" w:name="_Toc9867"/>
      <w:bookmarkStart w:id="748" w:name="_Toc512693887"/>
      <w:bookmarkStart w:id="749" w:name="_Toc132468835"/>
      <w:bookmarkStart w:id="750" w:name="_Toc3933"/>
      <w:bookmarkStart w:id="751" w:name="_Toc523160372"/>
      <w:bookmarkStart w:id="752" w:name="_Toc515435534"/>
      <w:r>
        <w:rPr>
          <w:rFonts w:eastAsia="宋体" w:cs="Times New Roman"/>
          <w:sz w:val="28"/>
          <w:szCs w:val="28"/>
          <w:lang w:val="zh-CN"/>
        </w:rPr>
        <w:t>7.3.7 火灾事故应急措施</w:t>
      </w:r>
      <w:bookmarkEnd w:id="746"/>
      <w:bookmarkEnd w:id="747"/>
      <w:bookmarkEnd w:id="748"/>
      <w:bookmarkEnd w:id="749"/>
      <w:bookmarkEnd w:id="750"/>
      <w:bookmarkEnd w:id="751"/>
      <w:bookmarkEnd w:id="752"/>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 xml:space="preserve">发生火灾事故后，最早发现者应立即向班组负责人报告，班组负责人立即向计划生产部报告，由计划生产部调度室报告应急指挥中心办公室领导，由其启动Ⅲ级响应和Ⅲ级应急预案。同时，及时上报应急指挥长，根据现场事态发展的情况，由应急指挥长决定是否启动Ⅱ级响应和Ⅱ级应急预案。具体过程为： </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1）班组负责人向单位领导报告后，应立即组织自救，主要自救方式为使用消防器材，如使用灭火器、灭火栓取水等方法进行灭火，在可能的情况下，采取有效措施切断易燃或可燃物的泄漏源，并转移有可能引燃物料。</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（2）单位领导接到报警后，应迅速通知有关部门和人员，下达按应急救援预案处置的指令，同时发出警报，召集环境应急领导小组展开应急救援工作，并通知厂内消防队进入现场进行事故应急救援工作。</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（3）由环境应急领导小组副组长迅速将事故的简要情况向消防、应急管理局、公安、环保、卫生等部门报告。</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（4）疏散隔离和安全保卫队接到报警后应立即封锁周围的可能进入危险区的通道，阻止周围不相关人员或车辆进入危险区。</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（5）凡能经切断物料或用自有灭火器材扑灭火灾而消除事故的，则以自救为主。如泄漏部位自身不能控制的，应向环境应急领导小组报告事故的具体情况及严重性。</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（6）安全部门接到报警后立即赶往事故现场查明有无受伤人员，以最快速度将受伤或中毒者脱离现场，轻者可自行在安全区内抢救，严重者尽快送医院抢救。</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7）若自身无法控制事故的发展，特别是发生爆炸性事故时，环境应急领导小组应当立即向各部门发布紧急疏散的指令，疏散隔离和安全保卫队接到指令后应当立即组织本单位人员按照本预案提供的安全疏散通道进行疏散撤离，在事故影响有可能波及邻近单位或居民时，应向周围企事业单位和居委会发出警报，报告事故发生情况，并派人协助对方进行应急处理或疏散撤离。</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（8）消防队到达事故现场后，现场应急救援指挥交由消防部门统一指挥。</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（9）医疗救护部门到达现场后，医疗救护队应与之配合，立即救护伤员和中毒人员，对中毒人员应根据中毒症状及时采取相应的急救措施，对伤员进行清洗包扎或输氧急救，重伤员及时送往医院抢救。</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 xml:space="preserve">（10）抢险救援队到达后，应戴自给正压式呼吸器，化学防护服(完全隔离)，对中毒人员展开搜救，并使用消防砂灭火、清除渗漏液、进行局部空间清洗等。 </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11）应急监测队到达现场后，应会同厂方相关工程技术人员，了解事故发生原因、事故情况，并根据风向，查明污染物排放浓度和扩散情况，对事故影响的范围及程度进行分析预测，并向事故现场指挥部报告监测情况。</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12）当事故得到控制，立即成立二个专门工作小组：在环境应急领导小组组长的指挥下组成事故调查小组，调查事故发生原因和研究制定防范措施。在环境应急领导小组指挥下，由生产部人员、仓库管理人员、维修人员组成抢修小组，研究制定抢修方案并立即组织抢修，尽早恢复生产。</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（13）在灭火时应注意不同物料引起的火灾，选取不同的灭火器材。</w:t>
      </w:r>
    </w:p>
    <w:p>
      <w:pPr>
        <w:pStyle w:val="8"/>
        <w:spacing w:before="180" w:after="180"/>
        <w:rPr>
          <w:rFonts w:eastAsia="宋体" w:cs="Times New Roman"/>
          <w:sz w:val="28"/>
          <w:szCs w:val="28"/>
          <w:lang w:val="zh-CN"/>
        </w:rPr>
      </w:pPr>
      <w:bookmarkStart w:id="753" w:name="_Toc23256"/>
      <w:bookmarkStart w:id="754" w:name="_Toc529542623"/>
      <w:bookmarkStart w:id="755" w:name="_Toc132468836"/>
      <w:bookmarkStart w:id="756" w:name="_Toc89"/>
      <w:bookmarkStart w:id="757" w:name="_Toc515435535"/>
      <w:bookmarkStart w:id="758" w:name="_Toc512693888"/>
      <w:bookmarkStart w:id="759" w:name="_Toc523160373"/>
      <w:r>
        <w:rPr>
          <w:rFonts w:eastAsia="宋体" w:cs="Times New Roman"/>
          <w:sz w:val="28"/>
          <w:szCs w:val="28"/>
          <w:lang w:val="zh-CN"/>
        </w:rPr>
        <w:t>7.3.8 防汛应急处理措施</w:t>
      </w:r>
      <w:bookmarkEnd w:id="753"/>
      <w:bookmarkEnd w:id="754"/>
      <w:bookmarkEnd w:id="755"/>
      <w:bookmarkEnd w:id="756"/>
    </w:p>
    <w:p>
      <w:pPr>
        <w:adjustRightInd w:val="0"/>
        <w:snapToGrid w:val="0"/>
        <w:ind w:firstLine="482"/>
        <w:rPr>
          <w:rFonts w:ascii="Times New Roman" w:hAnsi="Times New Roman" w:eastAsia="宋体" w:cs="Times New Roman"/>
          <w:szCs w:val="24"/>
        </w:rPr>
      </w:pPr>
      <w:r>
        <w:rPr>
          <w:rFonts w:ascii="Times New Roman" w:hAnsi="Times New Roman" w:eastAsia="宋体" w:cs="Times New Roman"/>
          <w:b/>
          <w:szCs w:val="24"/>
        </w:rPr>
        <w:t>信息监测、预测与报告：</w:t>
      </w:r>
      <w:r>
        <w:rPr>
          <w:rFonts w:ascii="Times New Roman" w:hAnsi="Times New Roman" w:eastAsia="宋体" w:cs="Times New Roman"/>
          <w:szCs w:val="24"/>
        </w:rPr>
        <w:t>天气气候预测机构预测12、24、48小时内有暴雨、大雨等灾害性天气时，生产调度中心安全员应在30分钟内通过电话、邮件等形式将预报信息汇报给公司总经理或副总经理。总经理或安环经理在收到信息后应立即通知各部门做好防范措施。</w:t>
      </w:r>
    </w:p>
    <w:p>
      <w:pPr>
        <w:adjustRightInd w:val="0"/>
        <w:snapToGrid w:val="0"/>
        <w:ind w:firstLine="482"/>
        <w:rPr>
          <w:rFonts w:ascii="Times New Roman" w:hAnsi="Times New Roman" w:eastAsia="宋体" w:cs="Times New Roman"/>
          <w:szCs w:val="24"/>
        </w:rPr>
      </w:pPr>
      <w:r>
        <w:rPr>
          <w:rFonts w:ascii="Times New Roman" w:hAnsi="Times New Roman" w:eastAsia="宋体" w:cs="Times New Roman"/>
          <w:b/>
          <w:szCs w:val="24"/>
        </w:rPr>
        <w:t>预警预防行动：</w:t>
      </w:r>
      <w:r>
        <w:rPr>
          <w:rFonts w:ascii="Times New Roman" w:hAnsi="Times New Roman" w:eastAsia="宋体" w:cs="Times New Roman"/>
          <w:szCs w:val="24"/>
        </w:rPr>
        <w:t>总经理收到气象灾害预测预报、警报信息后，属于可能发生气象灾害的情况，立即进行相关工作部署，分别从思想、组织、人员、技术、物资、资金等方面做好启动本预案的准备，确保预案的顺利实施。</w:t>
      </w:r>
    </w:p>
    <w:p>
      <w:pPr>
        <w:adjustRightInd w:val="0"/>
        <w:snapToGrid w:val="0"/>
        <w:ind w:firstLine="482"/>
        <w:rPr>
          <w:rFonts w:ascii="Times New Roman" w:hAnsi="Times New Roman" w:eastAsia="宋体" w:cs="Times New Roman"/>
          <w:szCs w:val="24"/>
        </w:rPr>
      </w:pPr>
      <w:r>
        <w:rPr>
          <w:rFonts w:ascii="Times New Roman" w:hAnsi="Times New Roman" w:eastAsia="宋体" w:cs="Times New Roman"/>
          <w:b/>
          <w:szCs w:val="24"/>
        </w:rPr>
        <w:t>应急准备：</w:t>
      </w:r>
      <w:r>
        <w:rPr>
          <w:rFonts w:ascii="Times New Roman" w:hAnsi="Times New Roman" w:eastAsia="宋体" w:cs="Times New Roman"/>
          <w:szCs w:val="24"/>
        </w:rPr>
        <w:t>汛期前对厂区所有建筑设施及电气设备、机械设备进行检查，发现有破损设施及故障设备进行及时修复（重点设施为总配电间；设备为所有防汛泵以及所有工艺管道闸门），确保设备完好，备用配件充足。做好车辆检查，做好防汛用车及各项后勤工作。</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应急预案启动后，公司有关部门应当根据指挥机构的部署，迅速采取以下措施：</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（1）立即发布启动内部相关的应急程序的命令，各岗位应急人员全部到位，实行24小时值班制度，全程跟踪灾害性天气的发展、变化情况；</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（2）根据应急工作需要，各岗位做好实时监测、加密观测、滚动预报、跟踪服务；</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（3）迅速调派应急队伍，进入救灾现场，做好相关的灾害监测、现场服务等工作，并参与现场抢险救灾；</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（4）根据灾情不同，设定不同应急响应级别。</w:t>
      </w:r>
    </w:p>
    <w:p>
      <w:pPr>
        <w:adjustRightInd w:val="0"/>
        <w:snapToGrid w:val="0"/>
        <w:ind w:firstLine="482"/>
        <w:rPr>
          <w:rFonts w:ascii="Times New Roman" w:hAnsi="Times New Roman" w:eastAsia="宋体" w:cs="Times New Roman"/>
          <w:szCs w:val="24"/>
        </w:rPr>
      </w:pPr>
      <w:r>
        <w:rPr>
          <w:rFonts w:ascii="Times New Roman" w:hAnsi="Times New Roman" w:eastAsia="宋体" w:cs="Times New Roman"/>
          <w:b/>
          <w:szCs w:val="24"/>
        </w:rPr>
        <w:t>一般情况</w:t>
      </w:r>
      <w:r>
        <w:rPr>
          <w:rFonts w:ascii="Times New Roman" w:hAnsi="Times New Roman" w:eastAsia="宋体" w:cs="Times New Roman"/>
          <w:szCs w:val="24"/>
        </w:rPr>
        <w:t>：出现较大降雨量，河水上涨达到我厂警戒水位；应启动</w:t>
      </w: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3 \* ROMAN \* MERGEFORMAT </w:instrText>
      </w:r>
      <w:r>
        <w:rPr>
          <w:rFonts w:ascii="Times New Roman" w:hAnsi="Times New Roman" w:eastAsia="宋体" w:cs="Times New Roman"/>
          <w:szCs w:val="24"/>
        </w:rPr>
        <w:fldChar w:fldCharType="separate"/>
      </w:r>
      <w:r>
        <w:rPr>
          <w:rFonts w:ascii="Times New Roman" w:hAnsi="Times New Roman" w:eastAsia="宋体" w:cs="Times New Roman"/>
        </w:rPr>
        <w:t>III</w:t>
      </w:r>
      <w:r>
        <w:rPr>
          <w:rFonts w:ascii="Times New Roman" w:hAnsi="Times New Roman" w:eastAsia="宋体" w:cs="Times New Roman"/>
          <w:szCs w:val="24"/>
        </w:rPr>
        <w:fldChar w:fldCharType="end"/>
      </w:r>
      <w:r>
        <w:rPr>
          <w:rFonts w:ascii="Times New Roman" w:hAnsi="Times New Roman" w:eastAsia="宋体" w:cs="Times New Roman"/>
          <w:szCs w:val="24"/>
        </w:rPr>
        <w:t>级响应。由总指挥或副总指挥启动防汛应急预案并向各部门发布戒备命令，在保证厂内正常生产同时加强监控，戒备重点为出水排放口，防止河水倒灌；检查电缆沟，发现电缆沟有积水时，及时抽掉，保持电缆沟无积水。同时由总指挥或副总指挥向园区管委会等相关部门沟通，汇报公司当前情况及会出现的紧急情况及防范措施。</w:t>
      </w:r>
    </w:p>
    <w:p>
      <w:pPr>
        <w:adjustRightInd w:val="0"/>
        <w:snapToGrid w:val="0"/>
        <w:ind w:firstLine="482"/>
        <w:rPr>
          <w:rFonts w:ascii="Times New Roman" w:hAnsi="Times New Roman" w:eastAsia="宋体" w:cs="Times New Roman"/>
          <w:szCs w:val="24"/>
        </w:rPr>
      </w:pPr>
      <w:r>
        <w:rPr>
          <w:rFonts w:ascii="Times New Roman" w:hAnsi="Times New Roman" w:eastAsia="宋体" w:cs="Times New Roman"/>
          <w:b/>
          <w:szCs w:val="24"/>
        </w:rPr>
        <w:t>局部停产</w:t>
      </w:r>
      <w:r>
        <w:rPr>
          <w:rFonts w:ascii="Times New Roman" w:hAnsi="Times New Roman" w:eastAsia="宋体" w:cs="Times New Roman"/>
          <w:szCs w:val="24"/>
        </w:rPr>
        <w:t>：河水上涨并漫过出水口，厂区内污水及雨水不能及时排除。部分地段有积水，雨水管道出现雨水外涌情况，应启动</w:t>
      </w: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2 \* ROMAN \* MERGEFORMAT </w:instrText>
      </w:r>
      <w:r>
        <w:rPr>
          <w:rFonts w:ascii="Times New Roman" w:hAnsi="Times New Roman" w:eastAsia="宋体" w:cs="Times New Roman"/>
          <w:szCs w:val="24"/>
        </w:rPr>
        <w:fldChar w:fldCharType="separate"/>
      </w:r>
      <w:r>
        <w:rPr>
          <w:rFonts w:ascii="Times New Roman" w:hAnsi="Times New Roman" w:eastAsia="宋体" w:cs="Times New Roman"/>
        </w:rPr>
        <w:t>II</w:t>
      </w:r>
      <w:r>
        <w:rPr>
          <w:rFonts w:ascii="Times New Roman" w:hAnsi="Times New Roman" w:eastAsia="宋体" w:cs="Times New Roman"/>
          <w:szCs w:val="24"/>
        </w:rPr>
        <w:fldChar w:fldCharType="end"/>
      </w:r>
      <w:r>
        <w:rPr>
          <w:rFonts w:ascii="Times New Roman" w:hAnsi="Times New Roman" w:eastAsia="宋体" w:cs="Times New Roman"/>
          <w:szCs w:val="24"/>
        </w:rPr>
        <w:t>级响应。由总指挥或副总指挥向各部门发布防御命令。对于已出现险情及易发生险情地段部位进行局部停产，对重点危险投放砂包围堵；同时向园区管委会等相相关部门汇报厂区当前出现的险情情况。</w:t>
      </w:r>
    </w:p>
    <w:p>
      <w:pPr>
        <w:adjustRightInd w:val="0"/>
        <w:snapToGrid w:val="0"/>
        <w:ind w:firstLine="482"/>
        <w:rPr>
          <w:rFonts w:ascii="Times New Roman" w:hAnsi="Times New Roman" w:eastAsia="宋体" w:cs="Times New Roman"/>
          <w:szCs w:val="24"/>
        </w:rPr>
      </w:pPr>
      <w:r>
        <w:rPr>
          <w:rFonts w:ascii="Times New Roman" w:hAnsi="Times New Roman" w:eastAsia="宋体" w:cs="Times New Roman"/>
          <w:b/>
          <w:szCs w:val="24"/>
        </w:rPr>
        <w:t>完全停产：</w:t>
      </w:r>
      <w:r>
        <w:rPr>
          <w:rFonts w:ascii="Times New Roman" w:hAnsi="Times New Roman" w:eastAsia="宋体" w:cs="Times New Roman"/>
          <w:szCs w:val="24"/>
        </w:rPr>
        <w:t>厂区大面积出现内涝，内涝面积还在增大；雨水管道雨水外涌情况加重加大，积水深度达到20-30cm；并且一些电缆沟槽积水严重，出现沟槽积水外涌情况；已经影响厂区正常运转（人员出行安全）；应启动</w:t>
      </w: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1 \* ROMAN \* MERGEFORMAT </w:instrText>
      </w:r>
      <w:r>
        <w:rPr>
          <w:rFonts w:ascii="Times New Roman" w:hAnsi="Times New Roman" w:eastAsia="宋体" w:cs="Times New Roman"/>
          <w:szCs w:val="24"/>
        </w:rPr>
        <w:fldChar w:fldCharType="separate"/>
      </w:r>
      <w:r>
        <w:rPr>
          <w:rFonts w:ascii="Times New Roman" w:hAnsi="Times New Roman" w:eastAsia="宋体" w:cs="Times New Roman"/>
        </w:rPr>
        <w:t>I</w:t>
      </w:r>
      <w:r>
        <w:rPr>
          <w:rFonts w:ascii="Times New Roman" w:hAnsi="Times New Roman" w:eastAsia="宋体" w:cs="Times New Roman"/>
          <w:szCs w:val="24"/>
        </w:rPr>
        <w:fldChar w:fldCharType="end"/>
      </w:r>
      <w:r>
        <w:rPr>
          <w:rFonts w:ascii="Times New Roman" w:hAnsi="Times New Roman" w:eastAsia="宋体" w:cs="Times New Roman"/>
          <w:szCs w:val="24"/>
        </w:rPr>
        <w:t>级响应。由总指挥或副总指挥向各部门发布抢险命令，防御重点为车间、仓库、总配电间并切断电源。加强巡查与抢险；危险区域、地段人员避险转移；做好洪水灾害防范。同时向园区管委会、环保局、政府等相关部门汇报厂区当前出现的险情情况及应急措施。</w:t>
      </w:r>
    </w:p>
    <w:p>
      <w:pPr>
        <w:adjustRightInd w:val="0"/>
        <w:snapToGrid w:val="0"/>
        <w:ind w:firstLine="482"/>
        <w:rPr>
          <w:rFonts w:ascii="Times New Roman" w:hAnsi="Times New Roman" w:eastAsia="宋体" w:cs="Times New Roman"/>
          <w:szCs w:val="24"/>
        </w:rPr>
      </w:pPr>
      <w:r>
        <w:rPr>
          <w:rFonts w:ascii="Times New Roman" w:hAnsi="Times New Roman" w:eastAsia="宋体" w:cs="Times New Roman"/>
          <w:b/>
          <w:szCs w:val="24"/>
        </w:rPr>
        <w:t>撤离：</w:t>
      </w:r>
      <w:r>
        <w:rPr>
          <w:rFonts w:ascii="Times New Roman" w:hAnsi="Times New Roman" w:eastAsia="宋体" w:cs="Times New Roman"/>
          <w:szCs w:val="24"/>
        </w:rPr>
        <w:t>厂区路面全部被水淹没且积水深度已超过30cm并且还在持续上涨，并且市气象部门预报未来24小时仍有暴雨或特大暴雨；应启动</w:t>
      </w: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1 \* ROMAN \* MERGEFORMAT </w:instrText>
      </w:r>
      <w:r>
        <w:rPr>
          <w:rFonts w:ascii="Times New Roman" w:hAnsi="Times New Roman" w:eastAsia="宋体" w:cs="Times New Roman"/>
          <w:szCs w:val="24"/>
        </w:rPr>
        <w:fldChar w:fldCharType="separate"/>
      </w:r>
      <w:r>
        <w:rPr>
          <w:rFonts w:ascii="Times New Roman" w:hAnsi="Times New Roman" w:eastAsia="宋体" w:cs="Times New Roman"/>
        </w:rPr>
        <w:t>I</w:t>
      </w:r>
      <w:r>
        <w:rPr>
          <w:rFonts w:ascii="Times New Roman" w:hAnsi="Times New Roman" w:eastAsia="宋体" w:cs="Times New Roman"/>
          <w:szCs w:val="24"/>
        </w:rPr>
        <w:fldChar w:fldCharType="end"/>
      </w:r>
      <w:r>
        <w:rPr>
          <w:rFonts w:ascii="Times New Roman" w:hAnsi="Times New Roman" w:eastAsia="宋体" w:cs="Times New Roman"/>
          <w:szCs w:val="24"/>
        </w:rPr>
        <w:t>级响应，由总指挥或副总指挥向各部门发布特别紧急抢险命令，重点是组织应急抢险，扩大人员转移范围及对象，视险情灾情实施紧急转移；人员撤出前做好防护措施，在危险设备、设施处悬挂警示牌，危险区域拉起警示链；关闭并锁好各个部门门窗及文件柜；同时向环保局、政府相关部门汇报受灾情况及人员撤离情况。</w:t>
      </w:r>
    </w:p>
    <w:p>
      <w:pPr>
        <w:pStyle w:val="8"/>
        <w:spacing w:before="180" w:after="180"/>
        <w:rPr>
          <w:rFonts w:eastAsia="宋体" w:cs="Times New Roman"/>
          <w:sz w:val="28"/>
          <w:szCs w:val="28"/>
          <w:lang w:val="zh-CN"/>
        </w:rPr>
      </w:pPr>
      <w:bookmarkStart w:id="760" w:name="_Toc529542625"/>
      <w:bookmarkStart w:id="761" w:name="_Toc132468837"/>
      <w:bookmarkStart w:id="762" w:name="_Toc9263"/>
      <w:bookmarkStart w:id="763" w:name="_Toc16451"/>
      <w:r>
        <w:rPr>
          <w:rFonts w:eastAsia="宋体" w:cs="Times New Roman"/>
          <w:sz w:val="28"/>
          <w:szCs w:val="28"/>
          <w:lang w:val="zh-CN"/>
        </w:rPr>
        <w:t>7.3.9 暴雨引发环境事件应急处理措施</w:t>
      </w:r>
      <w:bookmarkEnd w:id="760"/>
      <w:bookmarkEnd w:id="761"/>
      <w:bookmarkEnd w:id="762"/>
      <w:bookmarkEnd w:id="763"/>
    </w:p>
    <w:p>
      <w:pPr>
        <w:adjustRightInd w:val="0"/>
        <w:snapToGrid w:val="0"/>
        <w:ind w:firstLine="482" w:firstLineChars="0"/>
        <w:rPr>
          <w:rFonts w:ascii="Times New Roman" w:hAnsi="Times New Roman" w:eastAsia="宋体" w:cs="Times New Roman"/>
          <w:szCs w:val="24"/>
          <w:lang w:val="zh-CN"/>
        </w:rPr>
      </w:pPr>
      <w:r>
        <w:rPr>
          <w:rFonts w:ascii="Times New Roman" w:hAnsi="Times New Roman" w:eastAsia="宋体" w:cs="Times New Roman"/>
          <w:szCs w:val="24"/>
          <w:lang w:val="zh-CN"/>
        </w:rPr>
        <w:t>（</w:t>
      </w:r>
      <w:r>
        <w:rPr>
          <w:rFonts w:ascii="Times New Roman" w:hAnsi="Times New Roman" w:eastAsia="宋体" w:cs="Times New Roman"/>
          <w:szCs w:val="24"/>
        </w:rPr>
        <w:t>1</w:t>
      </w:r>
      <w:r>
        <w:rPr>
          <w:rFonts w:ascii="Times New Roman" w:hAnsi="Times New Roman" w:eastAsia="宋体" w:cs="Times New Roman"/>
          <w:szCs w:val="24"/>
          <w:lang w:val="zh-CN"/>
        </w:rPr>
        <w:t>）暴雨期间应急处理协调组负责安排人员对危废品间、生产车间和危险废物暂存间进行定期巡视，排水设施要完好并做好记录，发现渗、漏水等异常情况，立即向总指挥报告。</w:t>
      </w:r>
    </w:p>
    <w:p>
      <w:pPr>
        <w:adjustRightInd w:val="0"/>
        <w:snapToGrid w:val="0"/>
        <w:ind w:firstLine="482" w:firstLineChars="0"/>
        <w:rPr>
          <w:rFonts w:ascii="Times New Roman" w:hAnsi="Times New Roman" w:eastAsia="宋体" w:cs="Times New Roman"/>
          <w:szCs w:val="24"/>
          <w:lang w:val="zh-CN"/>
        </w:rPr>
      </w:pPr>
      <w:r>
        <w:rPr>
          <w:rFonts w:ascii="Times New Roman" w:hAnsi="Times New Roman" w:eastAsia="宋体" w:cs="Times New Roman"/>
          <w:szCs w:val="24"/>
          <w:lang w:val="zh-CN"/>
        </w:rPr>
        <w:t>（</w:t>
      </w:r>
      <w:r>
        <w:rPr>
          <w:rFonts w:ascii="Times New Roman" w:hAnsi="Times New Roman" w:eastAsia="宋体" w:cs="Times New Roman"/>
          <w:szCs w:val="24"/>
        </w:rPr>
        <w:t>2</w:t>
      </w:r>
      <w:r>
        <w:rPr>
          <w:rFonts w:ascii="Times New Roman" w:hAnsi="Times New Roman" w:eastAsia="宋体" w:cs="Times New Roman"/>
          <w:szCs w:val="24"/>
          <w:lang w:val="zh-CN"/>
        </w:rPr>
        <w:t>）应急协调小组需及时分析和预测局部暴雨可能带来的可能带来的后果，预先采取有针对性的措施进行防范。</w:t>
      </w:r>
    </w:p>
    <w:p>
      <w:pPr>
        <w:adjustRightInd w:val="0"/>
        <w:snapToGrid w:val="0"/>
        <w:ind w:firstLine="482" w:firstLineChars="0"/>
        <w:rPr>
          <w:rFonts w:ascii="Times New Roman" w:hAnsi="Times New Roman" w:eastAsia="宋体" w:cs="Times New Roman"/>
          <w:szCs w:val="24"/>
          <w:lang w:val="zh-CN"/>
        </w:rPr>
      </w:pPr>
      <w:r>
        <w:rPr>
          <w:rFonts w:ascii="Times New Roman" w:hAnsi="Times New Roman" w:eastAsia="宋体" w:cs="Times New Roman"/>
          <w:szCs w:val="24"/>
          <w:lang w:val="zh-CN"/>
        </w:rPr>
        <w:t>（</w:t>
      </w:r>
      <w:r>
        <w:rPr>
          <w:rFonts w:ascii="Times New Roman" w:hAnsi="Times New Roman" w:eastAsia="宋体" w:cs="Times New Roman"/>
          <w:szCs w:val="24"/>
        </w:rPr>
        <w:t>3</w:t>
      </w:r>
      <w:r>
        <w:rPr>
          <w:rFonts w:ascii="Times New Roman" w:hAnsi="Times New Roman" w:eastAsia="宋体" w:cs="Times New Roman"/>
          <w:szCs w:val="24"/>
          <w:lang w:val="zh-CN"/>
        </w:rPr>
        <w:t>）启动应急对策，必要时停止一切生产。</w:t>
      </w:r>
    </w:p>
    <w:p>
      <w:pPr>
        <w:adjustRightInd w:val="0"/>
        <w:snapToGrid w:val="0"/>
        <w:ind w:firstLine="482" w:firstLineChars="0"/>
        <w:rPr>
          <w:rFonts w:ascii="Times New Roman" w:hAnsi="Times New Roman" w:eastAsia="宋体" w:cs="Times New Roman"/>
          <w:szCs w:val="24"/>
          <w:lang w:val="zh-CN"/>
        </w:rPr>
      </w:pPr>
      <w:r>
        <w:rPr>
          <w:rFonts w:ascii="Times New Roman" w:hAnsi="Times New Roman" w:eastAsia="宋体" w:cs="Times New Roman"/>
          <w:szCs w:val="24"/>
          <w:lang w:val="zh-CN"/>
        </w:rPr>
        <w:t>（</w:t>
      </w:r>
      <w:r>
        <w:rPr>
          <w:rFonts w:ascii="Times New Roman" w:hAnsi="Times New Roman" w:eastAsia="宋体" w:cs="Times New Roman"/>
          <w:szCs w:val="24"/>
        </w:rPr>
        <w:t>4</w:t>
      </w:r>
      <w:r>
        <w:rPr>
          <w:rFonts w:ascii="Times New Roman" w:hAnsi="Times New Roman" w:eastAsia="宋体" w:cs="Times New Roman"/>
          <w:szCs w:val="24"/>
          <w:lang w:val="zh-CN"/>
        </w:rPr>
        <w:t>）保障雨水排水设施完好，防止雨水倒灌进入污水处理设施和用水设施，必要时关闭主要设施出水阀门，对低洼地段和积水区域及时安排用潜水泵抽水。</w:t>
      </w:r>
    </w:p>
    <w:p>
      <w:pPr>
        <w:adjustRightInd w:val="0"/>
        <w:snapToGrid w:val="0"/>
        <w:ind w:firstLine="482" w:firstLineChars="0"/>
        <w:rPr>
          <w:rFonts w:ascii="Times New Roman" w:hAnsi="Times New Roman" w:eastAsia="宋体" w:cs="Times New Roman"/>
          <w:szCs w:val="24"/>
          <w:lang w:val="zh-CN"/>
        </w:rPr>
      </w:pPr>
      <w:r>
        <w:rPr>
          <w:rFonts w:ascii="Times New Roman" w:hAnsi="Times New Roman" w:eastAsia="宋体" w:cs="Times New Roman"/>
          <w:szCs w:val="24"/>
          <w:lang w:val="zh-CN"/>
        </w:rPr>
        <w:t>（</w:t>
      </w:r>
      <w:r>
        <w:rPr>
          <w:rFonts w:ascii="Times New Roman" w:hAnsi="Times New Roman" w:eastAsia="宋体" w:cs="Times New Roman"/>
          <w:szCs w:val="24"/>
        </w:rPr>
        <w:t>5</w:t>
      </w:r>
      <w:r>
        <w:rPr>
          <w:rFonts w:ascii="Times New Roman" w:hAnsi="Times New Roman" w:eastAsia="宋体" w:cs="Times New Roman"/>
          <w:szCs w:val="24"/>
          <w:lang w:val="zh-CN"/>
        </w:rPr>
        <w:t>）环境应急监测组负责厂区雨水排放口和可能受影响的水域，进行跟踪、采样、分析、及时掌握水质情况。</w:t>
      </w:r>
    </w:p>
    <w:p>
      <w:pPr>
        <w:pStyle w:val="8"/>
        <w:spacing w:before="180" w:after="180"/>
        <w:rPr>
          <w:rFonts w:eastAsia="宋体" w:cs="Times New Roman"/>
          <w:sz w:val="28"/>
          <w:szCs w:val="28"/>
          <w:lang w:val="zh-CN"/>
        </w:rPr>
      </w:pPr>
      <w:bookmarkStart w:id="764" w:name="_Toc12379"/>
      <w:bookmarkStart w:id="765" w:name="_Toc24308"/>
      <w:bookmarkStart w:id="766" w:name="_Toc529542626"/>
      <w:bookmarkStart w:id="767" w:name="_Toc132468838"/>
      <w:r>
        <w:rPr>
          <w:rFonts w:eastAsia="宋体" w:cs="Times New Roman"/>
          <w:sz w:val="28"/>
          <w:szCs w:val="28"/>
          <w:lang w:val="zh-CN"/>
        </w:rPr>
        <w:t>7.3.10 人员隔离、疏散措施</w:t>
      </w:r>
      <w:bookmarkEnd w:id="757"/>
      <w:bookmarkEnd w:id="758"/>
      <w:bookmarkEnd w:id="759"/>
      <w:bookmarkEnd w:id="764"/>
      <w:bookmarkEnd w:id="765"/>
      <w:bookmarkEnd w:id="766"/>
      <w:bookmarkEnd w:id="767"/>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 xml:space="preserve">疏散隔离和安全保卫队主要负责事故发生时疏散与应急抢险无关的人员并将其统一撤离到安全距离以外，同时设置隔离警戒线。 </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（1）安全疏散及撤离</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如果发生了与危险原辅料、化学品大面积泄漏（挥发性）、燃烧及爆炸有关的环境事件，需要人员及时撤离现场，应急领导小组就要迅速制定撤离路线。设定撤离路线的原则一般是沿着上风向或侧风向撤离到危险涉及范围之外（至少100m）。在安全距离内，疏散隔离和安全保卫队员要尽快设立警戒标志或警戒线，禁止无关人员擅自进入危险区。</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（2）危险区的隔离</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储罐、生产单元火灾事故据公司实际储存量设置隔离距离，危险原辅料及化学品泄漏时的隔离区域分为一、二、三级。</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一级区域：指现场危险源周围100米。在此距离内应设立警戒线。救援人员可根据实际情况进行适当的隔离危险化学品，杜绝扩散并采取稀释、收容等适当措施。在此区域除救援小组成员外，禁止任何其他人进入。</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二级区域：距离危险源上风向150米以外至三级距离之间为二级区域。通常情况下，二级区域与危险源的距离应在200米左右。在二级区域内要设立专人监管。主要负责杜绝无关人员进入并督促区域内遗留人员的继续撤离。</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三级区域：指在安全距离设立警戒点。通常情况下，三级区域与危险源的距离应在300米，距离外为安全距离。该距离至二级区域之间为三级区域。</w:t>
      </w:r>
    </w:p>
    <w:p>
      <w:pPr>
        <w:adjustRightInd w:val="0"/>
        <w:snapToGrid w:val="0"/>
        <w:ind w:firstLine="482" w:firstLineChars="0"/>
        <w:rPr>
          <w:rFonts w:ascii="Times New Roman" w:hAnsi="Times New Roman" w:eastAsia="宋体" w:cs="Times New Roman"/>
          <w:sz w:val="21"/>
          <w:szCs w:val="20"/>
        </w:rPr>
      </w:pPr>
      <w:r>
        <w:rPr>
          <w:rFonts w:ascii="Times New Roman" w:hAnsi="Times New Roman" w:eastAsia="宋体" w:cs="Times New Roman"/>
          <w:szCs w:val="24"/>
        </w:rPr>
        <w:t>事故应急临时救援指挥部宜设在二级区域与三级区域之间有利于兼顾指挥与安全双重需要的地方。一般情况下，公司办公楼可作为应急救援指挥部，也可利用园区管委会作为应急救援指挥部。</w:t>
      </w:r>
    </w:p>
    <w:p>
      <w:pPr>
        <w:pStyle w:val="8"/>
        <w:spacing w:before="180" w:after="180"/>
        <w:rPr>
          <w:rFonts w:eastAsia="宋体" w:cs="Times New Roman"/>
          <w:sz w:val="28"/>
          <w:szCs w:val="28"/>
          <w:lang w:val="zh-CN"/>
        </w:rPr>
      </w:pPr>
      <w:bookmarkStart w:id="768" w:name="_Toc18042"/>
      <w:bookmarkStart w:id="769" w:name="_Toc512693889"/>
      <w:bookmarkStart w:id="770" w:name="_Toc22330"/>
      <w:bookmarkStart w:id="771" w:name="_Toc515435536"/>
      <w:bookmarkStart w:id="772" w:name="_Toc529542627"/>
      <w:bookmarkStart w:id="773" w:name="_Toc132468839"/>
      <w:bookmarkStart w:id="774" w:name="_Toc523160374"/>
      <w:r>
        <w:rPr>
          <w:rFonts w:eastAsia="宋体" w:cs="Times New Roman"/>
          <w:sz w:val="28"/>
          <w:szCs w:val="28"/>
          <w:lang w:val="zh-CN"/>
        </w:rPr>
        <w:t>7.3.11 消防废水的收集、处理及排放控制措施</w:t>
      </w:r>
      <w:bookmarkEnd w:id="768"/>
      <w:bookmarkEnd w:id="769"/>
      <w:bookmarkEnd w:id="770"/>
      <w:bookmarkEnd w:id="771"/>
      <w:bookmarkEnd w:id="772"/>
      <w:bookmarkEnd w:id="773"/>
      <w:bookmarkEnd w:id="774"/>
    </w:p>
    <w:p>
      <w:pPr>
        <w:ind w:firstLine="480"/>
        <w:rPr>
          <w:rFonts w:ascii="Times New Roman" w:hAnsi="Times New Roman" w:eastAsia="宋体" w:cs="Times New Roman"/>
          <w:szCs w:val="24"/>
        </w:rPr>
      </w:pPr>
      <w:bookmarkStart w:id="775" w:name="_Toc529542628"/>
      <w:bookmarkStart w:id="776" w:name="_Toc523160375"/>
      <w:bookmarkStart w:id="777" w:name="_Toc515435537"/>
      <w:bookmarkStart w:id="778" w:name="_Toc512693890"/>
      <w:r>
        <w:rPr>
          <w:rFonts w:ascii="Times New Roman" w:hAnsi="Times New Roman" w:eastAsia="宋体" w:cs="Times New Roman"/>
          <w:szCs w:val="24"/>
        </w:rPr>
        <w:t>消防过程中产生的消防废水，通过构建围堰、围坎、截留沟等方式收集至事故应急池中，事故应急池废水定期运至赤壁市城东污水处理厂处理。</w:t>
      </w:r>
    </w:p>
    <w:p>
      <w:pPr>
        <w:pStyle w:val="8"/>
        <w:spacing w:before="180" w:after="180"/>
        <w:rPr>
          <w:rFonts w:eastAsia="宋体" w:cs="Times New Roman"/>
          <w:sz w:val="28"/>
          <w:szCs w:val="28"/>
          <w:lang w:val="zh-CN"/>
        </w:rPr>
      </w:pPr>
      <w:bookmarkStart w:id="779" w:name="_Toc22356"/>
      <w:bookmarkStart w:id="780" w:name="_Toc13464"/>
      <w:bookmarkStart w:id="781" w:name="_Toc132468840"/>
      <w:r>
        <w:rPr>
          <w:rFonts w:eastAsia="宋体" w:cs="Times New Roman"/>
          <w:sz w:val="28"/>
          <w:szCs w:val="28"/>
          <w:lang w:val="zh-CN"/>
        </w:rPr>
        <w:t>7.3.12应急救援队伍的调度及物资保障</w:t>
      </w:r>
      <w:bookmarkEnd w:id="775"/>
      <w:bookmarkEnd w:id="776"/>
      <w:bookmarkEnd w:id="777"/>
      <w:bookmarkEnd w:id="778"/>
      <w:bookmarkEnd w:id="779"/>
      <w:bookmarkEnd w:id="780"/>
      <w:bookmarkEnd w:id="781"/>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应急救援队伍的调度及物资保障统一由应急指挥部协调，突发环境事件时主要采取下列行动：</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 xml:space="preserve">（1）结合实际启动并实施相应级别的应急预案，及时向上级有关部门报告； </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（2）协调组织应急救援力量开展应急救援工作；</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（3）需要其他应急救援力量支援时，向有关部门请求。</w:t>
      </w:r>
    </w:p>
    <w:p>
      <w:pPr>
        <w:adjustRightInd w:val="0"/>
        <w:snapToGrid w:val="0"/>
        <w:ind w:firstLine="482" w:firstLineChars="0"/>
        <w:rPr>
          <w:rFonts w:ascii="Times New Roman" w:hAnsi="Times New Roman" w:eastAsia="宋体" w:cs="Times New Roman"/>
          <w:sz w:val="21"/>
          <w:szCs w:val="20"/>
        </w:rPr>
      </w:pPr>
      <w:r>
        <w:rPr>
          <w:rFonts w:ascii="Times New Roman" w:hAnsi="Times New Roman" w:eastAsia="宋体" w:cs="Times New Roman"/>
          <w:szCs w:val="24"/>
        </w:rPr>
        <w:t>（4）现场配备的应急救援器材，主要有防毒面具、各种应急药品、应急排污泵等。</w:t>
      </w:r>
    </w:p>
    <w:p>
      <w:pPr>
        <w:pStyle w:val="8"/>
        <w:spacing w:before="180" w:after="180"/>
        <w:rPr>
          <w:rFonts w:eastAsia="宋体" w:cs="Times New Roman"/>
          <w:sz w:val="28"/>
          <w:szCs w:val="28"/>
          <w:lang w:val="zh-CN"/>
        </w:rPr>
      </w:pPr>
      <w:bookmarkStart w:id="782" w:name="_Toc16447"/>
      <w:bookmarkStart w:id="783" w:name="_Toc25014"/>
      <w:bookmarkStart w:id="784" w:name="_Toc515435538"/>
      <w:bookmarkStart w:id="785" w:name="_Toc529542629"/>
      <w:bookmarkStart w:id="786" w:name="_Toc523160376"/>
      <w:bookmarkStart w:id="787" w:name="_Toc512693891"/>
      <w:bookmarkStart w:id="788" w:name="_Toc132468841"/>
      <w:r>
        <w:rPr>
          <w:rFonts w:eastAsia="宋体" w:cs="Times New Roman"/>
          <w:sz w:val="28"/>
          <w:szCs w:val="28"/>
          <w:lang w:val="zh-CN"/>
        </w:rPr>
        <w:t>7.3.13 防止控制事件扩大的措施</w:t>
      </w:r>
      <w:bookmarkEnd w:id="782"/>
      <w:bookmarkEnd w:id="783"/>
      <w:bookmarkEnd w:id="784"/>
      <w:bookmarkEnd w:id="785"/>
      <w:bookmarkEnd w:id="786"/>
      <w:bookmarkEnd w:id="787"/>
      <w:bookmarkEnd w:id="788"/>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（1）发生火灾、爆炸事件时，应密切关注厂界外情况，如火势有向厂界外发展的趋势，应立即集中力量对厂界附近的火源进行扑灭，以防危机临近其他企业或公用设施。</w:t>
      </w:r>
    </w:p>
    <w:p>
      <w:pPr>
        <w:adjustRightInd w:val="0"/>
        <w:snapToGrid w:val="0"/>
        <w:ind w:firstLine="482" w:firstLineChars="0"/>
        <w:rPr>
          <w:rFonts w:ascii="Times New Roman" w:hAnsi="Times New Roman" w:eastAsia="宋体" w:cs="Times New Roman"/>
          <w:szCs w:val="20"/>
        </w:rPr>
      </w:pPr>
      <w:r>
        <w:rPr>
          <w:rFonts w:ascii="Times New Roman" w:hAnsi="Times New Roman" w:eastAsia="宋体" w:cs="Times New Roman"/>
          <w:szCs w:val="24"/>
        </w:rPr>
        <w:t>（2）运输过程中，发生事件时，应及时报告当地政府部门和公司的应急指挥中心，请求启动区域的应急预案，防止污染事件的进一步扩大。</w:t>
      </w:r>
      <w:r>
        <w:rPr>
          <w:rFonts w:ascii="Times New Roman" w:hAnsi="Times New Roman" w:eastAsia="宋体" w:cs="Times New Roman"/>
          <w:szCs w:val="20"/>
        </w:rPr>
        <w:t xml:space="preserve"> </w:t>
      </w:r>
    </w:p>
    <w:p>
      <w:pPr>
        <w:pStyle w:val="8"/>
        <w:spacing w:before="180" w:after="180"/>
        <w:rPr>
          <w:rFonts w:eastAsia="宋体" w:cs="Times New Roman"/>
          <w:sz w:val="28"/>
          <w:szCs w:val="28"/>
          <w:lang w:val="zh-CN"/>
        </w:rPr>
      </w:pPr>
      <w:bookmarkStart w:id="789" w:name="_Toc132468842"/>
      <w:bookmarkStart w:id="790" w:name="_Toc512693892"/>
      <w:bookmarkStart w:id="791" w:name="_Toc4657"/>
      <w:bookmarkStart w:id="792" w:name="_Toc529542630"/>
      <w:bookmarkStart w:id="793" w:name="_Toc9465"/>
      <w:bookmarkStart w:id="794" w:name="_Toc523160377"/>
      <w:bookmarkStart w:id="795" w:name="_Toc515435539"/>
      <w:r>
        <w:rPr>
          <w:rFonts w:eastAsia="宋体" w:cs="Times New Roman"/>
          <w:sz w:val="28"/>
          <w:szCs w:val="28"/>
          <w:lang w:val="zh-CN"/>
        </w:rPr>
        <w:t>7.3.14 事件可能扩大后的应急措施</w:t>
      </w:r>
      <w:bookmarkEnd w:id="789"/>
      <w:bookmarkEnd w:id="790"/>
      <w:bookmarkEnd w:id="791"/>
      <w:bookmarkEnd w:id="792"/>
      <w:bookmarkEnd w:id="793"/>
      <w:bookmarkEnd w:id="794"/>
      <w:bookmarkEnd w:id="795"/>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（1）当事件有扩大趋势时，根据事件扩大后的影响范围、影响程度及气候条件，提出相关人员撤离事件现场及请求相关部门、单位援助的建议；</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（2）当事件有扩大趋势时，评估事件扩大后的影响范围由总指挥向政府机关提出附近群众疏散的建议；</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（3）根据事件扩大后的情况采取相应抢救、救援及控制措施；</w:t>
      </w:r>
    </w:p>
    <w:p>
      <w:pPr>
        <w:adjustRightInd w:val="0"/>
        <w:snapToGrid w:val="0"/>
        <w:ind w:firstLine="482" w:firstLineChars="0"/>
        <w:rPr>
          <w:rFonts w:ascii="Times New Roman" w:hAnsi="Times New Roman" w:eastAsia="宋体" w:cs="Times New Roman"/>
          <w:kern w:val="0"/>
          <w:szCs w:val="24"/>
        </w:rPr>
      </w:pPr>
      <w:r>
        <w:rPr>
          <w:rFonts w:ascii="Times New Roman" w:hAnsi="Times New Roman" w:eastAsia="宋体" w:cs="Times New Roman"/>
          <w:szCs w:val="24"/>
        </w:rPr>
        <w:t>（4）污染治理设施的运行和控制。</w:t>
      </w:r>
    </w:p>
    <w:p>
      <w:pPr>
        <w:pStyle w:val="7"/>
        <w:spacing w:before="260" w:after="260"/>
        <w:rPr>
          <w:rFonts w:ascii="Times New Roman" w:hAnsi="Times New Roman" w:eastAsia="宋体" w:cs="Times New Roman"/>
          <w:sz w:val="30"/>
          <w:szCs w:val="30"/>
        </w:rPr>
      </w:pPr>
      <w:bookmarkStart w:id="796" w:name="_Toc300384091"/>
      <w:bookmarkStart w:id="797" w:name="_Toc246239589"/>
      <w:bookmarkStart w:id="798" w:name="_Toc529542631"/>
      <w:bookmarkStart w:id="799" w:name="_Toc16006"/>
      <w:bookmarkStart w:id="800" w:name="_Toc18154"/>
      <w:bookmarkStart w:id="801" w:name="_Toc9223"/>
      <w:bookmarkStart w:id="802" w:name="_Toc523160167"/>
      <w:bookmarkStart w:id="803" w:name="_Toc132468843"/>
      <w:bookmarkStart w:id="804" w:name="_Toc28349"/>
      <w:bookmarkStart w:id="805" w:name="_Toc515435540"/>
      <w:bookmarkStart w:id="806" w:name="_Toc523160378"/>
      <w:r>
        <w:rPr>
          <w:rFonts w:ascii="Times New Roman" w:hAnsi="Times New Roman" w:eastAsia="宋体" w:cs="Times New Roman"/>
          <w:sz w:val="30"/>
          <w:szCs w:val="30"/>
        </w:rPr>
        <w:t>7.4受伤人员救治方案</w:t>
      </w:r>
      <w:bookmarkEnd w:id="796"/>
      <w:bookmarkEnd w:id="797"/>
      <w:bookmarkEnd w:id="798"/>
      <w:bookmarkEnd w:id="799"/>
      <w:bookmarkEnd w:id="800"/>
      <w:bookmarkEnd w:id="801"/>
      <w:bookmarkEnd w:id="802"/>
      <w:bookmarkEnd w:id="803"/>
      <w:bookmarkEnd w:id="804"/>
      <w:bookmarkEnd w:id="805"/>
      <w:bookmarkEnd w:id="806"/>
    </w:p>
    <w:p>
      <w:pPr>
        <w:adjustRightInd w:val="0"/>
        <w:snapToGrid w:val="0"/>
        <w:ind w:firstLine="482" w:firstLineChars="0"/>
        <w:rPr>
          <w:rFonts w:ascii="Times New Roman" w:hAnsi="Times New Roman" w:eastAsia="宋体" w:cs="Times New Roman"/>
          <w:szCs w:val="24"/>
        </w:rPr>
      </w:pPr>
      <w:bookmarkStart w:id="807" w:name="_Toc241053044"/>
      <w:bookmarkStart w:id="808" w:name="_Toc243218014"/>
      <w:bookmarkStart w:id="809" w:name="_Toc225668645"/>
      <w:bookmarkStart w:id="810" w:name="_Toc246239590"/>
      <w:bookmarkStart w:id="811" w:name="_Toc242849954"/>
      <w:r>
        <w:rPr>
          <w:rFonts w:ascii="Times New Roman" w:hAnsi="Times New Roman" w:eastAsia="宋体" w:cs="Times New Roman"/>
          <w:szCs w:val="24"/>
        </w:rPr>
        <w:t>根据突发环境事件的级别，受伤人员的伤害程度以及附近疾病控制与医疗救治机构的设置和处理能力，该企业的应急救治方案具体如下：</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针对轻微的物理伤害、轻度化学灼伤以及轻微的中毒情况，在现场进行及时预处理后（物理伤害进行消毒止血；化学药品接触皮肤或进入眼内及时用清水冲洗；轻微的中毒要及时离开现场，接触新鲜空气，保持呼吸道通畅；误食者用清水漱口，给饮牛奶或蛋清），尽快送到附近医院做进一步的处理。</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针对物理或化学伤害严重或中毒严重者，都要在临时处理的同时迅速送往附近医院进行治疗。</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（1）现场急救注意事项</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选择有利地形设置急救点；做好自身及伤病员的个体防护；防止发生继发性损害；应至少2-3人为一组集体行动，以便相互照应；进入毒物污染区要注意安全。参加救援人员需佩戴防毒面具。</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（2）现场处理</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迅速将患者从现场转移至空气新鲜处，中毒者脱离染毒区后，应在现场立即着手急救。呼吸困难时给氧，呼吸停止者赶快做人工呼吸。剧毒品不适宜用口对口法时，可用史氏人工呼吸法。心脏停止跳动的，立即拳击心脏部分的胸壁或作胸外心脏按摩；人工呼吸与胸外心脏按摩可同时交替进行，直至恢复自主心搏和呼吸。</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（3）彻底清除毒物污染，防止继续吸收</w:t>
      </w:r>
    </w:p>
    <w:p>
      <w:pPr>
        <w:adjustRightInd w:val="0"/>
        <w:snapToGrid w:val="0"/>
        <w:ind w:firstLine="482" w:firstLineChars="0"/>
        <w:rPr>
          <w:rFonts w:ascii="Times New Roman" w:hAnsi="Times New Roman" w:eastAsia="宋体" w:cs="Times New Roman"/>
          <w:sz w:val="21"/>
          <w:szCs w:val="20"/>
        </w:rPr>
      </w:pPr>
      <w:r>
        <w:rPr>
          <w:rFonts w:ascii="Times New Roman" w:hAnsi="Times New Roman" w:eastAsia="宋体" w:cs="Times New Roman"/>
          <w:szCs w:val="24"/>
        </w:rPr>
        <w:t>脱离污染区后，立即脱去受污染的衣物。对于皮肤、毛发甚至指甲缝中的污染，都要注意清除。对能由皮肤吸收的毒物及化学灼伤，应在现场用大量清水或其他备用的解毒、中和液冲洗。毒物经口侵入体内，应及时彻底洗胃或催吐，除去胃内毒物，并及时以解毒药物减少毒物的吸收。使用特效药物治疗时，对症治疗，严重者送医院观察治疗。</w:t>
      </w:r>
    </w:p>
    <w:bookmarkEnd w:id="807"/>
    <w:bookmarkEnd w:id="808"/>
    <w:bookmarkEnd w:id="809"/>
    <w:bookmarkEnd w:id="810"/>
    <w:bookmarkEnd w:id="811"/>
    <w:p>
      <w:pPr>
        <w:pStyle w:val="7"/>
        <w:spacing w:before="260" w:after="260"/>
        <w:rPr>
          <w:rFonts w:ascii="Times New Roman" w:hAnsi="Times New Roman" w:eastAsia="宋体" w:cs="Times New Roman"/>
          <w:sz w:val="30"/>
          <w:szCs w:val="30"/>
        </w:rPr>
      </w:pPr>
      <w:bookmarkStart w:id="812" w:name="_Toc523160379"/>
      <w:bookmarkStart w:id="813" w:name="_Toc529542632"/>
      <w:bookmarkStart w:id="814" w:name="_Toc29971"/>
      <w:bookmarkStart w:id="815" w:name="_Toc14886"/>
      <w:bookmarkStart w:id="816" w:name="_Toc22843"/>
      <w:bookmarkStart w:id="817" w:name="_Toc31529"/>
      <w:bookmarkStart w:id="818" w:name="_Toc132468844"/>
      <w:bookmarkStart w:id="819" w:name="_Toc515435541"/>
      <w:bookmarkStart w:id="820" w:name="_Toc300384093"/>
      <w:bookmarkStart w:id="821" w:name="_Toc523160168"/>
      <w:r>
        <w:rPr>
          <w:rFonts w:ascii="Times New Roman" w:hAnsi="Times New Roman" w:eastAsia="宋体" w:cs="Times New Roman"/>
          <w:sz w:val="30"/>
          <w:szCs w:val="30"/>
        </w:rPr>
        <w:t>7.5应急监测</w:t>
      </w:r>
      <w:bookmarkEnd w:id="812"/>
      <w:bookmarkEnd w:id="813"/>
      <w:bookmarkEnd w:id="814"/>
      <w:bookmarkEnd w:id="815"/>
      <w:bookmarkEnd w:id="816"/>
      <w:bookmarkEnd w:id="817"/>
      <w:bookmarkEnd w:id="818"/>
      <w:bookmarkEnd w:id="819"/>
      <w:bookmarkEnd w:id="820"/>
      <w:bookmarkEnd w:id="821"/>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应急监测组技术人员配合环保监测部门做好应急监测工作。本企业无应急监测能力，可委托距离最近的第三方监测机构或监测站进行监测（赤壁市环境监测中心（0715-5234312）），确保能够迅速获得环境检测支持。</w:t>
      </w:r>
    </w:p>
    <w:p>
      <w:pPr>
        <w:pStyle w:val="8"/>
        <w:spacing w:before="180" w:after="180"/>
        <w:rPr>
          <w:rFonts w:eastAsia="宋体" w:cs="Times New Roman"/>
          <w:sz w:val="28"/>
          <w:szCs w:val="28"/>
          <w:lang w:val="zh-CN"/>
        </w:rPr>
      </w:pPr>
      <w:bookmarkStart w:id="822" w:name="_Toc22427"/>
      <w:bookmarkStart w:id="823" w:name="_Toc132468845"/>
      <w:bookmarkStart w:id="824" w:name="_Toc12523"/>
      <w:r>
        <w:rPr>
          <w:rFonts w:eastAsia="宋体" w:cs="Times New Roman"/>
          <w:sz w:val="28"/>
          <w:szCs w:val="28"/>
          <w:lang w:val="zh-CN"/>
        </w:rPr>
        <w:t>7.5.1</w:t>
      </w:r>
      <w:bookmarkEnd w:id="822"/>
      <w:r>
        <w:rPr>
          <w:rFonts w:eastAsia="宋体" w:cs="Times New Roman"/>
          <w:sz w:val="28"/>
          <w:szCs w:val="28"/>
          <w:lang w:val="zh-CN"/>
        </w:rPr>
        <w:t>应急监测程序</w:t>
      </w:r>
      <w:bookmarkEnd w:id="823"/>
      <w:bookmarkEnd w:id="824"/>
    </w:p>
    <w:p>
      <w:pPr>
        <w:adjustRightInd w:val="0"/>
        <w:snapToGrid w:val="0"/>
        <w:ind w:firstLine="482" w:firstLineChars="0"/>
        <w:rPr>
          <w:rFonts w:ascii="Times New Roman" w:hAnsi="Times New Roman" w:eastAsia="宋体" w:cs="Times New Roman"/>
        </w:rPr>
      </w:pPr>
      <w:bookmarkStart w:id="825" w:name="_Toc529542634"/>
      <w:bookmarkStart w:id="826" w:name="_Toc523160381"/>
      <w:bookmarkStart w:id="827" w:name="_Toc22448"/>
      <w:bookmarkStart w:id="828" w:name="_Toc515435543"/>
      <w:bookmarkStart w:id="829" w:name="_Toc512693896"/>
      <w:r>
        <w:rPr>
          <w:rFonts w:ascii="Times New Roman" w:hAnsi="Times New Roman" w:eastAsia="宋体" w:cs="Times New Roman"/>
        </w:rPr>
        <w:t>在环境风险事故发生、抢险应急的同时，环境监测负责监测人员对事故现场进行侦察检测，应急监测工作程序如下：</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1）任务接收（分析、传达等全部要同步上岗），接公司环保应急事故现场指挥部下达的应急监测任务后，由应急监测领导小组按本预案启动应急监测工作程序，下达应急监测指令，现在采用人员、分析人员和报告传达人员均做好准备工作。</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（2）任务下达、人员安排及准备工作</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应急监测人员接到指令后，应立即做好应急监测各项准备工作，现场采样监测人员20分钟内做好准备，携仪器设备、采样器具、防护设备赶赴事故现场进行调查、监测和采样。实验室分析人员作好分析准备，报告传达人员作好资料收集。</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（3）现场采样及监测</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现场监测人员接到应急监测任务通知后立即携带所需的仪器设备、采样器具、试剂、药剂、防护装备和所需的监测预案、标准、方法、规范等资料，赶赴事故现场进行调查、监测和采样。采样时服从现在指挥人员指挥，所采样品必须具有代表性。必要时穿戴防护用品。</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（4）现场情况报告制度</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现场监测人员到达现场进行污染状况调查后，及时了解污染状况，听从现场指挥人员确定采样点，并建议是否增加监测点位、项目和频次，是否增加现场监测人员和仪器。对无法监测或不具备监测条件和能力的项目时，应向上一级部门报告，提请上级环境监测机构协调解决。现场监测和分析数据需现场报告时，数据直接报告现场指挥人员。</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（5）样品的保存与运输</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①在采样前根据样品性质、成份和环境条件，根据水环境监测技术规范要求加入保存剂。</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②在现场工作开始前确定好样品的运输方式以防延误分析时机。</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③在运输前核实样品标签是否完整，所有样品是否全部装车，做好现场采样记录。</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④样品运输必须由专人送达分析室，防止样品损坏或致污。移交样品时，应进行核对并办妥交接手续。</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（6）实验室分析</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实验室分析人员接到分析样品后，及时、准确、快捷地完成样品分析，做好原始记录，提交分析报告。</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（7）报告编制与提交</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分析人员要以最快的速度提交报告，审核后迅速交报告传达人员送至现在指挥部，同时按规定报上级有关部门。</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应急监测报告主要内容包括：</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①事故发生的时间，接到通知的时间，到达现场监测时间；</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②事故发生的具体地点及周边的自然环境；</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③事故发生的性质与类型；</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④采样断面（点位）监测频次、监测方法；</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⑤污染事故的性质，主要污染物的种类、排放量、浓度及影响范围；</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⑥污染事故的危害与损失，包括人员伤亡、事故原因等；</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⑦简要说明污染物的危害特性及处理处置建议；</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⑧应急监测现场负责人签字。</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（8）应急监测终止程序</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应急监测小组接到现场指挥部的指令后方能宣布应急监测终止，并根据事故现场指挥部的指令或安排正常的环境监测或跟踪监测。</w:t>
      </w:r>
    </w:p>
    <w:p>
      <w:pPr>
        <w:adjustRightInd w:val="0"/>
        <w:snapToGrid w:val="0"/>
        <w:ind w:firstLine="482" w:firstLineChars="0"/>
        <w:rPr>
          <w:rFonts w:ascii="Times New Roman" w:hAnsi="Times New Roman" w:eastAsia="宋体" w:cs="Times New Roman"/>
        </w:rPr>
      </w:pPr>
      <w:r>
        <w:rPr>
          <w:rFonts w:ascii="Times New Roman" w:hAnsi="Times New Roman" w:eastAsia="宋体" w:cs="Times New Roman"/>
        </w:rPr>
        <w:t>（9）信息保存、发布</w:t>
      </w:r>
    </w:p>
    <w:p>
      <w:pPr>
        <w:adjustRightInd w:val="0"/>
        <w:snapToGrid w:val="0"/>
        <w:ind w:firstLine="482" w:firstLineChars="0"/>
        <w:rPr>
          <w:rFonts w:ascii="Times New Roman" w:hAnsi="Times New Roman" w:eastAsia="宋体" w:cs="Times New Roman"/>
          <w:sz w:val="21"/>
          <w:szCs w:val="20"/>
        </w:rPr>
      </w:pPr>
      <w:r>
        <w:rPr>
          <w:rFonts w:ascii="Times New Roman" w:hAnsi="Times New Roman" w:eastAsia="宋体" w:cs="Times New Roman"/>
        </w:rPr>
        <w:t>每次应急监测原始记录和报告应建挡，并按工作程序存入公司档案室。由公司指派专人发布污染事故消息、监测结果。</w:t>
      </w:r>
    </w:p>
    <w:p>
      <w:pPr>
        <w:pStyle w:val="8"/>
        <w:spacing w:before="180" w:after="180"/>
        <w:rPr>
          <w:rFonts w:eastAsia="宋体" w:cs="Times New Roman"/>
          <w:sz w:val="28"/>
          <w:szCs w:val="28"/>
          <w:lang w:val="zh-CN"/>
        </w:rPr>
      </w:pPr>
      <w:bookmarkStart w:id="830" w:name="_Toc30231"/>
      <w:bookmarkStart w:id="831" w:name="_Toc132468846"/>
      <w:r>
        <w:rPr>
          <w:rFonts w:eastAsia="宋体" w:cs="Times New Roman"/>
          <w:sz w:val="28"/>
          <w:szCs w:val="28"/>
          <w:lang w:val="zh-CN"/>
        </w:rPr>
        <w:t>7.5.2 事故状态风险监控点位及监测因子</w:t>
      </w:r>
      <w:bookmarkEnd w:id="825"/>
      <w:bookmarkEnd w:id="826"/>
      <w:bookmarkEnd w:id="827"/>
      <w:bookmarkEnd w:id="828"/>
      <w:bookmarkEnd w:id="829"/>
      <w:bookmarkEnd w:id="830"/>
      <w:bookmarkEnd w:id="831"/>
    </w:p>
    <w:p>
      <w:pPr>
        <w:adjustRightInd w:val="0"/>
        <w:snapToGrid w:val="0"/>
        <w:ind w:firstLine="482" w:firstLineChars="0"/>
        <w:rPr>
          <w:rFonts w:ascii="Times New Roman" w:hAnsi="Times New Roman" w:eastAsia="宋体" w:cs="Times New Roman"/>
          <w:sz w:val="21"/>
          <w:szCs w:val="20"/>
        </w:rPr>
      </w:pPr>
      <w:r>
        <w:rPr>
          <w:rFonts w:ascii="Times New Roman" w:hAnsi="Times New Roman" w:eastAsia="宋体" w:cs="Times New Roman"/>
          <w:szCs w:val="24"/>
        </w:rPr>
        <w:t>当厂区处于事故状态下，监测因子为泄漏物料和可能伴生次生的有毒有害物品，因根据事故状态下物料泄露量及物料特性等具体确定。风险监控点位及监测因子见表7.5-1。详细监控点位见附图7。</w:t>
      </w:r>
    </w:p>
    <w:p>
      <w:pPr>
        <w:spacing w:line="240" w:lineRule="auto"/>
        <w:ind w:firstLine="0" w:firstLineChars="0"/>
        <w:jc w:val="center"/>
        <w:rPr>
          <w:rFonts w:ascii="Times New Roman" w:hAnsi="Times New Roman" w:eastAsia="宋体" w:cs="Times New Roman"/>
          <w:b/>
          <w:sz w:val="21"/>
        </w:rPr>
      </w:pPr>
      <w:r>
        <w:rPr>
          <w:rFonts w:ascii="Times New Roman" w:hAnsi="Times New Roman" w:eastAsia="宋体" w:cs="Times New Roman"/>
          <w:b/>
          <w:sz w:val="21"/>
        </w:rPr>
        <w:t>表7.5-1  应急监测基本情况</w:t>
      </w:r>
    </w:p>
    <w:tbl>
      <w:tblPr>
        <w:tblStyle w:val="79"/>
        <w:tblW w:w="9962" w:type="dxa"/>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42"/>
        <w:gridCol w:w="1833"/>
        <w:gridCol w:w="2200"/>
        <w:gridCol w:w="2592"/>
        <w:gridCol w:w="2095"/>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tcBorders>
              <w:bottom w:val="single" w:color="000000" w:themeColor="text1" w:sz="12" w:space="0"/>
            </w:tcBorders>
            <w:vAlign w:val="center"/>
          </w:tcPr>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事故类型</w:t>
            </w:r>
          </w:p>
        </w:tc>
        <w:tc>
          <w:tcPr>
            <w:tcW w:w="1833" w:type="dxa"/>
            <w:tcBorders>
              <w:bottom w:val="single" w:color="000000" w:themeColor="text1" w:sz="12" w:space="0"/>
            </w:tcBorders>
            <w:vAlign w:val="center"/>
          </w:tcPr>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监测项目</w:t>
            </w:r>
          </w:p>
        </w:tc>
        <w:tc>
          <w:tcPr>
            <w:tcW w:w="2200" w:type="dxa"/>
            <w:tcBorders>
              <w:bottom w:val="single" w:color="000000" w:themeColor="text1" w:sz="12" w:space="0"/>
            </w:tcBorders>
            <w:vAlign w:val="center"/>
          </w:tcPr>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监测点位</w:t>
            </w:r>
          </w:p>
        </w:tc>
        <w:tc>
          <w:tcPr>
            <w:tcW w:w="2592" w:type="dxa"/>
            <w:tcBorders>
              <w:bottom w:val="single" w:color="000000" w:themeColor="text1" w:sz="12" w:space="0"/>
            </w:tcBorders>
            <w:vAlign w:val="center"/>
          </w:tcPr>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监测频次</w:t>
            </w:r>
          </w:p>
        </w:tc>
        <w:tc>
          <w:tcPr>
            <w:tcW w:w="2095" w:type="dxa"/>
            <w:tcBorders>
              <w:bottom w:val="single" w:color="000000" w:themeColor="text1" w:sz="12" w:space="0"/>
            </w:tcBorders>
            <w:vAlign w:val="center"/>
          </w:tcPr>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监测人员</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2" w:hRule="atLeast"/>
        </w:trPr>
        <w:tc>
          <w:tcPr>
            <w:tcW w:w="1242" w:type="dxa"/>
            <w:vMerge w:val="restart"/>
            <w:tcBorders>
              <w:top w:val="single" w:color="000000" w:themeColor="text1" w:sz="12" w:space="0"/>
            </w:tcBorders>
            <w:vAlign w:val="center"/>
          </w:tcPr>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sz w:val="18"/>
                <w:szCs w:val="18"/>
              </w:rPr>
              <w:t>环境空气</w:t>
            </w:r>
          </w:p>
        </w:tc>
        <w:tc>
          <w:tcPr>
            <w:tcW w:w="1833" w:type="dxa"/>
            <w:vMerge w:val="restart"/>
            <w:tcBorders>
              <w:top w:val="single" w:color="000000" w:themeColor="text1" w:sz="12" w:space="0"/>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挥发性有机物、一氧化碳（发生火灾伴生事故需监测）风向、风速</w:t>
            </w:r>
          </w:p>
        </w:tc>
        <w:tc>
          <w:tcPr>
            <w:tcW w:w="2200" w:type="dxa"/>
            <w:tcBorders>
              <w:top w:val="single" w:color="000000" w:themeColor="text1" w:sz="12" w:space="0"/>
            </w:tcBorders>
            <w:vAlign w:val="center"/>
          </w:tcPr>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sz w:val="18"/>
                <w:szCs w:val="18"/>
              </w:rPr>
              <w:t>事故发生地上风向</w:t>
            </w:r>
          </w:p>
        </w:tc>
        <w:tc>
          <w:tcPr>
            <w:tcW w:w="2592" w:type="dxa"/>
            <w:vMerge w:val="restart"/>
            <w:tcBorders>
              <w:top w:val="single" w:color="000000" w:themeColor="text1" w:sz="12" w:space="0"/>
            </w:tcBorders>
            <w:vAlign w:val="center"/>
          </w:tcPr>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sz w:val="18"/>
                <w:szCs w:val="18"/>
              </w:rPr>
              <w:t>事故初期，采样1次/30min，随后根据空气中有毒有害物质浓度降低情况调整监测频次按1h、2h采样</w:t>
            </w:r>
          </w:p>
        </w:tc>
        <w:tc>
          <w:tcPr>
            <w:tcW w:w="2095" w:type="dxa"/>
            <w:vMerge w:val="restart"/>
            <w:tcBorders>
              <w:top w:val="single" w:color="000000" w:themeColor="text1" w:sz="12" w:space="0"/>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赤壁市环境监测中心（0715-5234312）、</w:t>
            </w:r>
          </w:p>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sz w:val="18"/>
                <w:szCs w:val="18"/>
              </w:rPr>
              <w:t>第三方公司检测公司</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59" w:hRule="atLeast"/>
        </w:trPr>
        <w:tc>
          <w:tcPr>
            <w:tcW w:w="1242"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1833"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2200"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事故发生地</w:t>
            </w:r>
          </w:p>
        </w:tc>
        <w:tc>
          <w:tcPr>
            <w:tcW w:w="2592"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2095"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2" w:hRule="atLeast"/>
        </w:trPr>
        <w:tc>
          <w:tcPr>
            <w:tcW w:w="1242"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1833"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2200"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事故发生地下风向</w:t>
            </w:r>
          </w:p>
        </w:tc>
        <w:tc>
          <w:tcPr>
            <w:tcW w:w="2592"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2095"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trPr>
        <w:tc>
          <w:tcPr>
            <w:tcW w:w="1242"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1833"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2200"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厂界</w:t>
            </w:r>
          </w:p>
        </w:tc>
        <w:tc>
          <w:tcPr>
            <w:tcW w:w="2592"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2095"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1242" w:type="dxa"/>
            <w:vMerge w:val="restart"/>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地表水</w:t>
            </w:r>
          </w:p>
        </w:tc>
        <w:tc>
          <w:tcPr>
            <w:tcW w:w="1833" w:type="dxa"/>
            <w:vMerge w:val="restart"/>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pH、CODcr、石油类、色度、总磷、氨氮</w:t>
            </w:r>
          </w:p>
        </w:tc>
        <w:tc>
          <w:tcPr>
            <w:tcW w:w="2200"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污水总排口</w:t>
            </w:r>
          </w:p>
        </w:tc>
        <w:tc>
          <w:tcPr>
            <w:tcW w:w="2592" w:type="dxa"/>
            <w:vMerge w:val="restart"/>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采样1次/30min；1h向指挥部上报数据1次</w:t>
            </w:r>
          </w:p>
        </w:tc>
        <w:tc>
          <w:tcPr>
            <w:tcW w:w="2095" w:type="dxa"/>
            <w:vMerge w:val="restart"/>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赤壁市环境监测中心（0715-5234312）、</w:t>
            </w:r>
          </w:p>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第三方公司检测公司</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1" w:hRule="atLeast"/>
        </w:trPr>
        <w:tc>
          <w:tcPr>
            <w:tcW w:w="1242"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1833"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2200"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雨水总排口</w:t>
            </w:r>
          </w:p>
        </w:tc>
        <w:tc>
          <w:tcPr>
            <w:tcW w:w="2592"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2095"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1" w:hRule="atLeast"/>
        </w:trPr>
        <w:tc>
          <w:tcPr>
            <w:tcW w:w="1242"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1833"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2200" w:type="dxa"/>
            <w:vAlign w:val="center"/>
          </w:tcPr>
          <w:p>
            <w:pPr>
              <w:spacing w:line="240" w:lineRule="auto"/>
              <w:ind w:firstLine="0" w:firstLineChars="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陆水河</w:t>
            </w:r>
            <w:r>
              <w:rPr>
                <w:rFonts w:ascii="Times New Roman" w:hAnsi="Times New Roman" w:eastAsia="宋体" w:cs="Times New Roman"/>
                <w:sz w:val="18"/>
                <w:szCs w:val="18"/>
              </w:rPr>
              <w:t>上流</w:t>
            </w:r>
          </w:p>
        </w:tc>
        <w:tc>
          <w:tcPr>
            <w:tcW w:w="2592"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2095"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1242"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1833"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2200" w:type="dxa"/>
            <w:vAlign w:val="center"/>
          </w:tcPr>
          <w:p>
            <w:pPr>
              <w:spacing w:line="240" w:lineRule="auto"/>
              <w:ind w:firstLine="0" w:firstLineChars="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陆水河</w:t>
            </w:r>
            <w:r>
              <w:rPr>
                <w:rFonts w:ascii="Times New Roman" w:hAnsi="Times New Roman" w:eastAsia="宋体" w:cs="Times New Roman"/>
                <w:sz w:val="18"/>
                <w:szCs w:val="18"/>
              </w:rPr>
              <w:t>下流</w:t>
            </w:r>
          </w:p>
        </w:tc>
        <w:tc>
          <w:tcPr>
            <w:tcW w:w="2592"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2095"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6" w:hRule="atLeast"/>
        </w:trPr>
        <w:tc>
          <w:tcPr>
            <w:tcW w:w="1242" w:type="dxa"/>
            <w:vMerge w:val="restart"/>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地下水</w:t>
            </w:r>
          </w:p>
        </w:tc>
        <w:tc>
          <w:tcPr>
            <w:tcW w:w="1833" w:type="dxa"/>
            <w:vMerge w:val="restart"/>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高锰酸指数、氨氮、总硬度、石油类、总磷等</w:t>
            </w:r>
          </w:p>
        </w:tc>
        <w:tc>
          <w:tcPr>
            <w:tcW w:w="2200"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事故发生地上游监控井</w:t>
            </w:r>
          </w:p>
        </w:tc>
        <w:tc>
          <w:tcPr>
            <w:tcW w:w="2592" w:type="dxa"/>
            <w:vMerge w:val="restart"/>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采样1次/30min；2h向指挥部上报数据1次</w:t>
            </w:r>
          </w:p>
        </w:tc>
        <w:tc>
          <w:tcPr>
            <w:tcW w:w="2095"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1" w:hRule="atLeast"/>
        </w:trPr>
        <w:tc>
          <w:tcPr>
            <w:tcW w:w="1242"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1833"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2200"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事故发生地下游监控井</w:t>
            </w:r>
          </w:p>
        </w:tc>
        <w:tc>
          <w:tcPr>
            <w:tcW w:w="2592"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2095"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1" w:hRule="atLeast"/>
        </w:trPr>
        <w:tc>
          <w:tcPr>
            <w:tcW w:w="1242"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土壤</w:t>
            </w:r>
          </w:p>
        </w:tc>
        <w:tc>
          <w:tcPr>
            <w:tcW w:w="1833"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基本因子45项目</w:t>
            </w:r>
          </w:p>
        </w:tc>
        <w:tc>
          <w:tcPr>
            <w:tcW w:w="2200"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事故发生地厂区和危化品间附近</w:t>
            </w:r>
          </w:p>
        </w:tc>
        <w:tc>
          <w:tcPr>
            <w:tcW w:w="2592"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事故发生后期对污染的土壤进行环境影响评估</w:t>
            </w:r>
          </w:p>
        </w:tc>
        <w:tc>
          <w:tcPr>
            <w:tcW w:w="2095"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bookmarkEnd w:id="701"/>
      <w:bookmarkEnd w:id="702"/>
      <w:bookmarkEnd w:id="703"/>
      <w:bookmarkEnd w:id="704"/>
      <w:bookmarkEnd w:id="705"/>
      <w:bookmarkEnd w:id="706"/>
    </w:tbl>
    <w:p>
      <w:pPr>
        <w:pStyle w:val="7"/>
        <w:spacing w:before="260" w:after="260"/>
        <w:rPr>
          <w:rFonts w:ascii="Times New Roman" w:hAnsi="Times New Roman" w:eastAsia="宋体" w:cs="Times New Roman"/>
          <w:sz w:val="30"/>
          <w:szCs w:val="30"/>
          <w:lang w:val="zh-CN"/>
        </w:rPr>
      </w:pPr>
      <w:bookmarkStart w:id="832" w:name="_Toc15627"/>
      <w:bookmarkStart w:id="833" w:name="_Toc242849960"/>
      <w:bookmarkStart w:id="834" w:name="_Toc241053050"/>
      <w:bookmarkStart w:id="835" w:name="_Toc286324605"/>
      <w:bookmarkStart w:id="836" w:name="_Toc225668650"/>
      <w:bookmarkStart w:id="837" w:name="_Toc8019"/>
      <w:bookmarkStart w:id="838" w:name="_Toc246239593"/>
      <w:bookmarkStart w:id="839" w:name="_Toc243218020"/>
      <w:bookmarkStart w:id="840" w:name="_Toc29122"/>
      <w:bookmarkStart w:id="841" w:name="_Toc132468847"/>
      <w:bookmarkStart w:id="842" w:name="_Toc523160382"/>
      <w:bookmarkStart w:id="843" w:name="_Toc6504"/>
      <w:bookmarkStart w:id="844" w:name="_Toc529542635"/>
      <w:bookmarkStart w:id="845" w:name="_Toc515435544"/>
      <w:bookmarkStart w:id="846" w:name="_Toc523160169"/>
      <w:r>
        <w:rPr>
          <w:rFonts w:ascii="Times New Roman" w:hAnsi="Times New Roman" w:eastAsia="宋体" w:cs="Times New Roman"/>
          <w:sz w:val="30"/>
          <w:szCs w:val="30"/>
          <w:lang w:val="zh-CN"/>
        </w:rPr>
        <w:t>7.6应急</w:t>
      </w:r>
      <w:bookmarkEnd w:id="832"/>
      <w:bookmarkEnd w:id="833"/>
      <w:bookmarkEnd w:id="834"/>
      <w:bookmarkEnd w:id="835"/>
      <w:bookmarkEnd w:id="836"/>
      <w:bookmarkEnd w:id="837"/>
      <w:bookmarkEnd w:id="838"/>
      <w:bookmarkEnd w:id="839"/>
      <w:r>
        <w:rPr>
          <w:rFonts w:ascii="Times New Roman" w:hAnsi="Times New Roman" w:eastAsia="宋体" w:cs="Times New Roman"/>
          <w:sz w:val="30"/>
          <w:szCs w:val="30"/>
          <w:lang w:val="zh-CN"/>
        </w:rPr>
        <w:t>终止</w:t>
      </w:r>
      <w:bookmarkEnd w:id="840"/>
      <w:bookmarkEnd w:id="841"/>
      <w:bookmarkEnd w:id="842"/>
      <w:bookmarkEnd w:id="843"/>
      <w:bookmarkEnd w:id="844"/>
      <w:bookmarkEnd w:id="845"/>
      <w:bookmarkEnd w:id="846"/>
    </w:p>
    <w:p>
      <w:pPr>
        <w:pStyle w:val="8"/>
        <w:spacing w:before="180" w:after="180"/>
        <w:rPr>
          <w:rFonts w:eastAsia="宋体" w:cs="Times New Roman"/>
          <w:sz w:val="28"/>
          <w:szCs w:val="28"/>
          <w:lang w:val="zh-CN"/>
        </w:rPr>
      </w:pPr>
      <w:bookmarkStart w:id="847" w:name="_Toc246239594"/>
      <w:bookmarkStart w:id="848" w:name="_Toc9321"/>
      <w:bookmarkStart w:id="849" w:name="_Toc286324606"/>
      <w:bookmarkStart w:id="850" w:name="_Toc242849961"/>
      <w:bookmarkStart w:id="851" w:name="_Toc3666"/>
      <w:bookmarkStart w:id="852" w:name="_Toc243218021"/>
      <w:bookmarkStart w:id="853" w:name="_Toc529542636"/>
      <w:bookmarkStart w:id="854" w:name="_Toc11454"/>
      <w:bookmarkStart w:id="855" w:name="_Toc225668651"/>
      <w:bookmarkStart w:id="856" w:name="_Toc241053051"/>
      <w:bookmarkStart w:id="857" w:name="_Toc10636"/>
      <w:bookmarkStart w:id="858" w:name="_Toc512693898"/>
      <w:bookmarkStart w:id="859" w:name="_Toc515435545"/>
      <w:bookmarkStart w:id="860" w:name="_Toc523160383"/>
      <w:bookmarkStart w:id="861" w:name="_Toc132468848"/>
      <w:r>
        <w:rPr>
          <w:rFonts w:eastAsia="宋体" w:cs="Times New Roman"/>
          <w:sz w:val="28"/>
          <w:szCs w:val="28"/>
          <w:lang w:val="zh-CN"/>
        </w:rPr>
        <w:t>7.6.1 应急终止的条件</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当对发生事故进行一系列处理后，符合下列条件之一的，即满足应急终止条件：</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（1）事件现场得到控制，事件条件已经消除；</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（2）污染源的泄漏或释放已降至规定限值以内；</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（3）事件所造成的危害已经被彻底消除，无继发可能；</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（4）事件现场的各种专业应急处置行动已无继续的必要；</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（5）采取了必要的防护措施，保护公众免受再次危害，并使事件可能引起的中长期影响趋于合理乃至尽量低的水平。</w:t>
      </w:r>
    </w:p>
    <w:p>
      <w:pPr>
        <w:adjustRightInd w:val="0"/>
        <w:snapToGrid w:val="0"/>
        <w:ind w:firstLine="482" w:firstLineChars="0"/>
        <w:rPr>
          <w:rFonts w:ascii="Times New Roman" w:hAnsi="Times New Roman" w:eastAsia="宋体" w:cs="Times New Roman"/>
          <w:sz w:val="21"/>
          <w:szCs w:val="20"/>
        </w:rPr>
      </w:pPr>
      <w:r>
        <w:rPr>
          <w:rFonts w:ascii="Times New Roman" w:hAnsi="Times New Roman" w:eastAsia="宋体" w:cs="Times New Roman"/>
          <w:szCs w:val="24"/>
        </w:rPr>
        <w:t>除已启动上级应急预案需由上级政府决定应急结束外，环境污染事故应急结束由赤壁恒瑞非织造材料有限公司应急指挥中心实施。</w:t>
      </w:r>
    </w:p>
    <w:p>
      <w:pPr>
        <w:pStyle w:val="8"/>
        <w:spacing w:before="180" w:after="180"/>
        <w:rPr>
          <w:rFonts w:eastAsia="宋体" w:cs="Times New Roman"/>
          <w:sz w:val="28"/>
          <w:szCs w:val="28"/>
          <w:lang w:val="zh-CN"/>
        </w:rPr>
      </w:pPr>
      <w:bookmarkStart w:id="862" w:name="_Toc25180"/>
      <w:bookmarkStart w:id="863" w:name="_Toc241053052"/>
      <w:bookmarkStart w:id="864" w:name="_Toc12210"/>
      <w:bookmarkStart w:id="865" w:name="_Toc12642"/>
      <w:bookmarkStart w:id="866" w:name="_Toc225668652"/>
      <w:bookmarkStart w:id="867" w:name="_Toc246239595"/>
      <w:bookmarkStart w:id="868" w:name="_Toc512693899"/>
      <w:bookmarkStart w:id="869" w:name="_Toc529542637"/>
      <w:bookmarkStart w:id="870" w:name="_Toc243218022"/>
      <w:bookmarkStart w:id="871" w:name="_Toc515435546"/>
      <w:bookmarkStart w:id="872" w:name="_Toc523160384"/>
      <w:bookmarkStart w:id="873" w:name="_Toc132468849"/>
      <w:bookmarkStart w:id="874" w:name="_Toc242849962"/>
      <w:bookmarkStart w:id="875" w:name="_Toc31807"/>
      <w:bookmarkStart w:id="876" w:name="_Toc286324607"/>
      <w:r>
        <w:rPr>
          <w:rFonts w:eastAsia="宋体" w:cs="Times New Roman"/>
          <w:sz w:val="28"/>
          <w:szCs w:val="28"/>
          <w:lang w:val="zh-CN"/>
        </w:rPr>
        <w:t>7.6.2 应急终止的程序</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（1）现场救援指挥部根据应急事故的处理，当符合上述规定中任何一种情况，即可确认终止应急，或由发生事件的责任单位提出，经现场救援指挥部批准；</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（2）现场救援指挥部可向所属各专业救援队伍下达应急终止命令；</w:t>
      </w:r>
    </w:p>
    <w:p>
      <w:pPr>
        <w:adjustRightInd w:val="0"/>
        <w:snapToGrid w:val="0"/>
        <w:ind w:firstLine="482" w:firstLineChars="0"/>
        <w:rPr>
          <w:rFonts w:ascii="Times New Roman" w:hAnsi="Times New Roman" w:eastAsia="宋体" w:cs="Times New Roman"/>
          <w:sz w:val="21"/>
          <w:szCs w:val="20"/>
        </w:rPr>
      </w:pPr>
      <w:r>
        <w:rPr>
          <w:rFonts w:ascii="Times New Roman" w:hAnsi="Times New Roman" w:eastAsia="宋体" w:cs="Times New Roman"/>
          <w:szCs w:val="24"/>
        </w:rPr>
        <w:t>（3）应急状态终止后，相关类别环境事件专业应急指挥部应根据政府相关部门的有关指示和实际情况，继续进行环境监测和评价工作，直至其他补救措施无需继续进行为止。</w:t>
      </w:r>
    </w:p>
    <w:p>
      <w:pPr>
        <w:pStyle w:val="8"/>
        <w:spacing w:before="180" w:after="180"/>
        <w:rPr>
          <w:rFonts w:eastAsia="宋体" w:cs="Times New Roman"/>
          <w:sz w:val="28"/>
          <w:szCs w:val="28"/>
          <w:lang w:val="zh-CN"/>
        </w:rPr>
      </w:pPr>
      <w:bookmarkStart w:id="877" w:name="_Toc132468850"/>
      <w:bookmarkStart w:id="878" w:name="_Toc2227"/>
      <w:bookmarkStart w:id="879" w:name="_Toc512693900"/>
      <w:bookmarkStart w:id="880" w:name="_Toc17184"/>
      <w:bookmarkStart w:id="881" w:name="_Toc515435547"/>
      <w:bookmarkStart w:id="882" w:name="_Toc529542638"/>
      <w:bookmarkStart w:id="883" w:name="_Toc523160385"/>
      <w:bookmarkStart w:id="884" w:name="_Toc246239596"/>
      <w:bookmarkStart w:id="885" w:name="_Toc286324608"/>
      <w:bookmarkStart w:id="886" w:name="_Toc241053053"/>
      <w:bookmarkStart w:id="887" w:name="_Toc2256"/>
      <w:bookmarkStart w:id="888" w:name="_Toc225668653"/>
      <w:bookmarkStart w:id="889" w:name="_Toc242849963"/>
      <w:bookmarkStart w:id="890" w:name="_Toc26795"/>
      <w:bookmarkStart w:id="891" w:name="_Toc243218023"/>
      <w:r>
        <w:rPr>
          <w:rFonts w:eastAsia="宋体" w:cs="Times New Roman"/>
          <w:sz w:val="28"/>
          <w:szCs w:val="28"/>
          <w:lang w:val="zh-CN"/>
        </w:rPr>
        <w:t>7.6.3 跟踪监测和评估</w:t>
      </w:r>
      <w:bookmarkEnd w:id="877"/>
      <w:bookmarkEnd w:id="878"/>
      <w:bookmarkEnd w:id="879"/>
      <w:bookmarkEnd w:id="880"/>
      <w:bookmarkEnd w:id="881"/>
      <w:bookmarkEnd w:id="882"/>
      <w:bookmarkEnd w:id="883"/>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应急状态终止后，根据事故等级，由监测人员对事故现场及周边进行污染监测，确定现场有无污染物遗留。事故发生部门组织工人处理、分类或处置所收集的废物、被污染的土壤或地表水或其他材料，并确保不在被影响的区域进行任何与泄漏材料性质不相容的废物处理贮存活动。</w:t>
      </w:r>
    </w:p>
    <w:p>
      <w:pPr>
        <w:pStyle w:val="8"/>
        <w:spacing w:before="180" w:after="180"/>
        <w:rPr>
          <w:rFonts w:eastAsia="宋体" w:cs="Times New Roman"/>
          <w:sz w:val="28"/>
          <w:szCs w:val="28"/>
          <w:lang w:val="zh-CN"/>
        </w:rPr>
      </w:pPr>
      <w:bookmarkStart w:id="892" w:name="_Toc246"/>
      <w:bookmarkStart w:id="893" w:name="_Toc515435548"/>
      <w:bookmarkStart w:id="894" w:name="_Toc512693901"/>
      <w:bookmarkStart w:id="895" w:name="_Toc529542639"/>
      <w:bookmarkStart w:id="896" w:name="_Toc523160386"/>
      <w:bookmarkStart w:id="897" w:name="_Toc6275"/>
      <w:bookmarkStart w:id="898" w:name="_Toc132468851"/>
      <w:r>
        <w:rPr>
          <w:rFonts w:eastAsia="宋体" w:cs="Times New Roman"/>
          <w:sz w:val="28"/>
          <w:szCs w:val="28"/>
          <w:lang w:val="zh-CN"/>
        </w:rPr>
        <w:t>7.6.4 应急终止后的行动</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（1）查找事件原因，防止类似问题的重复出现；</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（2）编制重大、较大环境事件总结报告，于应急终止后上报；</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（3）根据事故处置的经验教训，对应急预案进行评估，并及时修订环境应急预案；</w:t>
      </w:r>
    </w:p>
    <w:p>
      <w:pPr>
        <w:adjustRightInd w:val="0"/>
        <w:snapToGrid w:val="0"/>
        <w:ind w:firstLine="482" w:firstLineChars="0"/>
        <w:rPr>
          <w:rFonts w:ascii="Times New Roman" w:hAnsi="Times New Roman" w:eastAsia="宋体" w:cs="Times New Roman"/>
          <w:szCs w:val="24"/>
        </w:rPr>
      </w:pPr>
      <w:r>
        <w:rPr>
          <w:rFonts w:ascii="Times New Roman" w:hAnsi="Times New Roman" w:eastAsia="宋体" w:cs="Times New Roman"/>
          <w:szCs w:val="24"/>
        </w:rPr>
        <w:t>（4）参加应急行动的部门负责组织、指导环境应急队伍维护、保养应急仪器设备，使之始终保持良好的技术状态。</w:t>
      </w:r>
    </w:p>
    <w:p>
      <w:pPr>
        <w:adjustRightInd w:val="0"/>
        <w:snapToGrid w:val="0"/>
        <w:ind w:firstLine="482" w:firstLineChars="0"/>
        <w:jc w:val="left"/>
        <w:rPr>
          <w:rFonts w:ascii="Times New Roman" w:hAnsi="Times New Roman" w:eastAsia="宋体" w:cs="Times New Roman"/>
          <w:szCs w:val="24"/>
        </w:rPr>
      </w:pPr>
      <w:r>
        <w:rPr>
          <w:rFonts w:ascii="Times New Roman" w:hAnsi="Times New Roman" w:eastAsia="宋体" w:cs="Times New Roman"/>
          <w:szCs w:val="24"/>
        </w:rPr>
        <w:t>（5）物资供应组应增补应急物资使之满足下次应急需要。</w:t>
      </w:r>
    </w:p>
    <w:p>
      <w:pPr>
        <w:adjustRightInd w:val="0"/>
        <w:snapToGrid w:val="0"/>
        <w:ind w:firstLine="482" w:firstLineChars="0"/>
        <w:jc w:val="left"/>
        <w:rPr>
          <w:rFonts w:ascii="Times New Roman" w:hAnsi="Times New Roman" w:eastAsia="宋体" w:cs="Times New Roman"/>
        </w:rPr>
      </w:pPr>
      <w:r>
        <w:rPr>
          <w:rFonts w:ascii="Times New Roman" w:hAnsi="Times New Roman" w:eastAsia="宋体" w:cs="Times New Roman"/>
          <w:szCs w:val="24"/>
        </w:rPr>
        <w:br w:type="page"/>
      </w:r>
    </w:p>
    <w:p>
      <w:pPr>
        <w:pStyle w:val="6"/>
        <w:spacing w:before="320" w:after="320"/>
        <w:rPr>
          <w:rFonts w:ascii="Times New Roman" w:hAnsi="Times New Roman" w:eastAsia="宋体" w:cs="Times New Roman"/>
          <w:sz w:val="32"/>
          <w:szCs w:val="32"/>
        </w:rPr>
      </w:pPr>
      <w:bookmarkStart w:id="899" w:name="_Toc523160387"/>
      <w:bookmarkStart w:id="900" w:name="_Toc32119"/>
      <w:bookmarkStart w:id="901" w:name="_Toc509234841"/>
      <w:bookmarkStart w:id="902" w:name="_Toc510164121"/>
      <w:bookmarkStart w:id="903" w:name="_Toc523160170"/>
      <w:bookmarkStart w:id="904" w:name="_Toc6841"/>
      <w:bookmarkStart w:id="905" w:name="_Toc529542640"/>
      <w:bookmarkStart w:id="906" w:name="_Toc132468852"/>
      <w:bookmarkStart w:id="907" w:name="_Toc510164504"/>
      <w:bookmarkStart w:id="908" w:name="_Toc510164341"/>
      <w:r>
        <w:rPr>
          <w:rFonts w:ascii="Times New Roman" w:hAnsi="Times New Roman" w:eastAsia="宋体" w:cs="Times New Roman"/>
          <w:sz w:val="32"/>
          <w:szCs w:val="32"/>
        </w:rPr>
        <w:t>8后期处置</w:t>
      </w:r>
      <w:bookmarkEnd w:id="899"/>
      <w:bookmarkEnd w:id="900"/>
      <w:bookmarkEnd w:id="901"/>
      <w:bookmarkEnd w:id="902"/>
      <w:bookmarkEnd w:id="903"/>
      <w:bookmarkEnd w:id="904"/>
      <w:bookmarkEnd w:id="905"/>
      <w:bookmarkEnd w:id="906"/>
      <w:bookmarkEnd w:id="907"/>
      <w:bookmarkEnd w:id="908"/>
    </w:p>
    <w:p>
      <w:pPr>
        <w:pStyle w:val="7"/>
        <w:spacing w:before="260" w:after="260"/>
        <w:rPr>
          <w:rFonts w:ascii="Times New Roman" w:hAnsi="Times New Roman" w:eastAsia="宋体" w:cs="Times New Roman"/>
          <w:sz w:val="30"/>
          <w:szCs w:val="30"/>
        </w:rPr>
      </w:pPr>
      <w:bookmarkStart w:id="909" w:name="_Toc523160388"/>
      <w:bookmarkStart w:id="910" w:name="_Toc19368"/>
      <w:bookmarkStart w:id="911" w:name="_Toc509234842"/>
      <w:bookmarkStart w:id="912" w:name="_Toc510164505"/>
      <w:bookmarkStart w:id="913" w:name="_Toc510164122"/>
      <w:bookmarkStart w:id="914" w:name="_Toc510164342"/>
      <w:bookmarkStart w:id="915" w:name="_Toc523160171"/>
      <w:bookmarkStart w:id="916" w:name="_Toc529542641"/>
      <w:bookmarkStart w:id="917" w:name="_Toc132468853"/>
      <w:bookmarkStart w:id="918" w:name="_Toc30791"/>
      <w:r>
        <w:rPr>
          <w:rFonts w:ascii="Times New Roman" w:hAnsi="Times New Roman" w:eastAsia="宋体" w:cs="Times New Roman"/>
          <w:sz w:val="30"/>
          <w:szCs w:val="30"/>
        </w:rPr>
        <w:t>8.1善后处置与恢复重建</w:t>
      </w:r>
      <w:bookmarkEnd w:id="909"/>
      <w:bookmarkEnd w:id="910"/>
      <w:bookmarkEnd w:id="911"/>
      <w:bookmarkEnd w:id="912"/>
      <w:bookmarkEnd w:id="913"/>
      <w:bookmarkEnd w:id="914"/>
      <w:bookmarkEnd w:id="915"/>
      <w:bookmarkEnd w:id="916"/>
      <w:bookmarkEnd w:id="917"/>
      <w:bookmarkEnd w:id="918"/>
    </w:p>
    <w:p>
      <w:pPr>
        <w:pStyle w:val="8"/>
        <w:spacing w:before="180" w:after="180"/>
        <w:rPr>
          <w:rFonts w:eastAsia="宋体" w:cs="Times New Roman"/>
          <w:sz w:val="28"/>
          <w:szCs w:val="28"/>
        </w:rPr>
      </w:pPr>
      <w:bookmarkStart w:id="919" w:name="_Toc5715"/>
      <w:bookmarkStart w:id="920" w:name="_Toc132468854"/>
      <w:bookmarkStart w:id="921" w:name="_Toc523160389"/>
      <w:bookmarkStart w:id="922" w:name="_Toc5658"/>
      <w:bookmarkStart w:id="923" w:name="_Toc529542642"/>
      <w:bookmarkStart w:id="924" w:name="_Toc510164123"/>
      <w:bookmarkStart w:id="925" w:name="_Toc509234843"/>
      <w:r>
        <w:rPr>
          <w:rFonts w:eastAsia="宋体" w:cs="Times New Roman"/>
          <w:sz w:val="28"/>
          <w:szCs w:val="28"/>
        </w:rPr>
        <w:t>8.1.1善后处理措施</w:t>
      </w:r>
      <w:bookmarkEnd w:id="919"/>
      <w:bookmarkEnd w:id="920"/>
      <w:bookmarkEnd w:id="921"/>
      <w:bookmarkEnd w:id="922"/>
      <w:bookmarkEnd w:id="923"/>
      <w:bookmarkEnd w:id="924"/>
      <w:bookmarkEnd w:id="925"/>
    </w:p>
    <w:p>
      <w:pPr>
        <w:ind w:firstLine="480"/>
        <w:rPr>
          <w:rFonts w:ascii="Times New Roman" w:hAnsi="Times New Roman" w:eastAsia="宋体" w:cs="Times New Roman"/>
          <w:szCs w:val="24"/>
        </w:rPr>
      </w:pPr>
      <w:r>
        <w:rPr>
          <w:rFonts w:ascii="Times New Roman" w:hAnsi="Times New Roman" w:eastAsia="宋体" w:cs="Times New Roman"/>
          <w:szCs w:val="24"/>
        </w:rPr>
        <w:t>（1）信息发布</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各部门及时将事故的进展情况报告，突发环境事件应急指挥部负责各种应急救援信息的发布，当应急救援工作结束后，负责通过新闻媒体或其他途径宣布应急结束。所有发布的信息应遵循实事求是、及时准确的原则。</w:t>
      </w:r>
    </w:p>
    <w:p>
      <w:pPr>
        <w:ind w:firstLine="480"/>
        <w:rPr>
          <w:rFonts w:ascii="Times New Roman" w:hAnsi="Times New Roman" w:eastAsia="宋体" w:cs="Times New Roman"/>
        </w:rPr>
      </w:pPr>
      <w:bookmarkStart w:id="926" w:name="_Toc510164124"/>
      <w:r>
        <w:rPr>
          <w:rFonts w:ascii="Times New Roman" w:hAnsi="Times New Roman" w:eastAsia="宋体" w:cs="Times New Roman"/>
        </w:rPr>
        <w:t>（2）后期处置</w:t>
      </w:r>
      <w:bookmarkEnd w:id="926"/>
    </w:p>
    <w:p>
      <w:pPr>
        <w:ind w:firstLine="480"/>
        <w:rPr>
          <w:rFonts w:ascii="Times New Roman" w:hAnsi="Times New Roman" w:eastAsia="宋体" w:cs="Times New Roman"/>
        </w:rPr>
      </w:pPr>
      <w:r>
        <w:rPr>
          <w:rFonts w:ascii="Times New Roman" w:hAnsi="Times New Roman" w:eastAsia="宋体" w:cs="Times New Roman"/>
        </w:rPr>
        <w:t>应急救援工作结束后，由本公司或上级部门负责事故的善后处置工作，包括人员救治、补偿，征用物资补偿，污染物收集，现场清理与处理，尽快消除事故影响，尽快恢复正常秩序。</w:t>
      </w:r>
    </w:p>
    <w:p>
      <w:pPr>
        <w:ind w:firstLine="480"/>
        <w:rPr>
          <w:rFonts w:ascii="Times New Roman" w:hAnsi="Times New Roman" w:eastAsia="宋体" w:cs="Times New Roman"/>
        </w:rPr>
      </w:pPr>
      <w:bookmarkStart w:id="927" w:name="_Toc510164125"/>
      <w:r>
        <w:rPr>
          <w:rFonts w:ascii="Times New Roman" w:hAnsi="Times New Roman" w:eastAsia="宋体" w:cs="Times New Roman"/>
        </w:rPr>
        <w:t>（3）资料保存</w:t>
      </w:r>
      <w:bookmarkEnd w:id="927"/>
    </w:p>
    <w:p>
      <w:pPr>
        <w:ind w:firstLine="480"/>
        <w:rPr>
          <w:rFonts w:ascii="Times New Roman" w:hAnsi="Times New Roman" w:eastAsia="宋体" w:cs="Times New Roman"/>
        </w:rPr>
      </w:pPr>
      <w:r>
        <w:rPr>
          <w:rFonts w:ascii="Times New Roman" w:hAnsi="Times New Roman" w:eastAsia="宋体" w:cs="Times New Roman"/>
        </w:rPr>
        <w:t>将事故处理过程中视频资料、实物、事故发生前后的操作记录以及有价值的线索进行收集、整理、保存，以备后用。</w:t>
      </w:r>
    </w:p>
    <w:p>
      <w:pPr>
        <w:ind w:firstLine="480"/>
        <w:rPr>
          <w:rFonts w:ascii="Times New Roman" w:hAnsi="Times New Roman" w:eastAsia="宋体" w:cs="Times New Roman"/>
        </w:rPr>
      </w:pPr>
      <w:bookmarkStart w:id="928" w:name="_Toc510164126"/>
      <w:r>
        <w:rPr>
          <w:rFonts w:ascii="Times New Roman" w:hAnsi="Times New Roman" w:eastAsia="宋体" w:cs="Times New Roman"/>
        </w:rPr>
        <w:t>（4）灾后安置和赔偿</w:t>
      </w:r>
      <w:bookmarkEnd w:id="928"/>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对于受灾人员由公司行政部统一进行安置，对于受伤人员除应得的工伤社会保险外，公司还将按照受害者的受伤程度给予受害者和死亡者家属一次性赔偿。对重伤者和死亡者家属按以下原则进行赔偿：</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①过错责任赔偿原则。根据受害者和公司在事故中的责任大小进行赔偿。</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②伤害程度原则。根据受害者在事故中受到伤害的程度进行赔偿。</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③一次性给付赔偿原则。按照当地统计局公布的上年度职工平均收入为基数计算赔偿数额并以此性给付。</w:t>
      </w:r>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t>④多重赔偿同时实施原则。事故受害者除根据《工伤保险条例》得到工伤补偿外，公司还将向受到事故伤害的受害者或家属赔付赔偿金。</w:t>
      </w:r>
    </w:p>
    <w:p>
      <w:pPr>
        <w:pStyle w:val="8"/>
        <w:spacing w:before="180" w:after="180"/>
        <w:rPr>
          <w:rFonts w:eastAsia="宋体" w:cs="Times New Roman"/>
          <w:sz w:val="28"/>
          <w:szCs w:val="28"/>
        </w:rPr>
      </w:pPr>
      <w:bookmarkStart w:id="929" w:name="_Toc509234844"/>
      <w:bookmarkStart w:id="930" w:name="_Toc529542643"/>
      <w:bookmarkStart w:id="931" w:name="_Toc21300"/>
      <w:bookmarkStart w:id="932" w:name="_Toc510164127"/>
      <w:bookmarkStart w:id="933" w:name="_Toc523160390"/>
      <w:bookmarkStart w:id="934" w:name="_Toc132468855"/>
      <w:bookmarkStart w:id="935" w:name="_Toc12905"/>
      <w:r>
        <w:rPr>
          <w:rFonts w:eastAsia="宋体" w:cs="Times New Roman"/>
          <w:sz w:val="28"/>
          <w:szCs w:val="28"/>
        </w:rPr>
        <w:t>8.1.2事件现场保护措施</w:t>
      </w:r>
      <w:bookmarkEnd w:id="929"/>
      <w:bookmarkEnd w:id="930"/>
      <w:bookmarkEnd w:id="931"/>
      <w:bookmarkEnd w:id="932"/>
      <w:bookmarkEnd w:id="933"/>
      <w:bookmarkEnd w:id="934"/>
      <w:bookmarkEnd w:id="935"/>
    </w:p>
    <w:p>
      <w:pPr>
        <w:ind w:firstLine="480"/>
        <w:rPr>
          <w:rFonts w:ascii="Times New Roman" w:hAnsi="Times New Roman" w:eastAsia="宋体" w:cs="Times New Roman"/>
          <w:szCs w:val="24"/>
        </w:rPr>
      </w:pPr>
      <w:r>
        <w:rPr>
          <w:rFonts w:ascii="Times New Roman" w:hAnsi="Times New Roman" w:eastAsia="宋体" w:cs="Times New Roman"/>
          <w:szCs w:val="24"/>
        </w:rPr>
        <w:t>事故得到控制后要尽可能的对事故现场进行保护，避免非工作人员破坏事故现场，影响正常生产恢复，以利于事故原因的调查和事故责任的落实。要做好以下两点：</w:t>
      </w:r>
    </w:p>
    <w:p>
      <w:pPr>
        <w:autoSpaceDE w:val="0"/>
        <w:autoSpaceDN w:val="0"/>
        <w:adjustRightInd w:val="0"/>
        <w:ind w:firstLine="439" w:firstLineChars="183"/>
        <w:jc w:val="left"/>
        <w:rPr>
          <w:rFonts w:ascii="Times New Roman" w:hAnsi="Times New Roman" w:eastAsia="宋体" w:cs="Times New Roman"/>
          <w:kern w:val="0"/>
          <w:szCs w:val="24"/>
        </w:rPr>
      </w:pPr>
      <w:r>
        <w:rPr>
          <w:rFonts w:ascii="Times New Roman" w:hAnsi="Times New Roman" w:eastAsia="宋体" w:cs="Times New Roman"/>
          <w:kern w:val="0"/>
          <w:szCs w:val="24"/>
        </w:rPr>
        <w:t>1）在事故地点或事故原因未完全确定以前，事故现场不能破坏或废除，也不准对无关人员开放，以保证获得正确的第一手资料，便于对事故原因的调查分析；</w:t>
      </w:r>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t>2）凡与事故有关的物体、痕迹和现场状况都不得破坏、移动或清洗。为抢救受伤人员需要移动现场某些物体时，必须对事故现场按原状做好标记。发生重大伤亡事故的现场，须经事故调查组同意，才能予以清理。</w:t>
      </w:r>
    </w:p>
    <w:p>
      <w:pPr>
        <w:pStyle w:val="8"/>
        <w:spacing w:before="180" w:after="180"/>
        <w:rPr>
          <w:rFonts w:eastAsia="宋体" w:cs="Times New Roman"/>
          <w:sz w:val="28"/>
          <w:szCs w:val="28"/>
        </w:rPr>
      </w:pPr>
      <w:bookmarkStart w:id="936" w:name="_Toc132468856"/>
      <w:bookmarkStart w:id="937" w:name="_Toc529542644"/>
      <w:bookmarkStart w:id="938" w:name="_Toc510164128"/>
      <w:bookmarkStart w:id="939" w:name="_Toc509234845"/>
      <w:bookmarkStart w:id="940" w:name="_Toc523160391"/>
      <w:bookmarkStart w:id="941" w:name="_Toc22120"/>
      <w:bookmarkStart w:id="942" w:name="_Toc27137"/>
      <w:r>
        <w:rPr>
          <w:rFonts w:eastAsia="宋体" w:cs="Times New Roman"/>
          <w:sz w:val="28"/>
          <w:szCs w:val="28"/>
        </w:rPr>
        <w:t>8.1.3事故现场净化</w:t>
      </w:r>
      <w:bookmarkEnd w:id="936"/>
      <w:bookmarkEnd w:id="937"/>
      <w:bookmarkEnd w:id="938"/>
      <w:bookmarkEnd w:id="939"/>
      <w:bookmarkEnd w:id="940"/>
      <w:bookmarkEnd w:id="941"/>
      <w:bookmarkEnd w:id="942"/>
    </w:p>
    <w:p>
      <w:pPr>
        <w:ind w:firstLine="480"/>
        <w:rPr>
          <w:rFonts w:ascii="Times New Roman" w:hAnsi="Times New Roman" w:eastAsia="宋体" w:cs="Times New Roman"/>
          <w:szCs w:val="24"/>
        </w:rPr>
      </w:pPr>
      <w:r>
        <w:rPr>
          <w:rFonts w:ascii="Times New Roman" w:hAnsi="Times New Roman" w:eastAsia="宋体" w:cs="Times New Roman"/>
          <w:szCs w:val="24"/>
        </w:rPr>
        <w:t>（1）现场净化的方式、方法</w:t>
      </w:r>
    </w:p>
    <w:p>
      <w:pPr>
        <w:ind w:firstLine="480"/>
        <w:rPr>
          <w:rFonts w:ascii="Times New Roman" w:hAnsi="Times New Roman" w:eastAsia="宋体" w:cs="Times New Roman"/>
          <w:szCs w:val="24"/>
        </w:rPr>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1 \* GB3 </w:instrText>
      </w:r>
      <w:r>
        <w:rPr>
          <w:rFonts w:ascii="Times New Roman" w:hAnsi="Times New Roman" w:eastAsia="宋体" w:cs="Times New Roman"/>
          <w:szCs w:val="24"/>
        </w:rPr>
        <w:fldChar w:fldCharType="separate"/>
      </w:r>
      <w:r>
        <w:rPr>
          <w:rFonts w:ascii="Times New Roman" w:hAnsi="Times New Roman" w:eastAsia="宋体" w:cs="Times New Roman"/>
          <w:szCs w:val="24"/>
        </w:rPr>
        <w:t>①</w:t>
      </w:r>
      <w:r>
        <w:rPr>
          <w:rFonts w:ascii="Times New Roman" w:hAnsi="Times New Roman" w:eastAsia="宋体" w:cs="Times New Roman"/>
          <w:szCs w:val="24"/>
        </w:rPr>
        <w:fldChar w:fldCharType="end"/>
      </w:r>
      <w:r>
        <w:rPr>
          <w:rFonts w:ascii="Times New Roman" w:hAnsi="Times New Roman" w:eastAsia="宋体" w:cs="Times New Roman"/>
          <w:szCs w:val="24"/>
        </w:rPr>
        <w:t>车间负责人安排人员对事故区进行清理，原则上从外到内、从上到下进行清理，轻拿轻放，不准出现推拉、硬拽、磕碰、摩擦等危险举动。</w:t>
      </w:r>
    </w:p>
    <w:p>
      <w:pPr>
        <w:ind w:firstLine="480"/>
        <w:rPr>
          <w:rFonts w:ascii="Times New Roman" w:hAnsi="Times New Roman" w:eastAsia="宋体" w:cs="Times New Roman"/>
          <w:szCs w:val="24"/>
        </w:rPr>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2 \* GB3 </w:instrText>
      </w:r>
      <w:r>
        <w:rPr>
          <w:rFonts w:ascii="Times New Roman" w:hAnsi="Times New Roman" w:eastAsia="宋体" w:cs="Times New Roman"/>
          <w:szCs w:val="24"/>
        </w:rPr>
        <w:fldChar w:fldCharType="separate"/>
      </w:r>
      <w:r>
        <w:rPr>
          <w:rFonts w:ascii="Times New Roman" w:hAnsi="Times New Roman" w:eastAsia="宋体" w:cs="Times New Roman"/>
          <w:szCs w:val="24"/>
        </w:rPr>
        <w:t>②</w:t>
      </w:r>
      <w:r>
        <w:rPr>
          <w:rFonts w:ascii="Times New Roman" w:hAnsi="Times New Roman" w:eastAsia="宋体" w:cs="Times New Roman"/>
          <w:szCs w:val="24"/>
        </w:rPr>
        <w:fldChar w:fldCharType="end"/>
      </w:r>
      <w:r>
        <w:rPr>
          <w:rFonts w:ascii="Times New Roman" w:hAnsi="Times New Roman" w:eastAsia="宋体" w:cs="Times New Roman"/>
          <w:szCs w:val="24"/>
        </w:rPr>
        <w:t>清理过程中注意衍生事故隐患，发现可疑现象立即停止清理并及时上报。</w:t>
      </w:r>
    </w:p>
    <w:p>
      <w:pPr>
        <w:ind w:firstLine="480"/>
        <w:rPr>
          <w:rFonts w:ascii="Times New Roman" w:hAnsi="Times New Roman" w:eastAsia="宋体" w:cs="Times New Roman"/>
          <w:szCs w:val="24"/>
        </w:rPr>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3 \* GB3 </w:instrText>
      </w:r>
      <w:r>
        <w:rPr>
          <w:rFonts w:ascii="Times New Roman" w:hAnsi="Times New Roman" w:eastAsia="宋体" w:cs="Times New Roman"/>
          <w:szCs w:val="24"/>
        </w:rPr>
        <w:fldChar w:fldCharType="separate"/>
      </w:r>
      <w:r>
        <w:rPr>
          <w:rFonts w:ascii="Times New Roman" w:hAnsi="Times New Roman" w:eastAsia="宋体" w:cs="Times New Roman"/>
          <w:szCs w:val="24"/>
        </w:rPr>
        <w:t>③</w:t>
      </w:r>
      <w:r>
        <w:rPr>
          <w:rFonts w:ascii="Times New Roman" w:hAnsi="Times New Roman" w:eastAsia="宋体" w:cs="Times New Roman"/>
          <w:szCs w:val="24"/>
        </w:rPr>
        <w:fldChar w:fldCharType="end"/>
      </w:r>
      <w:r>
        <w:rPr>
          <w:rFonts w:ascii="Times New Roman" w:hAnsi="Times New Roman" w:eastAsia="宋体" w:cs="Times New Roman"/>
          <w:szCs w:val="24"/>
        </w:rPr>
        <w:t>各人员重点加强对泄漏部位或防火部位的监控，对可能引发泄漏或火灾事故的信息应及时警戒并向上汇报，不得擅自处理。</w:t>
      </w:r>
    </w:p>
    <w:p>
      <w:pPr>
        <w:ind w:firstLine="480"/>
        <w:rPr>
          <w:rFonts w:ascii="Times New Roman" w:hAnsi="Times New Roman" w:eastAsia="宋体" w:cs="Times New Roman"/>
          <w:szCs w:val="24"/>
        </w:rPr>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4 \* GB3 </w:instrText>
      </w:r>
      <w:r>
        <w:rPr>
          <w:rFonts w:ascii="Times New Roman" w:hAnsi="Times New Roman" w:eastAsia="宋体" w:cs="Times New Roman"/>
          <w:szCs w:val="24"/>
        </w:rPr>
        <w:fldChar w:fldCharType="separate"/>
      </w:r>
      <w:r>
        <w:rPr>
          <w:rFonts w:ascii="Times New Roman" w:hAnsi="Times New Roman" w:eastAsia="宋体" w:cs="Times New Roman"/>
          <w:szCs w:val="24"/>
        </w:rPr>
        <w:t>④</w:t>
      </w:r>
      <w:r>
        <w:rPr>
          <w:rFonts w:ascii="Times New Roman" w:hAnsi="Times New Roman" w:eastAsia="宋体" w:cs="Times New Roman"/>
          <w:szCs w:val="24"/>
        </w:rPr>
        <w:fldChar w:fldCharType="end"/>
      </w:r>
      <w:r>
        <w:rPr>
          <w:rFonts w:ascii="Times New Roman" w:hAnsi="Times New Roman" w:eastAsia="宋体" w:cs="Times New Roman"/>
          <w:szCs w:val="24"/>
        </w:rPr>
        <w:t>各疏散通道确保畅通无阻。</w:t>
      </w:r>
    </w:p>
    <w:p>
      <w:pPr>
        <w:ind w:firstLine="480"/>
        <w:rPr>
          <w:rFonts w:ascii="Times New Roman" w:hAnsi="Times New Roman" w:eastAsia="宋体" w:cs="Times New Roman"/>
          <w:szCs w:val="24"/>
        </w:rPr>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5 \* GB3 </w:instrText>
      </w:r>
      <w:r>
        <w:rPr>
          <w:rFonts w:ascii="Times New Roman" w:hAnsi="Times New Roman" w:eastAsia="宋体" w:cs="Times New Roman"/>
          <w:szCs w:val="24"/>
        </w:rPr>
        <w:fldChar w:fldCharType="separate"/>
      </w:r>
      <w:r>
        <w:rPr>
          <w:rFonts w:ascii="Times New Roman" w:hAnsi="Times New Roman" w:eastAsia="宋体" w:cs="Times New Roman"/>
          <w:szCs w:val="24"/>
        </w:rPr>
        <w:t>⑤</w:t>
      </w:r>
      <w:r>
        <w:rPr>
          <w:rFonts w:ascii="Times New Roman" w:hAnsi="Times New Roman" w:eastAsia="宋体" w:cs="Times New Roman"/>
          <w:szCs w:val="24"/>
        </w:rPr>
        <w:fldChar w:fldCharType="end"/>
      </w:r>
      <w:r>
        <w:rPr>
          <w:rFonts w:ascii="Times New Roman" w:hAnsi="Times New Roman" w:eastAsia="宋体" w:cs="Times New Roman"/>
          <w:szCs w:val="24"/>
        </w:rPr>
        <w:t>作业前，安环部及安环部负责人要对员工进行安全作业宣讲。</w:t>
      </w:r>
    </w:p>
    <w:p>
      <w:pPr>
        <w:ind w:firstLine="480"/>
        <w:rPr>
          <w:rFonts w:ascii="Times New Roman" w:hAnsi="Times New Roman" w:eastAsia="宋体" w:cs="Times New Roman"/>
          <w:szCs w:val="24"/>
        </w:rPr>
      </w:pPr>
      <w:r>
        <w:rPr>
          <w:rFonts w:ascii="Times New Roman" w:hAnsi="Times New Roman" w:eastAsia="宋体" w:cs="Times New Roman"/>
          <w:szCs w:val="24"/>
        </w:rPr>
        <w:t>（2）现场清理组织</w:t>
      </w:r>
    </w:p>
    <w:p>
      <w:pPr>
        <w:ind w:firstLine="480"/>
        <w:rPr>
          <w:rFonts w:ascii="Times New Roman" w:hAnsi="Times New Roman" w:eastAsia="宋体" w:cs="Times New Roman"/>
          <w:sz w:val="23"/>
          <w:szCs w:val="23"/>
        </w:rPr>
      </w:pPr>
      <w:r>
        <w:rPr>
          <w:rFonts w:ascii="Times New Roman" w:hAnsi="Times New Roman" w:eastAsia="宋体" w:cs="Times New Roman"/>
          <w:szCs w:val="24"/>
        </w:rPr>
        <w:t>清理措施由应急救援“指挥领导小组”研究批准后，由事故车间主管领导负责组织本车间人员及消防组、抢救救灾组参与进行现场净化，安保部监督落实。</w:t>
      </w:r>
    </w:p>
    <w:p>
      <w:pPr>
        <w:pStyle w:val="8"/>
        <w:spacing w:before="180" w:after="180"/>
        <w:rPr>
          <w:rFonts w:eastAsia="宋体" w:cs="Times New Roman"/>
          <w:sz w:val="28"/>
          <w:szCs w:val="28"/>
        </w:rPr>
      </w:pPr>
      <w:bookmarkStart w:id="943" w:name="_Toc529542645"/>
      <w:bookmarkStart w:id="944" w:name="_Toc132468857"/>
      <w:bookmarkStart w:id="945" w:name="_Toc12500"/>
      <w:bookmarkStart w:id="946" w:name="_Toc523160392"/>
      <w:bookmarkStart w:id="947" w:name="_Toc509234846"/>
      <w:bookmarkStart w:id="948" w:name="_Toc510164129"/>
      <w:bookmarkStart w:id="949" w:name="_Toc4349"/>
      <w:r>
        <w:rPr>
          <w:rFonts w:eastAsia="宋体" w:cs="Times New Roman"/>
          <w:sz w:val="28"/>
          <w:szCs w:val="28"/>
        </w:rPr>
        <w:t>8.1.4二次污染处理</w:t>
      </w:r>
      <w:bookmarkEnd w:id="943"/>
      <w:bookmarkEnd w:id="944"/>
      <w:bookmarkEnd w:id="945"/>
      <w:bookmarkEnd w:id="946"/>
      <w:bookmarkEnd w:id="947"/>
      <w:bookmarkEnd w:id="948"/>
      <w:bookmarkEnd w:id="949"/>
    </w:p>
    <w:p>
      <w:pPr>
        <w:ind w:firstLine="480"/>
        <w:rPr>
          <w:rFonts w:ascii="Times New Roman" w:hAnsi="Times New Roman" w:eastAsia="宋体" w:cs="Times New Roman"/>
          <w:szCs w:val="24"/>
        </w:rPr>
      </w:pPr>
      <w:r>
        <w:rPr>
          <w:rFonts w:ascii="Times New Roman" w:hAnsi="Times New Roman" w:eastAsia="宋体" w:cs="Times New Roman"/>
          <w:szCs w:val="24"/>
        </w:rPr>
        <w:t>消防过程中产生的消防废水，通过构建围堰、围坎、截留沟等方式收集至事故应急池（中，及时对消防废水调配处理达标后排至赤壁市城东污水处理厂处理。</w:t>
      </w:r>
    </w:p>
    <w:p>
      <w:pPr>
        <w:pStyle w:val="8"/>
        <w:spacing w:before="180" w:after="180"/>
        <w:rPr>
          <w:rFonts w:eastAsia="宋体" w:cs="Times New Roman"/>
          <w:sz w:val="28"/>
          <w:szCs w:val="28"/>
        </w:rPr>
      </w:pPr>
      <w:bookmarkStart w:id="950" w:name="_Toc523160393"/>
      <w:bookmarkStart w:id="951" w:name="_Toc196"/>
      <w:bookmarkStart w:id="952" w:name="_Toc510164130"/>
      <w:bookmarkStart w:id="953" w:name="_Toc6353"/>
      <w:bookmarkStart w:id="954" w:name="_Toc529542646"/>
      <w:bookmarkStart w:id="955" w:name="_Toc132468858"/>
      <w:r>
        <w:rPr>
          <w:rFonts w:eastAsia="宋体" w:cs="Times New Roman"/>
          <w:sz w:val="28"/>
          <w:szCs w:val="28"/>
        </w:rPr>
        <w:t>8.1.5环境恢复与重建工作</w:t>
      </w:r>
      <w:bookmarkEnd w:id="950"/>
      <w:bookmarkEnd w:id="951"/>
      <w:bookmarkEnd w:id="952"/>
      <w:bookmarkEnd w:id="953"/>
      <w:bookmarkEnd w:id="954"/>
      <w:bookmarkEnd w:id="955"/>
    </w:p>
    <w:p>
      <w:pPr>
        <w:ind w:firstLine="480"/>
        <w:rPr>
          <w:rFonts w:ascii="Times New Roman" w:hAnsi="Times New Roman" w:eastAsia="宋体" w:cs="Times New Roman"/>
          <w:szCs w:val="24"/>
        </w:rPr>
      </w:pPr>
      <w:r>
        <w:rPr>
          <w:rFonts w:ascii="Times New Roman" w:hAnsi="Times New Roman" w:eastAsia="宋体" w:cs="Times New Roman"/>
          <w:szCs w:val="24"/>
        </w:rPr>
        <w:t>灾后及时对事故废水调配处理，达标后外送至污水处理厂处理；受污染的土壤要进行防渗、防流失、妥善处理、恢复；对于受损的设备要及时恢复，保证绿化面积和成活率。</w:t>
      </w:r>
    </w:p>
    <w:p>
      <w:pPr>
        <w:pStyle w:val="7"/>
        <w:spacing w:before="260" w:after="260"/>
        <w:rPr>
          <w:rFonts w:ascii="Times New Roman" w:hAnsi="Times New Roman" w:eastAsia="宋体" w:cs="Times New Roman"/>
          <w:sz w:val="30"/>
          <w:szCs w:val="30"/>
        </w:rPr>
      </w:pPr>
      <w:bookmarkStart w:id="956" w:name="_Toc510164131"/>
      <w:bookmarkStart w:id="957" w:name="_Toc510164506"/>
      <w:bookmarkStart w:id="958" w:name="_Toc509234847"/>
      <w:bookmarkStart w:id="959" w:name="_Toc523160394"/>
      <w:bookmarkStart w:id="960" w:name="_Toc3631"/>
      <w:bookmarkStart w:id="961" w:name="_Toc529542647"/>
      <w:bookmarkStart w:id="962" w:name="_Toc523160172"/>
      <w:bookmarkStart w:id="963" w:name="_Toc132468859"/>
      <w:bookmarkStart w:id="964" w:name="_Toc7180"/>
      <w:bookmarkStart w:id="965" w:name="_Toc510164343"/>
      <w:r>
        <w:rPr>
          <w:rFonts w:ascii="Times New Roman" w:hAnsi="Times New Roman" w:eastAsia="宋体" w:cs="Times New Roman"/>
          <w:sz w:val="30"/>
          <w:szCs w:val="30"/>
        </w:rPr>
        <w:t>8.2调查与评估</w:t>
      </w:r>
      <w:bookmarkEnd w:id="956"/>
      <w:bookmarkEnd w:id="957"/>
      <w:bookmarkEnd w:id="958"/>
      <w:bookmarkEnd w:id="959"/>
      <w:bookmarkEnd w:id="960"/>
      <w:bookmarkEnd w:id="961"/>
      <w:bookmarkEnd w:id="962"/>
      <w:bookmarkEnd w:id="963"/>
      <w:bookmarkEnd w:id="964"/>
      <w:bookmarkEnd w:id="965"/>
    </w:p>
    <w:p>
      <w:pPr>
        <w:ind w:firstLine="480"/>
        <w:rPr>
          <w:rFonts w:ascii="Times New Roman" w:hAnsi="Times New Roman" w:eastAsia="宋体" w:cs="Times New Roman"/>
          <w:szCs w:val="24"/>
        </w:rPr>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1 \* GB3 </w:instrText>
      </w:r>
      <w:r>
        <w:rPr>
          <w:rFonts w:ascii="Times New Roman" w:hAnsi="Times New Roman" w:eastAsia="宋体" w:cs="Times New Roman"/>
          <w:szCs w:val="24"/>
        </w:rPr>
        <w:fldChar w:fldCharType="separate"/>
      </w:r>
      <w:r>
        <w:rPr>
          <w:rFonts w:ascii="Times New Roman" w:hAnsi="Times New Roman" w:eastAsia="宋体" w:cs="Times New Roman"/>
          <w:szCs w:val="24"/>
        </w:rPr>
        <w:t>①</w:t>
      </w:r>
      <w:r>
        <w:rPr>
          <w:rFonts w:ascii="Times New Roman" w:hAnsi="Times New Roman" w:eastAsia="宋体" w:cs="Times New Roman"/>
          <w:szCs w:val="24"/>
        </w:rPr>
        <w:fldChar w:fldCharType="end"/>
      </w:r>
      <w:r>
        <w:rPr>
          <w:rFonts w:ascii="Times New Roman" w:hAnsi="Times New Roman" w:eastAsia="宋体" w:cs="Times New Roman"/>
          <w:szCs w:val="24"/>
        </w:rPr>
        <w:t>事故发生后，应根据事故的级别及时成立事故调查小组，对事故发生的原因进行调查和分析。安环部负责收集有关资料并存档。</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fldChar w:fldCharType="begin"/>
      </w:r>
      <w:r>
        <w:rPr>
          <w:rFonts w:ascii="Times New Roman" w:hAnsi="Times New Roman" w:eastAsia="宋体" w:cs="Times New Roman"/>
          <w:kern w:val="0"/>
          <w:szCs w:val="24"/>
        </w:rPr>
        <w:instrText xml:space="preserve"> = 2 \* GB3 </w:instrText>
      </w:r>
      <w:r>
        <w:rPr>
          <w:rFonts w:ascii="Times New Roman" w:hAnsi="Times New Roman" w:eastAsia="宋体" w:cs="Times New Roman"/>
          <w:kern w:val="0"/>
          <w:szCs w:val="24"/>
        </w:rPr>
        <w:fldChar w:fldCharType="separate"/>
      </w:r>
      <w:r>
        <w:rPr>
          <w:rFonts w:ascii="Times New Roman" w:hAnsi="Times New Roman" w:eastAsia="宋体" w:cs="Times New Roman"/>
          <w:kern w:val="0"/>
          <w:szCs w:val="24"/>
        </w:rPr>
        <w:t>②</w:t>
      </w:r>
      <w:r>
        <w:rPr>
          <w:rFonts w:ascii="Times New Roman" w:hAnsi="Times New Roman" w:eastAsia="宋体" w:cs="Times New Roman"/>
          <w:kern w:val="0"/>
          <w:szCs w:val="24"/>
        </w:rPr>
        <w:fldChar w:fldCharType="end"/>
      </w:r>
      <w:r>
        <w:rPr>
          <w:rFonts w:ascii="Times New Roman" w:hAnsi="Times New Roman" w:eastAsia="宋体" w:cs="Times New Roman"/>
          <w:kern w:val="0"/>
          <w:szCs w:val="24"/>
        </w:rPr>
        <w:t>事故调查小组应积极配合上级事故调查组开展事故调查工作，任何组织或个人不得阻挠。</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fldChar w:fldCharType="begin"/>
      </w:r>
      <w:r>
        <w:rPr>
          <w:rFonts w:ascii="Times New Roman" w:hAnsi="Times New Roman" w:eastAsia="宋体" w:cs="Times New Roman"/>
          <w:kern w:val="0"/>
          <w:szCs w:val="24"/>
        </w:rPr>
        <w:instrText xml:space="preserve"> = 3 \* GB3 </w:instrText>
      </w:r>
      <w:r>
        <w:rPr>
          <w:rFonts w:ascii="Times New Roman" w:hAnsi="Times New Roman" w:eastAsia="宋体" w:cs="Times New Roman"/>
          <w:kern w:val="0"/>
          <w:szCs w:val="24"/>
        </w:rPr>
        <w:fldChar w:fldCharType="separate"/>
      </w:r>
      <w:r>
        <w:rPr>
          <w:rFonts w:ascii="Times New Roman" w:hAnsi="Times New Roman" w:eastAsia="宋体" w:cs="Times New Roman"/>
          <w:kern w:val="0"/>
          <w:szCs w:val="24"/>
        </w:rPr>
        <w:t>③</w:t>
      </w:r>
      <w:r>
        <w:rPr>
          <w:rFonts w:ascii="Times New Roman" w:hAnsi="Times New Roman" w:eastAsia="宋体" w:cs="Times New Roman"/>
          <w:kern w:val="0"/>
          <w:szCs w:val="24"/>
        </w:rPr>
        <w:fldChar w:fldCharType="end"/>
      </w:r>
      <w:r>
        <w:rPr>
          <w:rFonts w:ascii="Times New Roman" w:hAnsi="Times New Roman" w:eastAsia="宋体" w:cs="Times New Roman"/>
          <w:kern w:val="0"/>
          <w:szCs w:val="24"/>
        </w:rPr>
        <w:t>事故调查清楚后，事故调查小组应及时写出事故调查报告报事故应急领导小组。</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fldChar w:fldCharType="begin"/>
      </w:r>
      <w:r>
        <w:rPr>
          <w:rFonts w:ascii="Times New Roman" w:hAnsi="Times New Roman" w:eastAsia="宋体" w:cs="Times New Roman"/>
          <w:kern w:val="0"/>
          <w:szCs w:val="24"/>
        </w:rPr>
        <w:instrText xml:space="preserve"> = 4 \* GB3 </w:instrText>
      </w:r>
      <w:r>
        <w:rPr>
          <w:rFonts w:ascii="Times New Roman" w:hAnsi="Times New Roman" w:eastAsia="宋体" w:cs="Times New Roman"/>
          <w:kern w:val="0"/>
          <w:szCs w:val="24"/>
        </w:rPr>
        <w:fldChar w:fldCharType="separate"/>
      </w:r>
      <w:r>
        <w:rPr>
          <w:rFonts w:ascii="Times New Roman" w:hAnsi="Times New Roman" w:eastAsia="宋体" w:cs="Times New Roman"/>
          <w:kern w:val="0"/>
          <w:szCs w:val="24"/>
        </w:rPr>
        <w:t>④</w:t>
      </w:r>
      <w:r>
        <w:rPr>
          <w:rFonts w:ascii="Times New Roman" w:hAnsi="Times New Roman" w:eastAsia="宋体" w:cs="Times New Roman"/>
          <w:kern w:val="0"/>
          <w:szCs w:val="24"/>
        </w:rPr>
        <w:fldChar w:fldCharType="end"/>
      </w:r>
      <w:r>
        <w:rPr>
          <w:rFonts w:ascii="Times New Roman" w:hAnsi="Times New Roman" w:eastAsia="宋体" w:cs="Times New Roman"/>
          <w:kern w:val="0"/>
          <w:szCs w:val="24"/>
        </w:rPr>
        <w:t>根据事故调查报告，事故应急领导小组，应及时按照事故“四不放过”的原则，进行处理。</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fldChar w:fldCharType="begin"/>
      </w:r>
      <w:r>
        <w:rPr>
          <w:rFonts w:ascii="Times New Roman" w:hAnsi="Times New Roman" w:eastAsia="宋体" w:cs="Times New Roman"/>
          <w:kern w:val="0"/>
          <w:szCs w:val="24"/>
        </w:rPr>
        <w:instrText xml:space="preserve"> = 5 \* GB3 </w:instrText>
      </w:r>
      <w:r>
        <w:rPr>
          <w:rFonts w:ascii="Times New Roman" w:hAnsi="Times New Roman" w:eastAsia="宋体" w:cs="Times New Roman"/>
          <w:kern w:val="0"/>
          <w:szCs w:val="24"/>
        </w:rPr>
        <w:fldChar w:fldCharType="separate"/>
      </w:r>
      <w:r>
        <w:rPr>
          <w:rFonts w:ascii="Times New Roman" w:hAnsi="Times New Roman" w:eastAsia="宋体" w:cs="Times New Roman"/>
          <w:kern w:val="0"/>
          <w:szCs w:val="24"/>
        </w:rPr>
        <w:t>⑤</w:t>
      </w:r>
      <w:r>
        <w:rPr>
          <w:rFonts w:ascii="Times New Roman" w:hAnsi="Times New Roman" w:eastAsia="宋体" w:cs="Times New Roman"/>
          <w:kern w:val="0"/>
          <w:szCs w:val="24"/>
        </w:rPr>
        <w:fldChar w:fldCharType="end"/>
      </w:r>
      <w:r>
        <w:rPr>
          <w:rFonts w:ascii="Times New Roman" w:hAnsi="Times New Roman" w:eastAsia="宋体" w:cs="Times New Roman"/>
          <w:kern w:val="0"/>
          <w:szCs w:val="24"/>
        </w:rPr>
        <w:t>突发环境事件应急救援结束后，应急指挥部分析总结应急救援经验教训，提出改进应急救援工作的建议，对应急预案进行评审及抢救过程应急能力评估，并就有关内容进行补充和完善。</w:t>
      </w:r>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fldChar w:fldCharType="begin"/>
      </w:r>
      <w:r>
        <w:rPr>
          <w:rFonts w:ascii="Times New Roman" w:hAnsi="Times New Roman" w:eastAsia="宋体" w:cs="Times New Roman"/>
          <w:kern w:val="0"/>
          <w:szCs w:val="24"/>
        </w:rPr>
        <w:instrText xml:space="preserve"> = 6 \* GB3 </w:instrText>
      </w:r>
      <w:r>
        <w:rPr>
          <w:rFonts w:ascii="Times New Roman" w:hAnsi="Times New Roman" w:eastAsia="宋体" w:cs="Times New Roman"/>
          <w:kern w:val="0"/>
          <w:szCs w:val="24"/>
        </w:rPr>
        <w:fldChar w:fldCharType="separate"/>
      </w:r>
      <w:r>
        <w:rPr>
          <w:rFonts w:ascii="Times New Roman" w:hAnsi="Times New Roman" w:eastAsia="宋体" w:cs="Times New Roman"/>
          <w:kern w:val="0"/>
          <w:szCs w:val="24"/>
        </w:rPr>
        <w:t>⑥</w:t>
      </w:r>
      <w:r>
        <w:rPr>
          <w:rFonts w:ascii="Times New Roman" w:hAnsi="Times New Roman" w:eastAsia="宋体" w:cs="Times New Roman"/>
          <w:kern w:val="0"/>
          <w:szCs w:val="24"/>
        </w:rPr>
        <w:fldChar w:fldCharType="end"/>
      </w:r>
      <w:r>
        <w:rPr>
          <w:rFonts w:ascii="Times New Roman" w:hAnsi="Times New Roman" w:eastAsia="宋体" w:cs="Times New Roman"/>
          <w:kern w:val="0"/>
          <w:szCs w:val="24"/>
        </w:rPr>
        <w:t>经事故调查报告批复后应根据事故调查报告对事故责任人的处理和事故防范措施积极落实，立即进行生产秩序恢复前的污染物处理、必要设备设施的抢修、人员情绪的安抚。</w:t>
      </w:r>
    </w:p>
    <w:p>
      <w:pPr>
        <w:ind w:firstLine="0" w:firstLineChars="0"/>
        <w:rPr>
          <w:rFonts w:ascii="Times New Roman" w:hAnsi="Times New Roman" w:eastAsia="宋体" w:cs="Times New Roman"/>
          <w:kern w:val="0"/>
          <w:szCs w:val="24"/>
        </w:rPr>
      </w:pPr>
    </w:p>
    <w:p>
      <w:pPr>
        <w:ind w:firstLine="0" w:firstLineChars="0"/>
        <w:rPr>
          <w:rFonts w:ascii="Times New Roman" w:hAnsi="Times New Roman" w:eastAsia="宋体" w:cs="Times New Roman"/>
          <w:kern w:val="0"/>
          <w:szCs w:val="24"/>
        </w:rPr>
        <w:sectPr>
          <w:footerReference r:id="rId19" w:type="default"/>
          <w:pgSz w:w="11906" w:h="16838"/>
          <w:pgMar w:top="1440" w:right="1080" w:bottom="1440" w:left="1080" w:header="851" w:footer="992" w:gutter="0"/>
          <w:pgNumType w:fmt="numberInDash"/>
          <w:cols w:space="425" w:num="1"/>
          <w:docGrid w:type="lines" w:linePitch="312" w:charSpace="0"/>
        </w:sectPr>
      </w:pPr>
    </w:p>
    <w:p>
      <w:pPr>
        <w:pStyle w:val="6"/>
        <w:spacing w:before="320" w:after="320"/>
        <w:rPr>
          <w:rFonts w:ascii="Times New Roman" w:hAnsi="Times New Roman" w:eastAsia="宋体" w:cs="Times New Roman"/>
          <w:sz w:val="32"/>
          <w:szCs w:val="32"/>
        </w:rPr>
      </w:pPr>
      <w:bookmarkStart w:id="966" w:name="_Toc523160397"/>
      <w:bookmarkStart w:id="967" w:name="_Toc132468860"/>
      <w:bookmarkStart w:id="968" w:name="_Toc509234848"/>
      <w:bookmarkStart w:id="969" w:name="_Toc529542648"/>
      <w:bookmarkStart w:id="970" w:name="_Toc523160173"/>
      <w:bookmarkStart w:id="971" w:name="_Toc510164132"/>
      <w:bookmarkStart w:id="972" w:name="_Toc510164344"/>
      <w:bookmarkStart w:id="973" w:name="_Toc28377"/>
      <w:bookmarkStart w:id="974" w:name="_Toc15861"/>
      <w:bookmarkStart w:id="975" w:name="_Toc510164507"/>
      <w:r>
        <w:rPr>
          <w:rFonts w:ascii="Times New Roman" w:hAnsi="Times New Roman" w:eastAsia="宋体" w:cs="Times New Roman"/>
          <w:sz w:val="32"/>
          <w:szCs w:val="32"/>
        </w:rPr>
        <w:t>9应急保障</w:t>
      </w:r>
      <w:bookmarkEnd w:id="966"/>
      <w:bookmarkEnd w:id="967"/>
      <w:bookmarkEnd w:id="968"/>
      <w:bookmarkEnd w:id="969"/>
      <w:bookmarkEnd w:id="970"/>
      <w:bookmarkEnd w:id="971"/>
      <w:bookmarkEnd w:id="972"/>
      <w:bookmarkEnd w:id="973"/>
      <w:bookmarkEnd w:id="974"/>
      <w:bookmarkEnd w:id="975"/>
    </w:p>
    <w:p>
      <w:pPr>
        <w:pStyle w:val="7"/>
        <w:spacing w:before="260" w:after="260"/>
        <w:rPr>
          <w:rFonts w:ascii="Times New Roman" w:hAnsi="Times New Roman" w:eastAsia="宋体" w:cs="Times New Roman"/>
          <w:sz w:val="30"/>
          <w:szCs w:val="30"/>
        </w:rPr>
      </w:pPr>
      <w:bookmarkStart w:id="976" w:name="_Toc523160398"/>
      <w:bookmarkStart w:id="977" w:name="_Toc510164508"/>
      <w:bookmarkStart w:id="978" w:name="_Toc132468861"/>
      <w:bookmarkStart w:id="979" w:name="_Toc529542649"/>
      <w:bookmarkStart w:id="980" w:name="_Toc510164345"/>
      <w:bookmarkStart w:id="981" w:name="_Toc510164133"/>
      <w:bookmarkStart w:id="982" w:name="_Toc523160174"/>
      <w:bookmarkStart w:id="983" w:name="_Toc7092"/>
      <w:bookmarkStart w:id="984" w:name="_Toc30386"/>
      <w:bookmarkStart w:id="985" w:name="_Toc509234849"/>
      <w:r>
        <w:rPr>
          <w:rFonts w:ascii="Times New Roman" w:hAnsi="Times New Roman" w:eastAsia="宋体" w:cs="Times New Roman"/>
          <w:sz w:val="30"/>
          <w:szCs w:val="30"/>
        </w:rPr>
        <w:t>9.1内部保障</w:t>
      </w:r>
      <w:bookmarkEnd w:id="976"/>
      <w:bookmarkEnd w:id="977"/>
      <w:bookmarkEnd w:id="978"/>
      <w:bookmarkEnd w:id="979"/>
      <w:bookmarkEnd w:id="980"/>
      <w:bookmarkEnd w:id="981"/>
      <w:bookmarkEnd w:id="982"/>
      <w:bookmarkEnd w:id="983"/>
      <w:bookmarkEnd w:id="984"/>
      <w:bookmarkEnd w:id="985"/>
    </w:p>
    <w:p>
      <w:pPr>
        <w:pStyle w:val="8"/>
        <w:spacing w:before="180" w:after="180"/>
        <w:rPr>
          <w:rFonts w:eastAsia="宋体" w:cs="Times New Roman"/>
          <w:sz w:val="28"/>
          <w:szCs w:val="28"/>
        </w:rPr>
      </w:pPr>
      <w:bookmarkStart w:id="986" w:name="_Toc523160399"/>
      <w:bookmarkStart w:id="987" w:name="_Toc132468862"/>
      <w:bookmarkStart w:id="988" w:name="_Toc509234850"/>
      <w:bookmarkStart w:id="989" w:name="_Toc510164134"/>
      <w:bookmarkStart w:id="990" w:name="_Toc21466"/>
      <w:bookmarkStart w:id="991" w:name="_Toc529542650"/>
      <w:bookmarkStart w:id="992" w:name="_Toc9522"/>
      <w:r>
        <w:rPr>
          <w:rFonts w:eastAsia="宋体" w:cs="Times New Roman"/>
          <w:sz w:val="28"/>
          <w:szCs w:val="28"/>
        </w:rPr>
        <w:t>9.1.1人力资源保障</w:t>
      </w:r>
      <w:bookmarkEnd w:id="986"/>
      <w:bookmarkEnd w:id="987"/>
      <w:bookmarkEnd w:id="988"/>
      <w:bookmarkEnd w:id="989"/>
      <w:bookmarkEnd w:id="990"/>
      <w:bookmarkEnd w:id="991"/>
      <w:bookmarkEnd w:id="992"/>
    </w:p>
    <w:p>
      <w:pPr>
        <w:ind w:firstLine="480"/>
        <w:rPr>
          <w:rFonts w:ascii="Times New Roman" w:hAnsi="Times New Roman" w:eastAsia="宋体" w:cs="Times New Roman"/>
          <w:szCs w:val="24"/>
        </w:rPr>
      </w:pPr>
      <w:r>
        <w:rPr>
          <w:rFonts w:ascii="Times New Roman" w:hAnsi="Times New Roman" w:eastAsia="宋体" w:cs="Times New Roman"/>
          <w:szCs w:val="24"/>
        </w:rPr>
        <w:t>公司依托</w:t>
      </w:r>
      <w:r>
        <w:rPr>
          <w:rFonts w:hint="eastAsia" w:ascii="Times New Roman" w:hAnsi="Times New Roman" w:eastAsia="宋体" w:cs="Times New Roman"/>
          <w:szCs w:val="24"/>
        </w:rPr>
        <w:t>赤壁市消防大队</w:t>
      </w:r>
      <w:r>
        <w:rPr>
          <w:rFonts w:ascii="Times New Roman" w:hAnsi="Times New Roman" w:eastAsia="宋体" w:cs="Times New Roman"/>
          <w:szCs w:val="24"/>
        </w:rPr>
        <w:t>，负责发生突发环境事件时的消防工作；车间配备具备专业堵漏技能的工人，负责维护抢修工作；并充分利用社会应急资源，签定企业互助协议，提供应急期间的抢险抢修、物资供应、医疗卫生、治安保卫、交通维护和运输等应急力量的保障。</w:t>
      </w:r>
    </w:p>
    <w:p>
      <w:pPr>
        <w:pStyle w:val="8"/>
        <w:spacing w:before="180" w:after="180"/>
        <w:rPr>
          <w:rFonts w:eastAsia="宋体" w:cs="Times New Roman"/>
          <w:sz w:val="28"/>
          <w:szCs w:val="28"/>
        </w:rPr>
      </w:pPr>
      <w:bookmarkStart w:id="993" w:name="_Toc15862"/>
      <w:bookmarkStart w:id="994" w:name="_Toc523160400"/>
      <w:bookmarkStart w:id="995" w:name="_Toc510164135"/>
      <w:bookmarkStart w:id="996" w:name="_Toc509234851"/>
      <w:bookmarkStart w:id="997" w:name="_Toc132468863"/>
      <w:bookmarkStart w:id="998" w:name="_Toc8888"/>
      <w:bookmarkStart w:id="999" w:name="_Toc529542651"/>
      <w:r>
        <w:rPr>
          <w:rFonts w:eastAsia="宋体" w:cs="Times New Roman"/>
          <w:sz w:val="28"/>
          <w:szCs w:val="28"/>
        </w:rPr>
        <w:t>9.1.2财力保障</w:t>
      </w:r>
      <w:bookmarkEnd w:id="993"/>
      <w:bookmarkEnd w:id="994"/>
      <w:bookmarkEnd w:id="995"/>
      <w:bookmarkEnd w:id="996"/>
      <w:bookmarkEnd w:id="997"/>
      <w:bookmarkEnd w:id="998"/>
      <w:bookmarkEnd w:id="999"/>
    </w:p>
    <w:p>
      <w:pPr>
        <w:ind w:firstLine="480"/>
        <w:rPr>
          <w:rFonts w:ascii="Times New Roman" w:hAnsi="Times New Roman" w:eastAsia="宋体" w:cs="Times New Roman"/>
          <w:szCs w:val="24"/>
        </w:rPr>
      </w:pPr>
      <w:r>
        <w:rPr>
          <w:rFonts w:ascii="Times New Roman" w:hAnsi="Times New Roman" w:eastAsia="宋体" w:cs="Times New Roman"/>
          <w:szCs w:val="24"/>
        </w:rPr>
        <w:t>应急准备和救援工作所需资金由企业有关部门提出，经财务部门审核后，按规定列入年度预算，提取应急救援专项费用，确保应急工作的财力。</w:t>
      </w:r>
    </w:p>
    <w:p>
      <w:pPr>
        <w:pStyle w:val="8"/>
        <w:spacing w:before="180" w:after="180"/>
        <w:rPr>
          <w:rFonts w:eastAsia="宋体" w:cs="Times New Roman"/>
          <w:sz w:val="28"/>
          <w:szCs w:val="28"/>
        </w:rPr>
      </w:pPr>
      <w:bookmarkStart w:id="1000" w:name="_Toc529542652"/>
      <w:bookmarkStart w:id="1001" w:name="_Toc510164136"/>
      <w:bookmarkStart w:id="1002" w:name="_Toc509234852"/>
      <w:bookmarkStart w:id="1003" w:name="_Toc7129"/>
      <w:bookmarkStart w:id="1004" w:name="_Toc5527"/>
      <w:bookmarkStart w:id="1005" w:name="_Toc132468864"/>
      <w:bookmarkStart w:id="1006" w:name="_Toc523160401"/>
      <w:r>
        <w:rPr>
          <w:rFonts w:eastAsia="宋体" w:cs="Times New Roman"/>
          <w:sz w:val="28"/>
          <w:szCs w:val="28"/>
        </w:rPr>
        <w:t>9.1.3物资及应急储存设施保障</w:t>
      </w:r>
      <w:bookmarkEnd w:id="1000"/>
      <w:bookmarkEnd w:id="1001"/>
      <w:bookmarkEnd w:id="1002"/>
      <w:bookmarkEnd w:id="1003"/>
      <w:bookmarkEnd w:id="1004"/>
      <w:bookmarkEnd w:id="1005"/>
      <w:bookmarkEnd w:id="1006"/>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公司采取了较为完善的风险防控措施，各风险单元均设置了应急装备及应急救援物资。</w:t>
      </w:r>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t>公司应急物资情况详见《应急资源调查报告》，应按照《风险评估报告》中现有环境风险防控措施和应急措施差距分析对应急设施进行整改，并按照《应急资源调查报告》中的应急物资表定期对公司的应急物资进行检查、对损坏的进行更换、对使用完的进行补充。</w:t>
      </w:r>
    </w:p>
    <w:p>
      <w:pPr>
        <w:pStyle w:val="8"/>
        <w:spacing w:before="180" w:after="180"/>
        <w:rPr>
          <w:rFonts w:eastAsia="宋体" w:cs="Times New Roman"/>
          <w:sz w:val="28"/>
          <w:szCs w:val="28"/>
        </w:rPr>
      </w:pPr>
      <w:bookmarkStart w:id="1007" w:name="_Toc510164137"/>
      <w:bookmarkStart w:id="1008" w:name="_Toc509234853"/>
      <w:bookmarkStart w:id="1009" w:name="_Toc132468865"/>
      <w:bookmarkStart w:id="1010" w:name="_Toc3670"/>
      <w:bookmarkStart w:id="1011" w:name="_Toc2752"/>
      <w:bookmarkStart w:id="1012" w:name="_Toc529542653"/>
      <w:bookmarkStart w:id="1013" w:name="_Toc523160402"/>
      <w:r>
        <w:rPr>
          <w:rFonts w:eastAsia="宋体" w:cs="Times New Roman"/>
          <w:sz w:val="28"/>
          <w:szCs w:val="28"/>
        </w:rPr>
        <w:t>9.1.4治安维护保障</w:t>
      </w:r>
      <w:bookmarkEnd w:id="1007"/>
      <w:bookmarkEnd w:id="1008"/>
      <w:bookmarkEnd w:id="1009"/>
      <w:bookmarkEnd w:id="1010"/>
      <w:bookmarkEnd w:id="1011"/>
      <w:bookmarkEnd w:id="1012"/>
      <w:bookmarkEnd w:id="1013"/>
    </w:p>
    <w:p>
      <w:pPr>
        <w:ind w:firstLine="480"/>
        <w:rPr>
          <w:rFonts w:ascii="Times New Roman" w:hAnsi="Times New Roman" w:eastAsia="宋体" w:cs="Times New Roman"/>
          <w:szCs w:val="24"/>
        </w:rPr>
      </w:pPr>
      <w:r>
        <w:rPr>
          <w:rFonts w:ascii="Times New Roman" w:hAnsi="Times New Roman" w:eastAsia="宋体" w:cs="Times New Roman"/>
          <w:szCs w:val="24"/>
        </w:rPr>
        <w:t>现场应急指挥部协助公安部门做好事故现场治安警戒和治安管理工作，维护现场秩序，及时疏散群众，并加强对重点地区、重点场所、重点人群、重要物资设备的防范保护。</w:t>
      </w:r>
    </w:p>
    <w:p>
      <w:pPr>
        <w:pStyle w:val="8"/>
        <w:spacing w:before="180" w:after="180"/>
        <w:rPr>
          <w:rFonts w:eastAsia="宋体" w:cs="Times New Roman"/>
          <w:sz w:val="28"/>
          <w:szCs w:val="28"/>
        </w:rPr>
      </w:pPr>
      <w:bookmarkStart w:id="1014" w:name="_Toc529542654"/>
      <w:bookmarkStart w:id="1015" w:name="_Toc1890"/>
      <w:bookmarkStart w:id="1016" w:name="_Toc510164138"/>
      <w:bookmarkStart w:id="1017" w:name="_Toc509234854"/>
      <w:bookmarkStart w:id="1018" w:name="_Toc132468866"/>
      <w:bookmarkStart w:id="1019" w:name="_Toc13557"/>
      <w:bookmarkStart w:id="1020" w:name="_Toc523160403"/>
      <w:r>
        <w:rPr>
          <w:rFonts w:eastAsia="宋体" w:cs="Times New Roman"/>
          <w:sz w:val="28"/>
          <w:szCs w:val="28"/>
        </w:rPr>
        <w:t>9.1.5应急救援体系保障</w:t>
      </w:r>
      <w:bookmarkEnd w:id="1014"/>
      <w:bookmarkEnd w:id="1015"/>
      <w:bookmarkEnd w:id="1016"/>
      <w:bookmarkEnd w:id="1017"/>
      <w:bookmarkEnd w:id="1018"/>
      <w:bookmarkEnd w:id="1019"/>
      <w:bookmarkEnd w:id="1020"/>
    </w:p>
    <w:p>
      <w:pPr>
        <w:pStyle w:val="17"/>
        <w:ind w:firstLine="480"/>
        <w:jc w:val="both"/>
        <w:rPr>
          <w:rFonts w:ascii="Times New Roman" w:hAnsi="Times New Roman" w:eastAsia="宋体" w:cs="Times New Roman"/>
        </w:rPr>
      </w:pPr>
      <w:r>
        <w:rPr>
          <w:rFonts w:ascii="Times New Roman" w:hAnsi="Times New Roman" w:eastAsia="宋体" w:cs="Times New Roman"/>
          <w:szCs w:val="24"/>
        </w:rPr>
        <w:t>公司建立了基本的应急管理体系，成立了组织机构，制定建立了公司应急预案体系，目前能够满足公司应急管理基本要求。</w:t>
      </w:r>
    </w:p>
    <w:p>
      <w:pPr>
        <w:pStyle w:val="7"/>
        <w:spacing w:before="260" w:after="260"/>
        <w:rPr>
          <w:rFonts w:ascii="Times New Roman" w:hAnsi="Times New Roman" w:eastAsia="宋体" w:cs="Times New Roman"/>
          <w:sz w:val="30"/>
          <w:szCs w:val="30"/>
        </w:rPr>
      </w:pPr>
      <w:bookmarkStart w:id="1021" w:name="_Toc510164139"/>
      <w:bookmarkStart w:id="1022" w:name="_Toc16312"/>
      <w:bookmarkStart w:id="1023" w:name="_Toc510164509"/>
      <w:bookmarkStart w:id="1024" w:name="_Toc132468867"/>
      <w:bookmarkStart w:id="1025" w:name="_Toc529542655"/>
      <w:bookmarkStart w:id="1026" w:name="_Toc523160175"/>
      <w:bookmarkStart w:id="1027" w:name="_Toc523160404"/>
      <w:bookmarkStart w:id="1028" w:name="_Toc509234855"/>
      <w:bookmarkStart w:id="1029" w:name="_Toc19660"/>
      <w:bookmarkStart w:id="1030" w:name="_Toc510164346"/>
      <w:r>
        <w:rPr>
          <w:rFonts w:ascii="Times New Roman" w:hAnsi="Times New Roman" w:eastAsia="宋体" w:cs="Times New Roman"/>
          <w:sz w:val="30"/>
          <w:szCs w:val="30"/>
        </w:rPr>
        <w:t>9.2外部保障</w:t>
      </w:r>
      <w:bookmarkEnd w:id="1021"/>
      <w:bookmarkEnd w:id="1022"/>
      <w:bookmarkEnd w:id="1023"/>
      <w:bookmarkEnd w:id="1024"/>
      <w:bookmarkEnd w:id="1025"/>
      <w:bookmarkEnd w:id="1026"/>
      <w:bookmarkEnd w:id="1027"/>
      <w:bookmarkEnd w:id="1028"/>
      <w:bookmarkEnd w:id="1029"/>
      <w:bookmarkEnd w:id="1030"/>
    </w:p>
    <w:p>
      <w:pPr>
        <w:pStyle w:val="8"/>
        <w:spacing w:before="180" w:after="180"/>
        <w:rPr>
          <w:rFonts w:eastAsia="宋体" w:cs="Times New Roman"/>
          <w:sz w:val="28"/>
          <w:szCs w:val="28"/>
        </w:rPr>
      </w:pPr>
      <w:bookmarkStart w:id="1031" w:name="_Toc132468868"/>
      <w:bookmarkStart w:id="1032" w:name="_Toc509234856"/>
      <w:bookmarkStart w:id="1033" w:name="_Toc20477"/>
      <w:bookmarkStart w:id="1034" w:name="_Toc8464"/>
      <w:bookmarkStart w:id="1035" w:name="_Toc523160405"/>
      <w:bookmarkStart w:id="1036" w:name="_Toc510164140"/>
      <w:bookmarkStart w:id="1037" w:name="_Toc529542656"/>
      <w:r>
        <w:rPr>
          <w:rFonts w:eastAsia="宋体" w:cs="Times New Roman"/>
          <w:sz w:val="28"/>
          <w:szCs w:val="28"/>
        </w:rPr>
        <w:t>9.2.1外部救援体系</w:t>
      </w:r>
      <w:bookmarkEnd w:id="1031"/>
      <w:bookmarkEnd w:id="1032"/>
      <w:bookmarkEnd w:id="1033"/>
      <w:bookmarkEnd w:id="1034"/>
      <w:bookmarkEnd w:id="1035"/>
      <w:bookmarkEnd w:id="1036"/>
      <w:bookmarkEnd w:id="1037"/>
    </w:p>
    <w:p>
      <w:pPr>
        <w:ind w:firstLine="480"/>
        <w:rPr>
          <w:rFonts w:ascii="Times New Roman" w:hAnsi="Times New Roman" w:eastAsia="宋体" w:cs="Times New Roman"/>
          <w:szCs w:val="24"/>
        </w:rPr>
      </w:pPr>
      <w:r>
        <w:rPr>
          <w:rFonts w:ascii="Times New Roman" w:hAnsi="Times New Roman" w:eastAsia="宋体" w:cs="Times New Roman"/>
          <w:szCs w:val="24"/>
        </w:rPr>
        <w:t>单位互助体系：本企业和周边单位（</w:t>
      </w:r>
      <w:r>
        <w:rPr>
          <w:rFonts w:hint="eastAsia" w:ascii="Times New Roman" w:hAnsi="Times New Roman" w:eastAsia="宋体" w:cs="Times New Roman"/>
          <w:szCs w:val="24"/>
        </w:rPr>
        <w:t>湖北龙兴无纺</w:t>
      </w:r>
      <w:r>
        <w:rPr>
          <w:rFonts w:ascii="Times New Roman" w:hAnsi="Times New Roman" w:eastAsia="宋体" w:cs="Times New Roman"/>
          <w:szCs w:val="24"/>
        </w:rPr>
        <w:t>科技有限公司）建立了良好的应急互助关系，在重大事故发生后，能够相互支援。</w:t>
      </w:r>
    </w:p>
    <w:p>
      <w:pPr>
        <w:ind w:firstLine="480"/>
        <w:rPr>
          <w:rFonts w:ascii="Times New Roman" w:hAnsi="Times New Roman" w:eastAsia="宋体" w:cs="Times New Roman"/>
          <w:szCs w:val="24"/>
        </w:rPr>
      </w:pPr>
      <w:r>
        <w:rPr>
          <w:rFonts w:ascii="Times New Roman" w:hAnsi="Times New Roman" w:eastAsia="宋体" w:cs="Times New Roman"/>
          <w:szCs w:val="24"/>
        </w:rPr>
        <w:t>公共援助力量：企业还可以联系赤壁市消防队、医院、公安、交通、应急管理局以及各相关职能部门，请求救援力量、设备的支持，</w:t>
      </w:r>
      <w:r>
        <w:rPr>
          <w:rFonts w:ascii="Times New Roman" w:hAnsi="Times New Roman" w:eastAsia="宋体" w:cs="Times New Roman"/>
          <w:szCs w:val="24"/>
          <w:u w:val="single"/>
        </w:rPr>
        <w:t>详见附件2</w:t>
      </w:r>
      <w:r>
        <w:rPr>
          <w:rFonts w:ascii="Times New Roman" w:hAnsi="Times New Roman" w:eastAsia="宋体" w:cs="Times New Roman"/>
          <w:szCs w:val="24"/>
        </w:rPr>
        <w:t>。</w:t>
      </w:r>
    </w:p>
    <w:p>
      <w:pPr>
        <w:pStyle w:val="8"/>
        <w:spacing w:before="180" w:after="180"/>
        <w:rPr>
          <w:rFonts w:eastAsia="宋体" w:cs="Times New Roman"/>
          <w:sz w:val="28"/>
          <w:szCs w:val="28"/>
        </w:rPr>
      </w:pPr>
      <w:bookmarkStart w:id="1038" w:name="_Toc132468869"/>
      <w:bookmarkStart w:id="1039" w:name="_Toc18480"/>
      <w:bookmarkStart w:id="1040" w:name="_Toc16630"/>
      <w:bookmarkStart w:id="1041" w:name="_Toc523160406"/>
      <w:bookmarkStart w:id="1042" w:name="_Toc509234857"/>
      <w:bookmarkStart w:id="1043" w:name="_Toc510164141"/>
      <w:bookmarkStart w:id="1044" w:name="_Toc529542657"/>
      <w:r>
        <w:rPr>
          <w:rFonts w:eastAsia="宋体" w:cs="Times New Roman"/>
          <w:sz w:val="28"/>
          <w:szCs w:val="28"/>
        </w:rPr>
        <w:t>9.2.2应急救援信息咨询</w:t>
      </w:r>
      <w:bookmarkEnd w:id="1038"/>
      <w:bookmarkEnd w:id="1039"/>
      <w:bookmarkEnd w:id="1040"/>
      <w:bookmarkEnd w:id="1041"/>
      <w:bookmarkEnd w:id="1042"/>
      <w:bookmarkEnd w:id="1043"/>
      <w:bookmarkEnd w:id="1044"/>
    </w:p>
    <w:p>
      <w:pPr>
        <w:ind w:firstLine="480"/>
        <w:rPr>
          <w:rFonts w:ascii="Times New Roman" w:hAnsi="Times New Roman" w:eastAsia="宋体" w:cs="Times New Roman"/>
          <w:szCs w:val="24"/>
        </w:rPr>
      </w:pPr>
      <w:r>
        <w:rPr>
          <w:rFonts w:ascii="Times New Roman" w:hAnsi="Times New Roman" w:eastAsia="宋体" w:cs="Times New Roman"/>
          <w:szCs w:val="24"/>
        </w:rPr>
        <w:t>（1）外部救援单位联系电话</w:t>
      </w:r>
    </w:p>
    <w:p>
      <w:pPr>
        <w:ind w:firstLine="480"/>
        <w:rPr>
          <w:rFonts w:ascii="Times New Roman" w:hAnsi="Times New Roman" w:eastAsia="宋体" w:cs="Times New Roman"/>
          <w:szCs w:val="24"/>
        </w:rPr>
      </w:pPr>
      <w:r>
        <w:rPr>
          <w:rFonts w:ascii="Times New Roman" w:hAnsi="Times New Roman" w:eastAsia="宋体" w:cs="Times New Roman"/>
          <w:szCs w:val="24"/>
        </w:rPr>
        <w:t>赤壁市公安局报警中心：110</w:t>
      </w:r>
    </w:p>
    <w:p>
      <w:pPr>
        <w:ind w:firstLine="480"/>
        <w:rPr>
          <w:rFonts w:ascii="Times New Roman" w:hAnsi="Times New Roman" w:eastAsia="宋体" w:cs="Times New Roman"/>
          <w:szCs w:val="24"/>
        </w:rPr>
      </w:pPr>
      <w:r>
        <w:rPr>
          <w:rFonts w:ascii="Times New Roman" w:hAnsi="Times New Roman" w:eastAsia="宋体" w:cs="Times New Roman"/>
          <w:szCs w:val="24"/>
        </w:rPr>
        <w:t>赤壁市消防大队：119</w:t>
      </w:r>
    </w:p>
    <w:p>
      <w:pPr>
        <w:ind w:firstLine="480"/>
        <w:rPr>
          <w:rFonts w:ascii="Times New Roman" w:hAnsi="Times New Roman" w:eastAsia="宋体" w:cs="Times New Roman"/>
          <w:szCs w:val="24"/>
        </w:rPr>
      </w:pPr>
      <w:r>
        <w:rPr>
          <w:rFonts w:ascii="Times New Roman" w:hAnsi="Times New Roman" w:eastAsia="宋体" w:cs="Times New Roman"/>
          <w:szCs w:val="24"/>
        </w:rPr>
        <w:t>赤壁市急救中心：120</w:t>
      </w:r>
    </w:p>
    <w:p>
      <w:pPr>
        <w:ind w:firstLine="480"/>
        <w:rPr>
          <w:rFonts w:ascii="Times New Roman" w:hAnsi="Times New Roman" w:eastAsia="宋体" w:cs="Times New Roman"/>
          <w:szCs w:val="24"/>
        </w:rPr>
      </w:pPr>
      <w:bookmarkStart w:id="1045" w:name="_Toc104109209"/>
      <w:bookmarkStart w:id="1046" w:name="_Toc104212570"/>
      <w:r>
        <w:rPr>
          <w:rFonts w:ascii="Times New Roman" w:hAnsi="Times New Roman" w:eastAsia="宋体" w:cs="Times New Roman"/>
          <w:szCs w:val="24"/>
        </w:rPr>
        <w:t>赤壁市环境监测中心：0715-5234312</w:t>
      </w:r>
    </w:p>
    <w:p>
      <w:pPr>
        <w:pStyle w:val="2"/>
        <w:spacing w:line="360" w:lineRule="auto"/>
        <w:ind w:firstLine="480"/>
        <w:rPr>
          <w:rFonts w:ascii="Times New Roman" w:hAnsi="Times New Roman" w:eastAsia="宋体" w:cs="Times New Roman"/>
          <w:color w:val="auto"/>
          <w:kern w:val="2"/>
        </w:rPr>
      </w:pPr>
      <w:r>
        <w:rPr>
          <w:rFonts w:ascii="Times New Roman" w:hAnsi="Times New Roman" w:eastAsia="宋体" w:cs="Times New Roman"/>
          <w:color w:val="auto"/>
        </w:rPr>
        <w:t>咸宁市生态环境局赤壁市分局</w:t>
      </w:r>
      <w:r>
        <w:rPr>
          <w:rFonts w:ascii="Times New Roman" w:hAnsi="Times New Roman" w:eastAsia="宋体" w:cs="Times New Roman"/>
          <w:color w:val="auto"/>
          <w:kern w:val="2"/>
        </w:rPr>
        <w:t>：</w:t>
      </w:r>
      <w:r>
        <w:rPr>
          <w:rFonts w:ascii="Times New Roman" w:hAnsi="Times New Roman" w:cs="Times New Roman"/>
          <w:color w:val="auto"/>
        </w:rPr>
        <w:t>0715-5882548</w:t>
      </w:r>
    </w:p>
    <w:p>
      <w:pPr>
        <w:ind w:firstLine="480"/>
        <w:rPr>
          <w:rFonts w:ascii="Times New Roman" w:hAnsi="Times New Roman" w:eastAsia="宋体" w:cs="Times New Roman"/>
          <w:szCs w:val="24"/>
        </w:rPr>
      </w:pPr>
      <w:r>
        <w:rPr>
          <w:rFonts w:ascii="Times New Roman" w:hAnsi="Times New Roman" w:eastAsia="宋体" w:cs="Times New Roman"/>
          <w:szCs w:val="24"/>
        </w:rPr>
        <w:t>（2）供水、供电单位联系电话</w:t>
      </w:r>
      <w:bookmarkEnd w:id="1045"/>
      <w:bookmarkEnd w:id="1046"/>
    </w:p>
    <w:p>
      <w:pPr>
        <w:ind w:firstLine="480"/>
        <w:rPr>
          <w:rFonts w:ascii="Times New Roman" w:hAnsi="Times New Roman" w:eastAsia="宋体" w:cs="Times New Roman"/>
          <w:szCs w:val="24"/>
        </w:rPr>
      </w:pPr>
      <w:r>
        <w:rPr>
          <w:rFonts w:ascii="Times New Roman" w:hAnsi="Times New Roman" w:eastAsia="宋体" w:cs="Times New Roman"/>
          <w:szCs w:val="24"/>
        </w:rPr>
        <w:t>赤壁市自来水公司：0715-5220777</w:t>
      </w:r>
    </w:p>
    <w:p>
      <w:pPr>
        <w:ind w:firstLine="480"/>
        <w:rPr>
          <w:rFonts w:ascii="Times New Roman" w:hAnsi="Times New Roman" w:eastAsia="宋体" w:cs="Times New Roman"/>
          <w:szCs w:val="24"/>
        </w:rPr>
      </w:pPr>
      <w:r>
        <w:rPr>
          <w:rFonts w:ascii="Times New Roman" w:hAnsi="Times New Roman" w:eastAsia="宋体" w:cs="Times New Roman"/>
          <w:szCs w:val="24"/>
        </w:rPr>
        <w:t>赤壁市供电公司：0715-5353630</w:t>
      </w:r>
    </w:p>
    <w:p>
      <w:pPr>
        <w:ind w:firstLine="480"/>
        <w:rPr>
          <w:rFonts w:ascii="Times New Roman" w:hAnsi="Times New Roman" w:eastAsia="宋体" w:cs="Times New Roman"/>
          <w:szCs w:val="24"/>
        </w:rPr>
      </w:pPr>
      <w:bookmarkStart w:id="1047" w:name="_Toc510164510"/>
      <w:bookmarkStart w:id="1048" w:name="_Toc510164347"/>
      <w:bookmarkStart w:id="1049" w:name="_Toc510164142"/>
      <w:bookmarkStart w:id="1050" w:name="_Toc509234858"/>
      <w:bookmarkStart w:id="1051" w:name="_Toc523160407"/>
      <w:bookmarkStart w:id="1052" w:name="_Toc529542658"/>
      <w:bookmarkStart w:id="1053" w:name="_Toc523160176"/>
    </w:p>
    <w:p>
      <w:pPr>
        <w:ind w:firstLine="480"/>
        <w:rPr>
          <w:rFonts w:ascii="Times New Roman" w:hAnsi="Times New Roman" w:eastAsia="宋体" w:cs="Times New Roman"/>
        </w:rPr>
      </w:pPr>
      <w:r>
        <w:rPr>
          <w:rFonts w:ascii="Times New Roman" w:hAnsi="Times New Roman" w:eastAsia="宋体" w:cs="Times New Roman"/>
          <w:szCs w:val="24"/>
        </w:rPr>
        <w:br w:type="page"/>
      </w:r>
    </w:p>
    <w:p>
      <w:pPr>
        <w:pStyle w:val="6"/>
        <w:spacing w:before="320" w:after="320"/>
        <w:rPr>
          <w:rFonts w:ascii="Times New Roman" w:hAnsi="Times New Roman" w:eastAsia="宋体" w:cs="Times New Roman"/>
          <w:sz w:val="32"/>
          <w:szCs w:val="32"/>
        </w:rPr>
      </w:pPr>
      <w:bookmarkStart w:id="1054" w:name="_Toc29823"/>
      <w:bookmarkStart w:id="1055" w:name="_Toc132468870"/>
      <w:bookmarkStart w:id="1056" w:name="_Toc3385"/>
      <w:r>
        <w:rPr>
          <w:rFonts w:ascii="Times New Roman" w:hAnsi="Times New Roman" w:eastAsia="宋体" w:cs="Times New Roman"/>
          <w:sz w:val="32"/>
          <w:szCs w:val="32"/>
        </w:rPr>
        <w:t>10应急</w:t>
      </w:r>
      <w:bookmarkEnd w:id="1047"/>
      <w:bookmarkEnd w:id="1048"/>
      <w:bookmarkEnd w:id="1049"/>
      <w:bookmarkEnd w:id="1050"/>
      <w:r>
        <w:rPr>
          <w:rFonts w:ascii="Times New Roman" w:hAnsi="Times New Roman" w:eastAsia="宋体" w:cs="Times New Roman"/>
          <w:sz w:val="32"/>
          <w:szCs w:val="32"/>
        </w:rPr>
        <w:t>预案监督管理</w:t>
      </w:r>
      <w:bookmarkEnd w:id="1051"/>
      <w:bookmarkEnd w:id="1052"/>
      <w:bookmarkEnd w:id="1053"/>
      <w:bookmarkEnd w:id="1054"/>
      <w:bookmarkEnd w:id="1055"/>
      <w:bookmarkEnd w:id="1056"/>
    </w:p>
    <w:p>
      <w:pPr>
        <w:ind w:firstLine="480"/>
        <w:rPr>
          <w:rFonts w:ascii="Times New Roman" w:hAnsi="Times New Roman" w:eastAsia="宋体" w:cs="Times New Roman"/>
          <w:szCs w:val="24"/>
        </w:rPr>
      </w:pPr>
      <w:r>
        <w:rPr>
          <w:rFonts w:ascii="Times New Roman" w:hAnsi="Times New Roman" w:eastAsia="宋体" w:cs="Times New Roman"/>
          <w:szCs w:val="24"/>
        </w:rPr>
        <w:t>公司内部组织应急救援培训与演练，培训分为公司、车间二级培训，演练分为公司、车间二级演练。</w:t>
      </w:r>
    </w:p>
    <w:p>
      <w:pPr>
        <w:pStyle w:val="7"/>
        <w:spacing w:before="260" w:after="260"/>
        <w:rPr>
          <w:rFonts w:ascii="Times New Roman" w:hAnsi="Times New Roman" w:eastAsia="宋体" w:cs="Times New Roman"/>
          <w:sz w:val="30"/>
          <w:szCs w:val="30"/>
        </w:rPr>
      </w:pPr>
      <w:bookmarkStart w:id="1057" w:name="_Toc510164511"/>
      <w:bookmarkStart w:id="1058" w:name="_Toc510164348"/>
      <w:bookmarkStart w:id="1059" w:name="_Toc132468871"/>
      <w:bookmarkStart w:id="1060" w:name="_Toc509234859"/>
      <w:bookmarkStart w:id="1061" w:name="_Toc523160177"/>
      <w:bookmarkStart w:id="1062" w:name="_Toc510164143"/>
      <w:bookmarkStart w:id="1063" w:name="_Toc529542659"/>
      <w:bookmarkStart w:id="1064" w:name="_Toc16656"/>
      <w:bookmarkStart w:id="1065" w:name="_Toc19986"/>
      <w:bookmarkStart w:id="1066" w:name="_Toc523160408"/>
      <w:r>
        <w:rPr>
          <w:rFonts w:ascii="Times New Roman" w:hAnsi="Times New Roman" w:eastAsia="宋体" w:cs="Times New Roman"/>
          <w:sz w:val="30"/>
          <w:szCs w:val="30"/>
        </w:rPr>
        <w:t>10.1培训</w:t>
      </w:r>
      <w:bookmarkEnd w:id="1057"/>
      <w:bookmarkEnd w:id="1058"/>
      <w:bookmarkEnd w:id="1059"/>
      <w:bookmarkEnd w:id="1060"/>
      <w:bookmarkEnd w:id="1061"/>
      <w:bookmarkEnd w:id="1062"/>
      <w:bookmarkEnd w:id="1063"/>
      <w:bookmarkEnd w:id="1064"/>
      <w:bookmarkEnd w:id="1065"/>
      <w:bookmarkEnd w:id="1066"/>
    </w:p>
    <w:p>
      <w:pPr>
        <w:ind w:firstLine="480"/>
        <w:rPr>
          <w:rFonts w:ascii="Times New Roman" w:hAnsi="Times New Roman" w:eastAsia="宋体" w:cs="Times New Roman"/>
          <w:szCs w:val="24"/>
        </w:rPr>
      </w:pPr>
      <w:r>
        <w:rPr>
          <w:rFonts w:ascii="Times New Roman" w:hAnsi="Times New Roman" w:eastAsia="宋体" w:cs="Times New Roman"/>
          <w:szCs w:val="24"/>
        </w:rPr>
        <w:t>车间负责人负责组织、指导应急预案的培训工作，各相关部门和应急救援专业组负责人作好日常预案的学习培训，根据预案实施情况制订相应的培训计划，采取多种形式对应急人员进行应急知识和技能的培训，培训应做好记录和培训评估。</w:t>
      </w:r>
    </w:p>
    <w:p>
      <w:pPr>
        <w:pStyle w:val="8"/>
        <w:spacing w:before="180" w:after="180"/>
        <w:rPr>
          <w:rFonts w:eastAsia="宋体" w:cs="Times New Roman"/>
          <w:sz w:val="28"/>
          <w:szCs w:val="28"/>
        </w:rPr>
      </w:pPr>
      <w:bookmarkStart w:id="1067" w:name="_Toc132468872"/>
      <w:bookmarkStart w:id="1068" w:name="_Toc30293"/>
      <w:bookmarkStart w:id="1069" w:name="_Toc510164144"/>
      <w:bookmarkStart w:id="1070" w:name="_Toc523160409"/>
      <w:bookmarkStart w:id="1071" w:name="_Toc509234860"/>
      <w:bookmarkStart w:id="1072" w:name="_Toc529542660"/>
      <w:bookmarkStart w:id="1073" w:name="_Toc15199"/>
      <w:r>
        <w:rPr>
          <w:rFonts w:eastAsia="宋体" w:cs="Times New Roman"/>
          <w:sz w:val="28"/>
          <w:szCs w:val="28"/>
        </w:rPr>
        <w:t>10.1.1应急人员的培训内容</w:t>
      </w:r>
      <w:bookmarkEnd w:id="1067"/>
      <w:bookmarkEnd w:id="1068"/>
      <w:bookmarkEnd w:id="1069"/>
      <w:bookmarkEnd w:id="1070"/>
      <w:bookmarkEnd w:id="1071"/>
      <w:bookmarkEnd w:id="1072"/>
      <w:bookmarkEnd w:id="1073"/>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（1）危险重点部位的分布与事故风险；</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（2）事故报警与报告程序、方式；</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（3）泄漏的抢险处置措施；</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（4）各种应急设备设施及防护用品的使用与正确佩戴；</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（5）应急疏散程序与事故现场的保护；</w:t>
      </w:r>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t>（6）医疗急救知识与技能。</w:t>
      </w:r>
    </w:p>
    <w:p>
      <w:pPr>
        <w:pStyle w:val="8"/>
        <w:spacing w:before="180" w:after="180"/>
        <w:rPr>
          <w:rFonts w:eastAsia="宋体" w:cs="Times New Roman"/>
          <w:sz w:val="28"/>
          <w:szCs w:val="28"/>
        </w:rPr>
      </w:pPr>
      <w:bookmarkStart w:id="1074" w:name="_Toc5964"/>
      <w:bookmarkStart w:id="1075" w:name="_Toc132468873"/>
      <w:bookmarkStart w:id="1076" w:name="_Toc529542661"/>
      <w:bookmarkStart w:id="1077" w:name="_Toc12060"/>
      <w:bookmarkStart w:id="1078" w:name="_Toc510164145"/>
      <w:bookmarkStart w:id="1079" w:name="_Toc509234861"/>
      <w:bookmarkStart w:id="1080" w:name="_Toc523160410"/>
      <w:r>
        <w:rPr>
          <w:rFonts w:eastAsia="宋体" w:cs="Times New Roman"/>
          <w:sz w:val="28"/>
          <w:szCs w:val="28"/>
        </w:rPr>
        <w:t>10.1.2员工与公众的培训</w:t>
      </w:r>
      <w:bookmarkEnd w:id="1074"/>
      <w:bookmarkEnd w:id="1075"/>
      <w:bookmarkEnd w:id="1076"/>
      <w:bookmarkEnd w:id="1077"/>
      <w:bookmarkEnd w:id="1078"/>
      <w:bookmarkEnd w:id="1079"/>
      <w:bookmarkEnd w:id="1080"/>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（1）可能的重大危险事故及其后果；</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（2）事故报警与报告；</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（3）泄漏处置与化学品基本防护知识；</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（4）疏散撤离的组织、方法和程序；</w:t>
      </w:r>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t>（5）自救与互救的基本常识。</w:t>
      </w:r>
    </w:p>
    <w:p>
      <w:pPr>
        <w:pStyle w:val="8"/>
        <w:spacing w:before="180" w:after="180"/>
        <w:rPr>
          <w:rFonts w:eastAsia="宋体" w:cs="Times New Roman"/>
          <w:sz w:val="28"/>
          <w:szCs w:val="28"/>
        </w:rPr>
      </w:pPr>
      <w:bookmarkStart w:id="1081" w:name="_Toc510164146"/>
      <w:bookmarkStart w:id="1082" w:name="_Toc32006"/>
      <w:bookmarkStart w:id="1083" w:name="_Toc32616"/>
      <w:bookmarkStart w:id="1084" w:name="_Toc529542662"/>
      <w:bookmarkStart w:id="1085" w:name="_Toc523160411"/>
      <w:bookmarkStart w:id="1086" w:name="_Toc509234862"/>
      <w:bookmarkStart w:id="1087" w:name="_Toc132468874"/>
      <w:r>
        <w:rPr>
          <w:rFonts w:eastAsia="宋体" w:cs="Times New Roman"/>
          <w:sz w:val="28"/>
          <w:szCs w:val="28"/>
        </w:rPr>
        <w:t>10.1.3应急培训要求</w:t>
      </w:r>
      <w:bookmarkEnd w:id="1081"/>
      <w:bookmarkEnd w:id="1082"/>
      <w:bookmarkEnd w:id="1083"/>
      <w:bookmarkEnd w:id="1084"/>
      <w:bookmarkEnd w:id="1085"/>
      <w:bookmarkEnd w:id="1086"/>
      <w:bookmarkEnd w:id="1087"/>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（1）针对性：针对可能的事故及承担的应急职责不同人员予以不同的培训内容；</w:t>
      </w:r>
    </w:p>
    <w:p>
      <w:pPr>
        <w:ind w:firstLine="480"/>
        <w:rPr>
          <w:rFonts w:ascii="Times New Roman" w:hAnsi="Times New Roman" w:eastAsia="宋体" w:cs="Times New Roman"/>
        </w:rPr>
      </w:pPr>
      <w:bookmarkStart w:id="1088" w:name="_Toc510164147"/>
      <w:r>
        <w:rPr>
          <w:rFonts w:ascii="Times New Roman" w:hAnsi="Times New Roman" w:eastAsia="宋体" w:cs="Times New Roman"/>
        </w:rPr>
        <w:t>（2）周期性：公司级的培训一般每年一次，部门与功能性的培训每季一次；</w:t>
      </w:r>
      <w:bookmarkEnd w:id="1088"/>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t>（3）真实性：培训应贴近实际应急活动。</w:t>
      </w:r>
    </w:p>
    <w:p>
      <w:pPr>
        <w:pStyle w:val="7"/>
        <w:spacing w:before="260" w:after="260"/>
        <w:rPr>
          <w:rFonts w:ascii="Times New Roman" w:hAnsi="Times New Roman" w:eastAsia="宋体" w:cs="Times New Roman"/>
          <w:sz w:val="30"/>
          <w:szCs w:val="30"/>
        </w:rPr>
      </w:pPr>
      <w:bookmarkStart w:id="1089" w:name="_Toc510164512"/>
      <w:bookmarkStart w:id="1090" w:name="_Toc132468875"/>
      <w:bookmarkStart w:id="1091" w:name="_Toc12462"/>
      <w:bookmarkStart w:id="1092" w:name="_Toc510164349"/>
      <w:bookmarkStart w:id="1093" w:name="_Toc523160412"/>
      <w:bookmarkStart w:id="1094" w:name="_Toc510164148"/>
      <w:bookmarkStart w:id="1095" w:name="_Toc4397"/>
      <w:bookmarkStart w:id="1096" w:name="_Toc523160178"/>
      <w:bookmarkStart w:id="1097" w:name="_Toc529542663"/>
      <w:bookmarkStart w:id="1098" w:name="_Toc509234863"/>
      <w:r>
        <w:rPr>
          <w:rFonts w:ascii="Times New Roman" w:hAnsi="Times New Roman" w:eastAsia="宋体" w:cs="Times New Roman"/>
          <w:sz w:val="30"/>
          <w:szCs w:val="30"/>
        </w:rPr>
        <w:t>10.2演练</w:t>
      </w:r>
      <w:bookmarkEnd w:id="1089"/>
      <w:bookmarkEnd w:id="1090"/>
      <w:bookmarkEnd w:id="1091"/>
      <w:bookmarkEnd w:id="1092"/>
      <w:bookmarkEnd w:id="1093"/>
      <w:bookmarkEnd w:id="1094"/>
      <w:bookmarkEnd w:id="1095"/>
      <w:bookmarkEnd w:id="1096"/>
      <w:bookmarkEnd w:id="1097"/>
      <w:bookmarkEnd w:id="1098"/>
    </w:p>
    <w:p>
      <w:pPr>
        <w:pStyle w:val="8"/>
        <w:spacing w:before="180" w:after="180"/>
        <w:rPr>
          <w:rFonts w:eastAsia="宋体" w:cs="Times New Roman"/>
          <w:sz w:val="28"/>
          <w:szCs w:val="28"/>
        </w:rPr>
      </w:pPr>
      <w:bookmarkStart w:id="1099" w:name="_Toc509234864"/>
      <w:bookmarkStart w:id="1100" w:name="_Toc26406"/>
      <w:bookmarkStart w:id="1101" w:name="_Toc529542664"/>
      <w:bookmarkStart w:id="1102" w:name="_Toc523160413"/>
      <w:bookmarkStart w:id="1103" w:name="_Toc132468876"/>
      <w:bookmarkStart w:id="1104" w:name="_Toc510164149"/>
      <w:bookmarkStart w:id="1105" w:name="_Toc2122"/>
      <w:r>
        <w:rPr>
          <w:rFonts w:eastAsia="宋体" w:cs="Times New Roman"/>
          <w:sz w:val="28"/>
          <w:szCs w:val="28"/>
        </w:rPr>
        <w:t>10.2.1演练方式</w:t>
      </w:r>
      <w:bookmarkEnd w:id="1099"/>
      <w:bookmarkEnd w:id="1100"/>
      <w:bookmarkEnd w:id="1101"/>
      <w:bookmarkEnd w:id="1102"/>
      <w:bookmarkEnd w:id="1103"/>
      <w:bookmarkEnd w:id="1104"/>
      <w:bookmarkEnd w:id="1105"/>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演练分为桌面演练、功能演练、综合演练三种。</w:t>
      </w:r>
    </w:p>
    <w:p>
      <w:pPr>
        <w:pStyle w:val="8"/>
        <w:spacing w:before="180" w:after="180"/>
        <w:rPr>
          <w:rFonts w:eastAsia="宋体" w:cs="Times New Roman"/>
          <w:sz w:val="28"/>
          <w:szCs w:val="28"/>
        </w:rPr>
      </w:pPr>
      <w:bookmarkStart w:id="1106" w:name="_Toc18079"/>
      <w:bookmarkStart w:id="1107" w:name="_Toc523160414"/>
      <w:bookmarkStart w:id="1108" w:name="_Toc2399"/>
      <w:bookmarkStart w:id="1109" w:name="_Toc529542665"/>
      <w:bookmarkStart w:id="1110" w:name="_Toc509234865"/>
      <w:bookmarkStart w:id="1111" w:name="_Toc132468877"/>
      <w:bookmarkStart w:id="1112" w:name="_Toc510164150"/>
      <w:r>
        <w:rPr>
          <w:rFonts w:eastAsia="宋体" w:cs="Times New Roman"/>
          <w:sz w:val="28"/>
          <w:szCs w:val="28"/>
        </w:rPr>
        <w:t>10.2.2演练组织与级别</w:t>
      </w:r>
      <w:bookmarkEnd w:id="1106"/>
      <w:bookmarkEnd w:id="1107"/>
      <w:bookmarkEnd w:id="1108"/>
      <w:bookmarkEnd w:id="1109"/>
      <w:bookmarkEnd w:id="1110"/>
      <w:bookmarkEnd w:id="1111"/>
      <w:bookmarkEnd w:id="1112"/>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应急演练分为部门、公司级演练和配合政府部门演练三级；</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部门级的演练由部门负责人（现场指挥）组织进行，公司应急指挥领导小组观摩指导；</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公司级演练由公司应急指挥小组组织进行，各相关部门参加；</w:t>
      </w:r>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t>与政府有关部门的联合演练，由政府有关部门组织进行，公司应急领导小组成员参加，相关部门人员参加配合。</w:t>
      </w:r>
    </w:p>
    <w:p>
      <w:pPr>
        <w:pStyle w:val="8"/>
        <w:spacing w:before="180" w:after="180"/>
        <w:rPr>
          <w:rFonts w:eastAsia="宋体" w:cs="Times New Roman"/>
          <w:sz w:val="28"/>
          <w:szCs w:val="28"/>
        </w:rPr>
      </w:pPr>
      <w:bookmarkStart w:id="1113" w:name="_Toc529542666"/>
      <w:bookmarkStart w:id="1114" w:name="_Toc132468878"/>
      <w:bookmarkStart w:id="1115" w:name="_Toc510164151"/>
      <w:bookmarkStart w:id="1116" w:name="_Toc509234866"/>
      <w:bookmarkStart w:id="1117" w:name="_Toc20436"/>
      <w:bookmarkStart w:id="1118" w:name="_Toc523160415"/>
      <w:bookmarkStart w:id="1119" w:name="_Toc31222"/>
      <w:r>
        <w:rPr>
          <w:rFonts w:eastAsia="宋体" w:cs="Times New Roman"/>
          <w:sz w:val="28"/>
          <w:szCs w:val="28"/>
        </w:rPr>
        <w:t>10.2.3演练准备</w:t>
      </w:r>
      <w:bookmarkEnd w:id="1113"/>
      <w:bookmarkEnd w:id="1114"/>
      <w:bookmarkEnd w:id="1115"/>
      <w:bookmarkEnd w:id="1116"/>
      <w:bookmarkEnd w:id="1117"/>
      <w:bookmarkEnd w:id="1118"/>
      <w:bookmarkEnd w:id="1119"/>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演练确定年度工作计划时，制订演练方案，按演练级别报应急指挥负责人审批；</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演练前应落实所需的各种器材装备与物资防护器材的准备，以确保演练顺利进行；</w:t>
      </w:r>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t>演练前应通知周边社区、企业人员，必要时与新闻媒体沟通，以避免造成不必要的影响。</w:t>
      </w:r>
    </w:p>
    <w:p>
      <w:pPr>
        <w:pStyle w:val="8"/>
        <w:spacing w:before="180" w:after="180"/>
        <w:rPr>
          <w:rFonts w:eastAsia="宋体" w:cs="Times New Roman"/>
          <w:sz w:val="28"/>
          <w:szCs w:val="28"/>
        </w:rPr>
      </w:pPr>
      <w:bookmarkStart w:id="1120" w:name="_Toc510164152"/>
      <w:bookmarkStart w:id="1121" w:name="_Toc509234867"/>
      <w:bookmarkStart w:id="1122" w:name="_Toc132468879"/>
      <w:bookmarkStart w:id="1123" w:name="_Toc15114"/>
      <w:bookmarkStart w:id="1124" w:name="_Toc529542667"/>
      <w:bookmarkStart w:id="1125" w:name="_Toc523160416"/>
      <w:bookmarkStart w:id="1126" w:name="_Toc18652"/>
      <w:r>
        <w:rPr>
          <w:rFonts w:eastAsia="宋体" w:cs="Times New Roman"/>
          <w:sz w:val="28"/>
          <w:szCs w:val="28"/>
        </w:rPr>
        <w:t>10.2.4演练频次与范围</w:t>
      </w:r>
      <w:bookmarkEnd w:id="1120"/>
      <w:bookmarkEnd w:id="1121"/>
      <w:bookmarkEnd w:id="1122"/>
      <w:bookmarkEnd w:id="1123"/>
      <w:bookmarkEnd w:id="1124"/>
      <w:bookmarkEnd w:id="1125"/>
      <w:bookmarkEnd w:id="1126"/>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车间演练（或训练）以报警、报告程序、现场应急处置、紧急疏散等熟悉应急响应和某项应急功能的单项演练为主，演练频次每年2次以上；</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u w:val="single"/>
        </w:rPr>
        <w:t>公司级演练以某些外部应急组织之间相互协调进行的演练与公司级预案全部或部分功能的综合演练为主，演练频次每年1次以</w:t>
      </w:r>
      <w:r>
        <w:rPr>
          <w:rFonts w:ascii="Times New Roman" w:hAnsi="Times New Roman" w:eastAsia="宋体" w:cs="Times New Roman"/>
          <w:kern w:val="0"/>
          <w:szCs w:val="24"/>
        </w:rPr>
        <w:t>上；</w:t>
      </w:r>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t>积极组织参加政府有关部门的演练。</w:t>
      </w:r>
    </w:p>
    <w:p>
      <w:pPr>
        <w:pStyle w:val="7"/>
        <w:spacing w:before="260" w:after="260"/>
        <w:rPr>
          <w:rFonts w:ascii="Times New Roman" w:hAnsi="Times New Roman" w:eastAsia="宋体" w:cs="Times New Roman"/>
          <w:sz w:val="30"/>
          <w:szCs w:val="30"/>
        </w:rPr>
      </w:pPr>
      <w:bookmarkStart w:id="1127" w:name="_Toc18137"/>
      <w:bookmarkStart w:id="1128" w:name="_Toc523160179"/>
      <w:bookmarkStart w:id="1129" w:name="_Toc510164153"/>
      <w:bookmarkStart w:id="1130" w:name="_Toc10900"/>
      <w:bookmarkStart w:id="1131" w:name="_Toc529542668"/>
      <w:bookmarkStart w:id="1132" w:name="_Toc523160417"/>
      <w:bookmarkStart w:id="1133" w:name="_Toc509234868"/>
      <w:bookmarkStart w:id="1134" w:name="_Toc510164513"/>
      <w:bookmarkStart w:id="1135" w:name="_Toc510164350"/>
      <w:bookmarkStart w:id="1136" w:name="_Toc132468880"/>
      <w:r>
        <w:rPr>
          <w:rFonts w:ascii="Times New Roman" w:hAnsi="Times New Roman" w:eastAsia="宋体" w:cs="Times New Roman"/>
          <w:sz w:val="30"/>
          <w:szCs w:val="30"/>
        </w:rPr>
        <w:t>10.3奖励与责任追究</w:t>
      </w:r>
      <w:bookmarkEnd w:id="1127"/>
      <w:bookmarkEnd w:id="1128"/>
      <w:bookmarkEnd w:id="1129"/>
      <w:bookmarkEnd w:id="1130"/>
      <w:bookmarkEnd w:id="1131"/>
      <w:bookmarkEnd w:id="1132"/>
      <w:bookmarkEnd w:id="1133"/>
      <w:bookmarkEnd w:id="1134"/>
      <w:bookmarkEnd w:id="1135"/>
      <w:bookmarkEnd w:id="1136"/>
    </w:p>
    <w:p>
      <w:pPr>
        <w:pStyle w:val="8"/>
        <w:spacing w:before="180" w:after="180"/>
        <w:rPr>
          <w:rFonts w:eastAsia="宋体" w:cs="Times New Roman"/>
          <w:sz w:val="28"/>
          <w:szCs w:val="28"/>
        </w:rPr>
      </w:pPr>
      <w:bookmarkStart w:id="1137" w:name="_Toc510164154"/>
      <w:bookmarkStart w:id="1138" w:name="_Toc529542669"/>
      <w:bookmarkStart w:id="1139" w:name="_Toc510164351"/>
      <w:bookmarkStart w:id="1140" w:name="_Toc23684"/>
      <w:bookmarkStart w:id="1141" w:name="_Toc132468881"/>
      <w:bookmarkStart w:id="1142" w:name="_Toc16802"/>
      <w:bookmarkStart w:id="1143" w:name="_Toc509234869"/>
      <w:bookmarkStart w:id="1144" w:name="_Toc523160418"/>
      <w:bookmarkStart w:id="1145" w:name="_Toc510164514"/>
      <w:r>
        <w:rPr>
          <w:rFonts w:eastAsia="宋体" w:cs="Times New Roman"/>
          <w:sz w:val="28"/>
          <w:szCs w:val="28"/>
        </w:rPr>
        <w:t>10.3.1奖励</w:t>
      </w:r>
      <w:bookmarkEnd w:id="1137"/>
      <w:bookmarkEnd w:id="1138"/>
      <w:bookmarkEnd w:id="1139"/>
      <w:bookmarkEnd w:id="1140"/>
      <w:bookmarkEnd w:id="1141"/>
      <w:bookmarkEnd w:id="1142"/>
      <w:bookmarkEnd w:id="1143"/>
      <w:bookmarkEnd w:id="1144"/>
      <w:bookmarkEnd w:id="1145"/>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在突发环境事件应急救援工作中，有下列事迹之一的个人，应依据有关规定给予奖励：</w:t>
      </w:r>
    </w:p>
    <w:p>
      <w:pPr>
        <w:ind w:firstLine="480"/>
        <w:rPr>
          <w:rFonts w:ascii="Times New Roman" w:hAnsi="Times New Roman" w:eastAsia="宋体" w:cs="Times New Roman"/>
        </w:rPr>
      </w:pPr>
      <w:bookmarkStart w:id="1146" w:name="_Toc510164155"/>
      <w:r>
        <w:rPr>
          <w:rFonts w:ascii="Times New Roman" w:hAnsi="Times New Roman" w:eastAsia="宋体" w:cs="Times New Roman"/>
        </w:rPr>
        <w:t>（1）预先发现事故隐患，减少事故损失的；</w:t>
      </w:r>
      <w:bookmarkEnd w:id="1146"/>
    </w:p>
    <w:p>
      <w:pPr>
        <w:ind w:firstLine="480"/>
        <w:rPr>
          <w:rFonts w:ascii="Times New Roman" w:hAnsi="Times New Roman" w:eastAsia="宋体" w:cs="Times New Roman"/>
        </w:rPr>
      </w:pPr>
      <w:r>
        <w:rPr>
          <w:rFonts w:ascii="Times New Roman" w:hAnsi="Times New Roman" w:eastAsia="宋体" w:cs="Times New Roman"/>
        </w:rPr>
        <w:t>（2）出色完成突发环境事件应急处置任务，成绩显著的；</w:t>
      </w:r>
    </w:p>
    <w:p>
      <w:pPr>
        <w:ind w:firstLine="480"/>
        <w:rPr>
          <w:rFonts w:ascii="Times New Roman" w:hAnsi="Times New Roman" w:eastAsia="宋体" w:cs="Times New Roman"/>
        </w:rPr>
      </w:pPr>
      <w:r>
        <w:rPr>
          <w:rFonts w:ascii="Times New Roman" w:hAnsi="Times New Roman" w:eastAsia="宋体" w:cs="Times New Roman"/>
        </w:rPr>
        <w:t>（3）对防止或挽救突发环境事件有功，使集体和人民群众的生命财产免受或者减少损失的；</w:t>
      </w:r>
    </w:p>
    <w:p>
      <w:pPr>
        <w:ind w:firstLine="480"/>
        <w:rPr>
          <w:rFonts w:ascii="Times New Roman" w:hAnsi="Times New Roman" w:eastAsia="宋体" w:cs="Times New Roman"/>
        </w:rPr>
      </w:pPr>
      <w:bookmarkStart w:id="1147" w:name="_Toc510164156"/>
      <w:r>
        <w:rPr>
          <w:rFonts w:ascii="Times New Roman" w:hAnsi="Times New Roman" w:eastAsia="宋体" w:cs="Times New Roman"/>
        </w:rPr>
        <w:t>（4）对事件应急准备与响应提出重大建议，实施效果显著的；</w:t>
      </w:r>
      <w:bookmarkEnd w:id="1147"/>
    </w:p>
    <w:p>
      <w:pPr>
        <w:ind w:firstLine="480"/>
        <w:rPr>
          <w:rFonts w:ascii="Times New Roman" w:hAnsi="Times New Roman" w:eastAsia="宋体" w:cs="Times New Roman"/>
        </w:rPr>
      </w:pPr>
      <w:r>
        <w:rPr>
          <w:rFonts w:ascii="Times New Roman" w:hAnsi="Times New Roman" w:eastAsia="宋体" w:cs="Times New Roman"/>
        </w:rPr>
        <w:t>（5）有其他特殊贡献的。</w:t>
      </w:r>
    </w:p>
    <w:p>
      <w:pPr>
        <w:pStyle w:val="8"/>
        <w:spacing w:before="180" w:after="180"/>
        <w:rPr>
          <w:rFonts w:eastAsia="宋体" w:cs="Times New Roman"/>
          <w:sz w:val="28"/>
          <w:szCs w:val="28"/>
        </w:rPr>
      </w:pPr>
      <w:bookmarkStart w:id="1148" w:name="_Toc132468882"/>
      <w:bookmarkStart w:id="1149" w:name="_Toc529542670"/>
      <w:bookmarkStart w:id="1150" w:name="_Toc510164515"/>
      <w:bookmarkStart w:id="1151" w:name="_Toc15763"/>
      <w:bookmarkStart w:id="1152" w:name="_Toc510164157"/>
      <w:bookmarkStart w:id="1153" w:name="_Toc510164352"/>
      <w:bookmarkStart w:id="1154" w:name="_Toc509234870"/>
      <w:bookmarkStart w:id="1155" w:name="_Toc8168"/>
      <w:bookmarkStart w:id="1156" w:name="_Toc523160419"/>
      <w:r>
        <w:rPr>
          <w:rFonts w:eastAsia="宋体" w:cs="Times New Roman"/>
          <w:sz w:val="28"/>
          <w:szCs w:val="28"/>
        </w:rPr>
        <w:t>10.3.2责任追究</w:t>
      </w:r>
      <w:bookmarkEnd w:id="1148"/>
      <w:bookmarkEnd w:id="1149"/>
      <w:bookmarkEnd w:id="1150"/>
      <w:bookmarkEnd w:id="1151"/>
      <w:bookmarkEnd w:id="1152"/>
      <w:bookmarkEnd w:id="1153"/>
      <w:bookmarkEnd w:id="1154"/>
      <w:bookmarkEnd w:id="1155"/>
      <w:bookmarkEnd w:id="1156"/>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在突发环境事件应急工作中，有下列行为之一的，按照有关法律和规定，对有关责任人员视情节和危害后果，由其所在单位或者上级机关给予行政处分；其中，属于违反治安管理行为的，由公安机关依照治安管理处罚条例的规定予以处罚；构成犯罪的，由司法机关依法追究刑事责任。</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（1）不认真履行环保法律、法规，而引发环境事件的；</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（2）玩忽职守，引起事故发生的；</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（3）不按规定报告、通报突发环境事件真实情况的；</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（4）拒不执行突发环境事件应急预案，不服从命令和指挥，或者在事件应急响应时临阵脱逃的；</w:t>
      </w:r>
    </w:p>
    <w:p>
      <w:pPr>
        <w:ind w:firstLine="480"/>
        <w:rPr>
          <w:rFonts w:ascii="Times New Roman" w:hAnsi="Times New Roman" w:eastAsia="宋体" w:cs="Times New Roman"/>
        </w:rPr>
      </w:pPr>
      <w:bookmarkStart w:id="1157" w:name="_Toc510164158"/>
      <w:r>
        <w:rPr>
          <w:rFonts w:ascii="Times New Roman" w:hAnsi="Times New Roman" w:eastAsia="宋体" w:cs="Times New Roman"/>
        </w:rPr>
        <w:t>（5）盗窃、贪污、挪用环境事件应急工作资金、装备和物资的；</w:t>
      </w:r>
      <w:bookmarkEnd w:id="1157"/>
    </w:p>
    <w:p>
      <w:pPr>
        <w:ind w:firstLine="480"/>
        <w:rPr>
          <w:rFonts w:ascii="Times New Roman" w:hAnsi="Times New Roman" w:eastAsia="宋体" w:cs="Times New Roman"/>
        </w:rPr>
      </w:pPr>
      <w:r>
        <w:rPr>
          <w:rFonts w:ascii="Times New Roman" w:hAnsi="Times New Roman" w:eastAsia="宋体" w:cs="Times New Roman"/>
        </w:rPr>
        <w:t>（6）阻碍环境事件应急工作人员依法执行职务或者进行破坏活动的；</w:t>
      </w:r>
    </w:p>
    <w:p>
      <w:pPr>
        <w:ind w:firstLine="480"/>
        <w:rPr>
          <w:rFonts w:ascii="Times New Roman" w:hAnsi="Times New Roman" w:eastAsia="宋体" w:cs="Times New Roman"/>
        </w:rPr>
      </w:pPr>
      <w:bookmarkStart w:id="1158" w:name="_Toc510164159"/>
      <w:r>
        <w:rPr>
          <w:rFonts w:ascii="Times New Roman" w:hAnsi="Times New Roman" w:eastAsia="宋体" w:cs="Times New Roman"/>
        </w:rPr>
        <w:t>（7）散布谣言，扰乱社会秩序的；</w:t>
      </w:r>
      <w:bookmarkEnd w:id="1158"/>
    </w:p>
    <w:p>
      <w:pPr>
        <w:ind w:firstLine="480"/>
        <w:rPr>
          <w:rFonts w:ascii="Times New Roman" w:hAnsi="Times New Roman" w:eastAsia="宋体" w:cs="Times New Roman"/>
        </w:rPr>
      </w:pPr>
      <w:r>
        <w:rPr>
          <w:rFonts w:ascii="Times New Roman" w:hAnsi="Times New Roman" w:eastAsia="宋体" w:cs="Times New Roman"/>
        </w:rPr>
        <w:t>（8）有其他对环境事件应急工作造成危害行为的。</w:t>
      </w:r>
    </w:p>
    <w:p>
      <w:pPr>
        <w:pStyle w:val="7"/>
        <w:spacing w:before="260" w:after="260"/>
        <w:rPr>
          <w:rFonts w:ascii="Times New Roman" w:hAnsi="Times New Roman" w:eastAsia="宋体" w:cs="Times New Roman"/>
          <w:sz w:val="30"/>
          <w:szCs w:val="30"/>
        </w:rPr>
      </w:pPr>
      <w:bookmarkStart w:id="1159" w:name="_Toc510164516"/>
      <w:bookmarkStart w:id="1160" w:name="_Toc509234871"/>
      <w:bookmarkStart w:id="1161" w:name="_Toc510164160"/>
      <w:bookmarkStart w:id="1162" w:name="_Toc523160180"/>
      <w:bookmarkStart w:id="1163" w:name="_Toc23924"/>
      <w:bookmarkStart w:id="1164" w:name="_Toc352"/>
      <w:bookmarkStart w:id="1165" w:name="_Toc132468883"/>
      <w:bookmarkStart w:id="1166" w:name="_Toc529542671"/>
      <w:bookmarkStart w:id="1167" w:name="_Toc523160420"/>
      <w:bookmarkStart w:id="1168" w:name="_Toc510164353"/>
      <w:r>
        <w:rPr>
          <w:rFonts w:ascii="Times New Roman" w:hAnsi="Times New Roman" w:eastAsia="宋体" w:cs="Times New Roman"/>
          <w:sz w:val="30"/>
          <w:szCs w:val="30"/>
        </w:rPr>
        <w:t>10.4预案的备案、发布和更新</w:t>
      </w:r>
      <w:bookmarkEnd w:id="1159"/>
      <w:bookmarkEnd w:id="1160"/>
      <w:bookmarkEnd w:id="1161"/>
      <w:bookmarkEnd w:id="1162"/>
      <w:bookmarkEnd w:id="1163"/>
      <w:bookmarkEnd w:id="1164"/>
      <w:bookmarkEnd w:id="1165"/>
      <w:bookmarkEnd w:id="1166"/>
      <w:bookmarkEnd w:id="1167"/>
      <w:bookmarkEnd w:id="1168"/>
    </w:p>
    <w:p>
      <w:pPr>
        <w:pStyle w:val="8"/>
        <w:spacing w:before="180" w:after="180"/>
        <w:rPr>
          <w:rFonts w:eastAsia="宋体" w:cs="Times New Roman"/>
          <w:sz w:val="28"/>
          <w:szCs w:val="28"/>
        </w:rPr>
      </w:pPr>
      <w:bookmarkStart w:id="1169" w:name="_Toc509234872"/>
      <w:bookmarkStart w:id="1170" w:name="_Toc529542672"/>
      <w:bookmarkStart w:id="1171" w:name="_Toc132468884"/>
      <w:bookmarkStart w:id="1172" w:name="_Toc510164354"/>
      <w:bookmarkStart w:id="1173" w:name="_Toc22903"/>
      <w:bookmarkStart w:id="1174" w:name="_Toc5031"/>
      <w:bookmarkStart w:id="1175" w:name="_Toc510164517"/>
      <w:bookmarkStart w:id="1176" w:name="_Toc523160421"/>
      <w:bookmarkStart w:id="1177" w:name="_Toc510164161"/>
      <w:r>
        <w:rPr>
          <w:rFonts w:eastAsia="宋体" w:cs="Times New Roman"/>
          <w:sz w:val="28"/>
          <w:szCs w:val="28"/>
        </w:rPr>
        <w:t>10.4.1预案备案</w:t>
      </w:r>
      <w:bookmarkEnd w:id="1169"/>
      <w:bookmarkEnd w:id="1170"/>
      <w:bookmarkEnd w:id="1171"/>
      <w:bookmarkEnd w:id="1172"/>
      <w:bookmarkEnd w:id="1173"/>
      <w:bookmarkEnd w:id="1174"/>
      <w:bookmarkEnd w:id="1175"/>
      <w:bookmarkEnd w:id="1176"/>
      <w:bookmarkEnd w:id="1177"/>
    </w:p>
    <w:p>
      <w:pPr>
        <w:ind w:firstLine="480"/>
        <w:rPr>
          <w:rFonts w:ascii="Times New Roman" w:hAnsi="Times New Roman" w:eastAsia="宋体" w:cs="Times New Roman"/>
          <w:szCs w:val="24"/>
        </w:rPr>
      </w:pPr>
      <w:r>
        <w:rPr>
          <w:rFonts w:ascii="Times New Roman" w:hAnsi="Times New Roman" w:eastAsia="宋体" w:cs="Times New Roman"/>
          <w:szCs w:val="24"/>
        </w:rPr>
        <w:t>公司应将最新版本应急预案报咸宁生态环境局赤壁市分局进行备案。</w:t>
      </w:r>
    </w:p>
    <w:p>
      <w:pPr>
        <w:pStyle w:val="8"/>
        <w:spacing w:before="180" w:after="180"/>
        <w:rPr>
          <w:rFonts w:eastAsia="宋体" w:cs="Times New Roman"/>
          <w:sz w:val="28"/>
          <w:szCs w:val="28"/>
        </w:rPr>
      </w:pPr>
      <w:bookmarkStart w:id="1178" w:name="_Toc7529"/>
      <w:bookmarkStart w:id="1179" w:name="_Toc509234873"/>
      <w:bookmarkStart w:id="1180" w:name="_Toc510164355"/>
      <w:bookmarkStart w:id="1181" w:name="_Toc510164162"/>
      <w:bookmarkStart w:id="1182" w:name="_Toc31925"/>
      <w:bookmarkStart w:id="1183" w:name="_Toc523160422"/>
      <w:bookmarkStart w:id="1184" w:name="_Toc529542673"/>
      <w:bookmarkStart w:id="1185" w:name="_Toc510164518"/>
      <w:bookmarkStart w:id="1186" w:name="_Toc132468885"/>
      <w:r>
        <w:rPr>
          <w:rFonts w:eastAsia="宋体" w:cs="Times New Roman"/>
          <w:sz w:val="28"/>
          <w:szCs w:val="28"/>
        </w:rPr>
        <w:t>10.4.2预案分布与发放</w:t>
      </w:r>
      <w:bookmarkEnd w:id="1178"/>
      <w:bookmarkEnd w:id="1179"/>
      <w:bookmarkEnd w:id="1180"/>
      <w:bookmarkEnd w:id="1181"/>
      <w:bookmarkEnd w:id="1182"/>
      <w:bookmarkEnd w:id="1183"/>
      <w:bookmarkEnd w:id="1184"/>
      <w:bookmarkEnd w:id="1185"/>
      <w:bookmarkEnd w:id="1186"/>
    </w:p>
    <w:p>
      <w:pPr>
        <w:ind w:firstLine="480"/>
        <w:rPr>
          <w:rFonts w:ascii="Times New Roman" w:hAnsi="Times New Roman" w:eastAsia="宋体" w:cs="Times New Roman"/>
          <w:szCs w:val="24"/>
        </w:rPr>
      </w:pPr>
      <w:r>
        <w:rPr>
          <w:rFonts w:ascii="Times New Roman" w:hAnsi="Times New Roman" w:eastAsia="宋体" w:cs="Times New Roman"/>
          <w:szCs w:val="24"/>
        </w:rPr>
        <w:t>公司应急预案经公司评审后，由总经理签署发布；应急领导指挥小组负责对应急预案的统一管理；办公室负责预案的管理发放，发放应建立发放记录，并及时对已发放预案进行更新，确保各部门获得最新版本的应急预案；应发放给应急指挥小组成员和各部门主要负责人、岗位。</w:t>
      </w:r>
    </w:p>
    <w:p>
      <w:pPr>
        <w:pStyle w:val="8"/>
        <w:spacing w:before="180" w:after="180"/>
        <w:rPr>
          <w:rFonts w:eastAsia="宋体" w:cs="Times New Roman"/>
          <w:sz w:val="28"/>
          <w:szCs w:val="28"/>
        </w:rPr>
      </w:pPr>
      <w:bookmarkStart w:id="1187" w:name="_Toc22023"/>
      <w:bookmarkStart w:id="1188" w:name="_Toc510164356"/>
      <w:bookmarkStart w:id="1189" w:name="_Toc529542674"/>
      <w:bookmarkStart w:id="1190" w:name="_Toc523160423"/>
      <w:bookmarkStart w:id="1191" w:name="_Toc509234874"/>
      <w:bookmarkStart w:id="1192" w:name="_Toc510164163"/>
      <w:bookmarkStart w:id="1193" w:name="_Toc132468886"/>
      <w:bookmarkStart w:id="1194" w:name="_Toc510164519"/>
      <w:bookmarkStart w:id="1195" w:name="_Toc2272"/>
      <w:r>
        <w:rPr>
          <w:rFonts w:eastAsia="宋体" w:cs="Times New Roman"/>
          <w:sz w:val="28"/>
          <w:szCs w:val="28"/>
        </w:rPr>
        <w:t>10.4.3应急预案的修订</w:t>
      </w:r>
      <w:bookmarkEnd w:id="1187"/>
      <w:bookmarkEnd w:id="1188"/>
      <w:bookmarkEnd w:id="1189"/>
      <w:bookmarkEnd w:id="1190"/>
      <w:bookmarkEnd w:id="1191"/>
      <w:bookmarkEnd w:id="1192"/>
      <w:bookmarkEnd w:id="1193"/>
      <w:bookmarkEnd w:id="1194"/>
      <w:bookmarkEnd w:id="1195"/>
    </w:p>
    <w:p>
      <w:pPr>
        <w:widowControl/>
        <w:autoSpaceDE w:val="0"/>
        <w:autoSpaceDN w:val="0"/>
        <w:adjustRightInd w:val="0"/>
        <w:ind w:firstLine="480" w:firstLineChars="0"/>
        <w:jc w:val="left"/>
        <w:rPr>
          <w:rFonts w:ascii="Times New Roman" w:hAnsi="Times New Roman" w:cs="Times New Roman"/>
        </w:rPr>
      </w:pPr>
      <w:r>
        <w:rPr>
          <w:rFonts w:ascii="Times New Roman" w:hAnsi="Times New Roman" w:cs="Times New Roman"/>
        </w:rPr>
        <w:t>为适应国家相关法律、法规的调整和部门或应急资源的变化，结合生产过程中发现存在的问题和出现的新情况、企业主要人员变动，将对本预案进行修订更新，并将新预案发送到公司内各部门进行学习。</w:t>
      </w:r>
    </w:p>
    <w:p>
      <w:pPr>
        <w:widowControl/>
        <w:autoSpaceDE w:val="0"/>
        <w:autoSpaceDN w:val="0"/>
        <w:adjustRightInd w:val="0"/>
        <w:ind w:firstLine="480" w:firstLineChars="0"/>
        <w:jc w:val="left"/>
        <w:rPr>
          <w:rFonts w:ascii="Times New Roman" w:hAnsi="Times New Roman" w:cs="Times New Roman"/>
          <w:kern w:val="0"/>
          <w:lang w:bidi="ar"/>
        </w:rPr>
      </w:pPr>
      <w:r>
        <w:rPr>
          <w:rFonts w:ascii="Times New Roman" w:hAnsi="Times New Roman" w:cs="Times New Roman"/>
          <w:kern w:val="0"/>
          <w:lang w:bidi="ar"/>
        </w:rPr>
        <w:t>（1）结合环境应急预案实施情况，至少每三年对环境应急预案进行一次回顾性评估。有下列情形之一的，及时修订：</w:t>
      </w:r>
    </w:p>
    <w:p>
      <w:pPr>
        <w:widowControl/>
        <w:numPr>
          <w:ilvl w:val="255"/>
          <w:numId w:val="0"/>
        </w:numPr>
        <w:autoSpaceDE w:val="0"/>
        <w:autoSpaceDN w:val="0"/>
        <w:adjustRightInd w:val="0"/>
        <w:ind w:firstLine="480"/>
        <w:jc w:val="left"/>
        <w:rPr>
          <w:rFonts w:ascii="Times New Roman" w:hAnsi="Times New Roman" w:cs="Times New Roman"/>
          <w:kern w:val="0"/>
          <w:lang w:bidi="ar"/>
        </w:rPr>
      </w:pPr>
      <w:r>
        <w:rPr>
          <w:rFonts w:ascii="Times New Roman" w:hAnsi="Times New Roman" w:cs="Times New Roman"/>
          <w:kern w:val="0"/>
          <w:lang w:bidi="ar"/>
        </w:rPr>
        <w:t>（一）面临的环境风险发生重大变化，需要重新进行环境风险评估的；</w:t>
      </w:r>
    </w:p>
    <w:p>
      <w:pPr>
        <w:widowControl/>
        <w:numPr>
          <w:ilvl w:val="255"/>
          <w:numId w:val="0"/>
        </w:numPr>
        <w:autoSpaceDE w:val="0"/>
        <w:autoSpaceDN w:val="0"/>
        <w:adjustRightInd w:val="0"/>
        <w:ind w:firstLine="480"/>
        <w:jc w:val="left"/>
        <w:rPr>
          <w:rFonts w:ascii="Times New Roman" w:hAnsi="Times New Roman" w:cs="Times New Roman"/>
          <w:kern w:val="0"/>
          <w:lang w:bidi="ar"/>
        </w:rPr>
      </w:pPr>
      <w:r>
        <w:rPr>
          <w:rFonts w:ascii="Times New Roman" w:hAnsi="Times New Roman" w:cs="Times New Roman"/>
          <w:kern w:val="0"/>
          <w:lang w:bidi="ar"/>
        </w:rPr>
        <w:t>（二）应急管理组织指挥体系与职责发生重大变化的；</w:t>
      </w:r>
    </w:p>
    <w:p>
      <w:pPr>
        <w:widowControl/>
        <w:numPr>
          <w:ilvl w:val="255"/>
          <w:numId w:val="0"/>
        </w:numPr>
        <w:autoSpaceDE w:val="0"/>
        <w:autoSpaceDN w:val="0"/>
        <w:adjustRightInd w:val="0"/>
        <w:ind w:firstLine="480"/>
        <w:jc w:val="left"/>
        <w:rPr>
          <w:rFonts w:ascii="Times New Roman" w:hAnsi="Times New Roman" w:cs="Times New Roman"/>
          <w:kern w:val="0"/>
          <w:lang w:bidi="ar"/>
        </w:rPr>
      </w:pPr>
      <w:r>
        <w:rPr>
          <w:rFonts w:ascii="Times New Roman" w:hAnsi="Times New Roman" w:cs="Times New Roman"/>
          <w:kern w:val="0"/>
          <w:lang w:bidi="ar"/>
        </w:rPr>
        <w:t>（三）环境应急监测预警及报告机制、应对流程和措施、应急保障措施发生重大变化的；</w:t>
      </w:r>
    </w:p>
    <w:p>
      <w:pPr>
        <w:widowControl/>
        <w:numPr>
          <w:ilvl w:val="255"/>
          <w:numId w:val="0"/>
        </w:numPr>
        <w:autoSpaceDE w:val="0"/>
        <w:autoSpaceDN w:val="0"/>
        <w:adjustRightInd w:val="0"/>
        <w:ind w:firstLine="480"/>
        <w:jc w:val="left"/>
        <w:rPr>
          <w:rFonts w:ascii="Times New Roman" w:hAnsi="Times New Roman" w:cs="Times New Roman"/>
          <w:kern w:val="0"/>
          <w:lang w:bidi="ar"/>
        </w:rPr>
      </w:pPr>
      <w:r>
        <w:rPr>
          <w:rFonts w:ascii="Times New Roman" w:hAnsi="Times New Roman" w:cs="Times New Roman"/>
          <w:kern w:val="0"/>
          <w:lang w:bidi="ar"/>
        </w:rPr>
        <w:t>（四）重要应急资源发生重大变化的；</w:t>
      </w:r>
    </w:p>
    <w:p>
      <w:pPr>
        <w:widowControl/>
        <w:numPr>
          <w:ilvl w:val="255"/>
          <w:numId w:val="0"/>
        </w:numPr>
        <w:autoSpaceDE w:val="0"/>
        <w:autoSpaceDN w:val="0"/>
        <w:adjustRightInd w:val="0"/>
        <w:ind w:firstLine="480"/>
        <w:jc w:val="left"/>
        <w:rPr>
          <w:rFonts w:ascii="Times New Roman" w:hAnsi="Times New Roman" w:cs="Times New Roman"/>
          <w:kern w:val="0"/>
          <w:lang w:bidi="ar"/>
        </w:rPr>
      </w:pPr>
      <w:r>
        <w:rPr>
          <w:rFonts w:ascii="Times New Roman" w:hAnsi="Times New Roman" w:cs="Times New Roman"/>
          <w:kern w:val="0"/>
          <w:lang w:bidi="ar"/>
        </w:rPr>
        <w:t>（五）在突发事件实际应对和应急演练中发现问题，需要对环境应急预案作出重大调整的；</w:t>
      </w:r>
    </w:p>
    <w:p>
      <w:pPr>
        <w:widowControl/>
        <w:numPr>
          <w:ilvl w:val="255"/>
          <w:numId w:val="0"/>
        </w:numPr>
        <w:autoSpaceDE w:val="0"/>
        <w:autoSpaceDN w:val="0"/>
        <w:adjustRightInd w:val="0"/>
        <w:ind w:firstLine="480"/>
        <w:jc w:val="left"/>
        <w:rPr>
          <w:rFonts w:ascii="Times New Roman" w:hAnsi="Times New Roman" w:cs="Times New Roman"/>
          <w:kern w:val="0"/>
          <w:lang w:bidi="ar"/>
        </w:rPr>
      </w:pPr>
      <w:r>
        <w:rPr>
          <w:rFonts w:ascii="Times New Roman" w:hAnsi="Times New Roman" w:cs="Times New Roman"/>
          <w:kern w:val="0"/>
          <w:lang w:bidi="ar"/>
        </w:rPr>
        <w:t>（六）其他需要修订的情况。</w:t>
      </w:r>
    </w:p>
    <w:p>
      <w:pPr>
        <w:widowControl/>
        <w:autoSpaceDE w:val="0"/>
        <w:autoSpaceDN w:val="0"/>
        <w:adjustRightInd w:val="0"/>
        <w:ind w:firstLine="480"/>
        <w:jc w:val="left"/>
        <w:rPr>
          <w:rFonts w:ascii="Times New Roman" w:hAnsi="Times New Roman" w:cs="Times New Roman"/>
          <w:kern w:val="0"/>
        </w:rPr>
      </w:pPr>
      <w:r>
        <w:rPr>
          <w:rFonts w:ascii="Times New Roman" w:hAnsi="Times New Roman" w:cs="Times New Roman"/>
          <w:kern w:val="0"/>
          <w:lang w:bidi="ar"/>
        </w:rPr>
        <w:t>对环境应急预案进行重大修订的，修订工作参照环境应急预案制定步骤进行。对环境应急预案个别内容进行调整的，修订工作可适当简化。</w:t>
      </w:r>
    </w:p>
    <w:p>
      <w:pPr>
        <w:autoSpaceDE w:val="0"/>
        <w:autoSpaceDN w:val="0"/>
        <w:adjustRightInd w:val="0"/>
        <w:ind w:firstLine="480"/>
        <w:jc w:val="left"/>
        <w:rPr>
          <w:rFonts w:ascii="Times New Roman" w:hAnsi="Times New Roman" w:cs="Times New Roman"/>
          <w:kern w:val="0"/>
        </w:rPr>
      </w:pPr>
      <w:r>
        <w:rPr>
          <w:rFonts w:ascii="Times New Roman" w:hAnsi="Times New Roman" w:cs="Times New Roman"/>
          <w:kern w:val="0"/>
        </w:rPr>
        <w:t>（2）应急预案更改、修订程序</w:t>
      </w:r>
    </w:p>
    <w:p>
      <w:pPr>
        <w:autoSpaceDE w:val="0"/>
        <w:autoSpaceDN w:val="0"/>
        <w:adjustRightInd w:val="0"/>
        <w:ind w:firstLine="480"/>
        <w:jc w:val="left"/>
        <w:rPr>
          <w:rFonts w:ascii="Times New Roman" w:hAnsi="Times New Roman" w:cs="Times New Roman"/>
          <w:kern w:val="0"/>
        </w:rPr>
      </w:pPr>
      <w:r>
        <w:rPr>
          <w:rFonts w:ascii="Times New Roman" w:hAnsi="Times New Roman" w:cs="Times New Roman"/>
          <w:kern w:val="0"/>
        </w:rPr>
        <w:t>应急预案的修订由应急领导指挥小组根据上述情况的变化和原因，向公司领导提出申请，说明修改原因，经授权后组织修订，并将修改后的文件报送给相关部门。</w:t>
      </w:r>
    </w:p>
    <w:p>
      <w:pPr>
        <w:widowControl/>
        <w:autoSpaceDE w:val="0"/>
        <w:autoSpaceDN w:val="0"/>
        <w:adjustRightInd w:val="0"/>
        <w:ind w:firstLine="480"/>
        <w:jc w:val="left"/>
        <w:rPr>
          <w:rFonts w:ascii="Times New Roman" w:hAnsi="Times New Roman" w:cs="Times New Roman"/>
          <w:kern w:val="0"/>
        </w:rPr>
      </w:pPr>
      <w:r>
        <w:rPr>
          <w:rFonts w:ascii="Times New Roman" w:hAnsi="Times New Roman" w:cs="Times New Roman"/>
          <w:kern w:val="0"/>
          <w:lang w:bidi="ar"/>
        </w:rPr>
        <w:t>企业环境应急预案有重大修订的，应当在发布之日起20个工作日内向原受理部门变更备案。变更备案按照首次备案要求办理。环境应急预案个别内容进行调整、需要告知环境保护主管部门的，应当在发布之日起20个工作日内以文件形式告知原受理部门。</w:t>
      </w:r>
    </w:p>
    <w:p>
      <w:pPr>
        <w:widowControl/>
        <w:autoSpaceDE w:val="0"/>
        <w:autoSpaceDN w:val="0"/>
        <w:adjustRightInd w:val="0"/>
        <w:ind w:firstLine="480"/>
        <w:jc w:val="left"/>
        <w:rPr>
          <w:rFonts w:ascii="Times New Roman" w:hAnsi="Times New Roman" w:cs="Times New Roman"/>
          <w:kern w:val="0"/>
          <w:lang w:bidi="ar"/>
        </w:rPr>
      </w:pPr>
      <w:r>
        <w:rPr>
          <w:rFonts w:ascii="Times New Roman" w:hAnsi="Times New Roman" w:cs="Times New Roman"/>
          <w:kern w:val="0"/>
        </w:rPr>
        <w:t>（3）预</w:t>
      </w:r>
      <w:r>
        <w:rPr>
          <w:rFonts w:ascii="Times New Roman" w:hAnsi="Times New Roman" w:cs="Times New Roman"/>
          <w:kern w:val="0"/>
          <w:lang w:bidi="ar"/>
        </w:rPr>
        <w:t>案的实施与生效。</w:t>
      </w:r>
    </w:p>
    <w:p>
      <w:pPr>
        <w:widowControl/>
        <w:autoSpaceDE w:val="0"/>
        <w:autoSpaceDN w:val="0"/>
        <w:adjustRightInd w:val="0"/>
        <w:ind w:firstLine="480"/>
        <w:jc w:val="left"/>
        <w:rPr>
          <w:rFonts w:ascii="Times New Roman" w:hAnsi="Times New Roman" w:cs="Times New Roman"/>
          <w:kern w:val="0"/>
          <w:lang w:bidi="ar"/>
        </w:rPr>
      </w:pPr>
      <w:r>
        <w:rPr>
          <w:rFonts w:ascii="Times New Roman" w:hAnsi="Times New Roman" w:cs="Times New Roman"/>
          <w:kern w:val="0"/>
          <w:lang w:bidi="ar"/>
        </w:rPr>
        <w:t>本预案自发布之日起实施并生效，并根据实际情况变化及时修订并报送各相关部门备案。</w:t>
      </w:r>
    </w:p>
    <w:p>
      <w:pPr>
        <w:ind w:firstLine="480"/>
        <w:rPr>
          <w:rFonts w:ascii="Times New Roman" w:hAnsi="Times New Roman" w:eastAsia="宋体" w:cs="Times New Roman"/>
          <w:szCs w:val="24"/>
        </w:rPr>
      </w:pPr>
      <w:r>
        <w:rPr>
          <w:rFonts w:ascii="Times New Roman" w:hAnsi="Times New Roman" w:eastAsia="宋体" w:cs="Times New Roman"/>
          <w:szCs w:val="24"/>
        </w:rPr>
        <w:br w:type="page"/>
      </w:r>
    </w:p>
    <w:p>
      <w:pPr>
        <w:pStyle w:val="6"/>
        <w:spacing w:before="320" w:after="320"/>
        <w:rPr>
          <w:rFonts w:ascii="Times New Roman" w:hAnsi="Times New Roman" w:eastAsia="宋体" w:cs="Times New Roman"/>
          <w:sz w:val="32"/>
          <w:szCs w:val="32"/>
        </w:rPr>
      </w:pPr>
      <w:bookmarkStart w:id="1196" w:name="_Toc529542675"/>
      <w:bookmarkStart w:id="1197" w:name="_Toc509234875"/>
      <w:bookmarkStart w:id="1198" w:name="_Toc510164164"/>
      <w:bookmarkStart w:id="1199" w:name="_Toc132468887"/>
      <w:bookmarkStart w:id="1200" w:name="_Toc9810"/>
      <w:bookmarkStart w:id="1201" w:name="_Toc523160181"/>
      <w:bookmarkStart w:id="1202" w:name="_Toc523160424"/>
      <w:bookmarkStart w:id="1203" w:name="_Toc3267"/>
      <w:bookmarkStart w:id="1204" w:name="_Toc510164520"/>
      <w:bookmarkStart w:id="1205" w:name="_Toc510164357"/>
      <w:r>
        <w:rPr>
          <w:rFonts w:ascii="Times New Roman" w:hAnsi="Times New Roman" w:eastAsia="宋体" w:cs="Times New Roman"/>
          <w:sz w:val="32"/>
          <w:szCs w:val="32"/>
        </w:rPr>
        <w:t>11附则</w:t>
      </w:r>
      <w:bookmarkEnd w:id="1196"/>
      <w:bookmarkEnd w:id="1197"/>
      <w:bookmarkEnd w:id="1198"/>
      <w:bookmarkEnd w:id="1199"/>
      <w:bookmarkEnd w:id="1200"/>
      <w:bookmarkEnd w:id="1201"/>
      <w:bookmarkEnd w:id="1202"/>
      <w:bookmarkEnd w:id="1203"/>
      <w:bookmarkEnd w:id="1204"/>
      <w:bookmarkEnd w:id="1205"/>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（1）突发环境事件</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突发环境事件：指由于违反环境保护法律法规的经济、社会活动与行为，以及意外因素的影响或自然灾害等原因使环境受到污染，人体健康受到危害，社会经济与人民财产受到损失，造成不良社会影响的突发性事件。</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（2）危险化学品</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指属于爆炸品、压缩气体和液化气体、易燃液体、易燃固体、自燃物品和遇湿易燃物品、氧化剂和有机过氧化物、有毒品和腐蚀品的化学品。</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（3）危险废物</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指列入国家危险废物名录或者根据国家规定的危险废物鉴别标准和鉴别方法人数定在发生事故时，采取的消除、减少事故危害和防止事故恶化，最大限度降低事故损失的措施。</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（4）重大危险源</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指长期地或临时地生产、搬运、使用或者储存危险物品，且危险物品的数量等于或者超过临界量的单元（包括场所和设施）。</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（5）环境风险源</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指可能发生突发环境事件并对周围环境造成危害的环境因素，环境风险源的危害程度由所涉及的危险物质的特性（物质危险性和物质的量）、危险物质存在的安全状态、所处的周边环境三个要素决定。</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（6）应急处置</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指在发生突发环境事件时、采取的消除、减少事故危害和防止事态恶化，最大限度降低环境影响的措施。</w:t>
      </w:r>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t>（7）预案</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根据预测可能发生突发环境事件的类别、环境危害的性质和程度、而制定的应急处置方案。</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（8）分级</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按照突发环境事件的严重性、紧急程度及危害程度划分的等级。</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（9）应急监测</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在发生突发环境事件的情况下，为发现和查明环境污染情况和污染范围而进行的环境监测。包括定点监测和动态监测。</w:t>
      </w:r>
    </w:p>
    <w:p>
      <w:pPr>
        <w:autoSpaceDE w:val="0"/>
        <w:autoSpaceDN w:val="0"/>
        <w:adjustRightIn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（10）应急演习</w:t>
      </w:r>
    </w:p>
    <w:p>
      <w:pPr>
        <w:ind w:firstLine="480"/>
        <w:rPr>
          <w:rFonts w:ascii="Times New Roman" w:hAnsi="Times New Roman" w:eastAsia="宋体" w:cs="Times New Roman"/>
          <w:kern w:val="0"/>
          <w:szCs w:val="24"/>
        </w:rPr>
      </w:pPr>
      <w:r>
        <w:rPr>
          <w:rFonts w:ascii="Times New Roman" w:hAnsi="Times New Roman" w:eastAsia="宋体" w:cs="Times New Roman"/>
          <w:kern w:val="0"/>
          <w:szCs w:val="24"/>
        </w:rPr>
        <w:t>为检验应急预案的有效性、应急准备的完善性、应急响应能力的适应性和应急人员的协同性而进行的一种模拟应急响应的实践活动，根据所涉及的内容和范围的不同，可以分为单项演习（演练）、综合演习和指挥中心、应急现场组织联合进行的联合演习。</w:t>
      </w:r>
    </w:p>
    <w:p>
      <w:pPr>
        <w:ind w:firstLine="480"/>
        <w:rPr>
          <w:rFonts w:ascii="Times New Roman" w:hAnsi="Times New Roman" w:eastAsia="宋体" w:cs="Times New Roman"/>
          <w:kern w:val="0"/>
          <w:szCs w:val="24"/>
        </w:rPr>
      </w:pPr>
    </w:p>
    <w:p>
      <w:pPr>
        <w:ind w:firstLine="480"/>
        <w:rPr>
          <w:rFonts w:ascii="Times New Roman" w:hAnsi="Times New Roman" w:eastAsia="宋体" w:cs="Times New Roman"/>
          <w:kern w:val="0"/>
          <w:szCs w:val="24"/>
        </w:rPr>
      </w:pPr>
    </w:p>
    <w:p>
      <w:pPr>
        <w:ind w:firstLine="480"/>
        <w:rPr>
          <w:rFonts w:ascii="Times New Roman" w:hAnsi="Times New Roman" w:eastAsia="宋体" w:cs="Times New Roman"/>
          <w:kern w:val="0"/>
          <w:szCs w:val="24"/>
        </w:rPr>
      </w:pPr>
    </w:p>
    <w:p>
      <w:pPr>
        <w:pStyle w:val="57"/>
        <w:ind w:firstLineChars="0"/>
        <w:rPr>
          <w:rFonts w:ascii="Times New Roman" w:hAnsi="Times New Roman" w:eastAsia="宋体" w:cs="Times New Roman"/>
          <w:b/>
          <w:sz w:val="28"/>
          <w:szCs w:val="28"/>
        </w:rPr>
      </w:pPr>
      <w:bookmarkStart w:id="1206" w:name="_Toc523160425"/>
      <w:bookmarkStart w:id="1207" w:name="_Toc523160182"/>
    </w:p>
    <w:p>
      <w:pPr>
        <w:pStyle w:val="57"/>
        <w:ind w:firstLineChars="0"/>
        <w:rPr>
          <w:rFonts w:ascii="Times New Roman" w:hAnsi="Times New Roman" w:eastAsia="宋体" w:cs="Times New Roman"/>
          <w:b/>
          <w:sz w:val="28"/>
          <w:szCs w:val="28"/>
        </w:rPr>
      </w:pPr>
    </w:p>
    <w:p>
      <w:pPr>
        <w:pStyle w:val="57"/>
        <w:ind w:firstLineChars="0"/>
        <w:rPr>
          <w:rFonts w:ascii="Times New Roman" w:hAnsi="Times New Roman" w:eastAsia="宋体" w:cs="Times New Roman"/>
          <w:b/>
          <w:sz w:val="28"/>
          <w:szCs w:val="28"/>
        </w:rPr>
      </w:pPr>
    </w:p>
    <w:p>
      <w:pPr>
        <w:pStyle w:val="57"/>
        <w:ind w:firstLineChars="0"/>
        <w:rPr>
          <w:rFonts w:ascii="Times New Roman" w:hAnsi="Times New Roman" w:eastAsia="宋体" w:cs="Times New Roman"/>
          <w:b/>
          <w:sz w:val="28"/>
          <w:szCs w:val="28"/>
        </w:rPr>
      </w:pPr>
    </w:p>
    <w:p>
      <w:pPr>
        <w:pStyle w:val="57"/>
        <w:ind w:firstLineChars="0"/>
        <w:rPr>
          <w:rFonts w:ascii="Times New Roman" w:hAnsi="Times New Roman" w:eastAsia="宋体" w:cs="Times New Roman"/>
          <w:b/>
          <w:sz w:val="28"/>
          <w:szCs w:val="28"/>
        </w:rPr>
      </w:pPr>
    </w:p>
    <w:p>
      <w:pPr>
        <w:pStyle w:val="57"/>
        <w:ind w:firstLineChars="0"/>
        <w:rPr>
          <w:rFonts w:ascii="Times New Roman" w:hAnsi="Times New Roman" w:eastAsia="宋体" w:cs="Times New Roman"/>
          <w:b/>
          <w:sz w:val="28"/>
          <w:szCs w:val="28"/>
        </w:rPr>
      </w:pPr>
    </w:p>
    <w:p>
      <w:pPr>
        <w:pStyle w:val="17"/>
        <w:ind w:firstLine="0" w:firstLineChars="0"/>
        <w:jc w:val="both"/>
        <w:rPr>
          <w:rFonts w:ascii="Times New Roman" w:hAnsi="Times New Roman" w:eastAsia="宋体" w:cs="Times New Roman"/>
        </w:rPr>
      </w:pPr>
      <w:bookmarkStart w:id="1208" w:name="_Toc529542677"/>
    </w:p>
    <w:p>
      <w:pPr>
        <w:pStyle w:val="17"/>
        <w:ind w:firstLine="0" w:firstLineChars="0"/>
        <w:jc w:val="both"/>
        <w:rPr>
          <w:rFonts w:ascii="Times New Roman" w:hAnsi="Times New Roman" w:eastAsia="宋体" w:cs="Times New Roman"/>
        </w:rPr>
      </w:pPr>
    </w:p>
    <w:p>
      <w:pPr>
        <w:ind w:firstLine="480"/>
        <w:rPr>
          <w:rFonts w:ascii="Times New Roman" w:hAnsi="Times New Roman" w:eastAsia="宋体" w:cs="Times New Roman"/>
        </w:rPr>
      </w:pPr>
      <w:r>
        <w:rPr>
          <w:rFonts w:ascii="Times New Roman" w:hAnsi="Times New Roman" w:eastAsia="宋体" w:cs="Times New Roman"/>
        </w:rPr>
        <w:br w:type="page"/>
      </w:r>
    </w:p>
    <w:p>
      <w:pPr>
        <w:pStyle w:val="6"/>
        <w:adjustRightInd w:val="0"/>
        <w:snapToGrid w:val="0"/>
        <w:jc w:val="center"/>
        <w:rPr>
          <w:rFonts w:ascii="Times New Roman" w:hAnsi="Times New Roman" w:eastAsia="宋体" w:cs="Times New Roman"/>
          <w:sz w:val="36"/>
          <w:szCs w:val="36"/>
        </w:rPr>
      </w:pPr>
      <w:bookmarkStart w:id="1209" w:name="_Toc5025"/>
      <w:bookmarkStart w:id="1210" w:name="_Toc132468888"/>
      <w:bookmarkStart w:id="1211" w:name="_Toc10676"/>
      <w:r>
        <w:rPr>
          <w:rFonts w:ascii="Times New Roman" w:hAnsi="Times New Roman" w:eastAsia="宋体" w:cs="Times New Roman"/>
          <w:sz w:val="36"/>
          <w:szCs w:val="36"/>
        </w:rPr>
        <w:t>赤壁恒瑞非织造材料有限公司危险废物专项环境应急预案</w:t>
      </w:r>
      <w:bookmarkEnd w:id="1209"/>
      <w:bookmarkEnd w:id="1210"/>
      <w:bookmarkEnd w:id="1211"/>
    </w:p>
    <w:p>
      <w:pPr>
        <w:pStyle w:val="57"/>
        <w:adjustRightInd w:val="0"/>
        <w:snapToGrid w:val="0"/>
        <w:spacing w:after="0"/>
        <w:ind w:firstLine="0" w:firstLineChars="0"/>
        <w:rPr>
          <w:rFonts w:ascii="Times New Roman" w:hAnsi="Times New Roman" w:eastAsia="宋体" w:cs="Times New Roman"/>
          <w:b/>
          <w:bCs/>
          <w:sz w:val="32"/>
          <w:szCs w:val="32"/>
          <w:lang w:bidi="ar"/>
        </w:rPr>
      </w:pPr>
      <w:r>
        <w:rPr>
          <w:rFonts w:ascii="Times New Roman" w:hAnsi="Times New Roman" w:eastAsia="宋体" w:cs="Times New Roman"/>
          <w:b/>
          <w:bCs/>
          <w:sz w:val="32"/>
          <w:szCs w:val="32"/>
          <w:lang w:bidi="ar"/>
        </w:rPr>
        <w:t>1、总则</w:t>
      </w:r>
    </w:p>
    <w:p>
      <w:pPr>
        <w:pStyle w:val="57"/>
        <w:adjustRightInd w:val="0"/>
        <w:snapToGrid w:val="0"/>
        <w:spacing w:after="0"/>
        <w:ind w:firstLine="0" w:firstLineChars="0"/>
        <w:rPr>
          <w:rFonts w:ascii="Times New Roman" w:hAnsi="Times New Roman" w:eastAsia="宋体" w:cs="Times New Roman"/>
          <w:b/>
          <w:bCs/>
          <w:sz w:val="30"/>
          <w:szCs w:val="30"/>
          <w:lang w:bidi="ar"/>
        </w:rPr>
      </w:pPr>
      <w:r>
        <w:rPr>
          <w:rFonts w:ascii="Times New Roman" w:hAnsi="Times New Roman" w:eastAsia="宋体" w:cs="Times New Roman"/>
          <w:b/>
          <w:bCs/>
          <w:sz w:val="30"/>
          <w:szCs w:val="30"/>
          <w:lang w:bidi="ar"/>
        </w:rPr>
        <w:t>1.1编制目的</w:t>
      </w:r>
    </w:p>
    <w:p>
      <w:pPr>
        <w:pStyle w:val="16"/>
        <w:ind w:firstLine="480"/>
        <w:rPr>
          <w:rFonts w:ascii="Times New Roman" w:hAnsi="Times New Roman" w:eastAsia="宋体" w:cs="Times New Roman"/>
          <w:lang w:bidi="ar"/>
        </w:rPr>
      </w:pPr>
      <w:r>
        <w:rPr>
          <w:rFonts w:ascii="Times New Roman" w:hAnsi="Times New Roman" w:eastAsia="宋体" w:cs="Times New Roman"/>
          <w:lang w:bidi="ar"/>
        </w:rPr>
        <w:t>为规范企业危险废物的应急管理机制，最大限度地降低因</w:t>
      </w:r>
      <w:r>
        <w:rPr>
          <w:rFonts w:ascii="Times New Roman" w:hAnsi="Times New Roman" w:eastAsia="宋体" w:cs="Times New Roman"/>
        </w:rPr>
        <w:t>泄露、火灾爆炸伴生事故</w:t>
      </w:r>
      <w:r>
        <w:rPr>
          <w:rFonts w:ascii="Times New Roman" w:hAnsi="Times New Roman" w:eastAsia="宋体" w:cs="Times New Roman"/>
          <w:lang w:bidi="ar"/>
        </w:rPr>
        <w:t>导致的危险废物或危险废物成分泄漏到空气、土壤或水体中而产生对本企业员工健康和周围环境的危害。现根据国家法律法规及有关规定，制定本预案。</w:t>
      </w:r>
    </w:p>
    <w:p>
      <w:pPr>
        <w:pStyle w:val="57"/>
        <w:adjustRightInd w:val="0"/>
        <w:snapToGrid w:val="0"/>
        <w:spacing w:after="0"/>
        <w:ind w:firstLine="0" w:firstLineChars="0"/>
        <w:rPr>
          <w:rFonts w:ascii="Times New Roman" w:hAnsi="Times New Roman" w:eastAsia="宋体" w:cs="Times New Roman"/>
          <w:b/>
          <w:bCs/>
          <w:sz w:val="28"/>
          <w:szCs w:val="28"/>
          <w:lang w:bidi="ar"/>
        </w:rPr>
      </w:pPr>
      <w:r>
        <w:rPr>
          <w:rFonts w:ascii="Times New Roman" w:hAnsi="Times New Roman" w:eastAsia="宋体" w:cs="Times New Roman"/>
          <w:b/>
          <w:bCs/>
          <w:sz w:val="28"/>
          <w:szCs w:val="28"/>
          <w:lang w:bidi="ar"/>
        </w:rPr>
        <w:t>1.2制定依据</w:t>
      </w:r>
    </w:p>
    <w:p>
      <w:pPr>
        <w:pStyle w:val="57"/>
        <w:adjustRightInd w:val="0"/>
        <w:snapToGrid w:val="0"/>
        <w:spacing w:after="0"/>
        <w:ind w:firstLine="480"/>
        <w:rPr>
          <w:rFonts w:ascii="Times New Roman" w:hAnsi="Times New Roman" w:eastAsia="宋体" w:cs="Times New Roman"/>
          <w:lang w:bidi="ar"/>
        </w:rPr>
      </w:pPr>
      <w:r>
        <w:rPr>
          <w:rFonts w:ascii="Times New Roman" w:hAnsi="Times New Roman" w:eastAsia="宋体" w:cs="Times New Roman"/>
          <w:lang w:bidi="ar"/>
        </w:rPr>
        <w:t>（一）</w:t>
      </w:r>
      <w:r>
        <w:rPr>
          <w:rFonts w:ascii="Times New Roman" w:hAnsi="Times New Roman" w:eastAsia="宋体" w:cs="Times New Roman"/>
          <w:szCs w:val="24"/>
        </w:rPr>
        <w:t>《中华人民共和国环境保护法》（2015年1月1日实施）；</w:t>
      </w:r>
    </w:p>
    <w:p>
      <w:pPr>
        <w:pStyle w:val="57"/>
        <w:adjustRightInd w:val="0"/>
        <w:snapToGrid w:val="0"/>
        <w:spacing w:after="0"/>
        <w:ind w:firstLine="480"/>
        <w:rPr>
          <w:rFonts w:ascii="Times New Roman" w:hAnsi="Times New Roman" w:eastAsia="宋体" w:cs="Times New Roman"/>
          <w:lang w:bidi="ar"/>
        </w:rPr>
      </w:pPr>
      <w:r>
        <w:rPr>
          <w:rFonts w:ascii="Times New Roman" w:hAnsi="Times New Roman" w:eastAsia="宋体" w:cs="Times New Roman"/>
          <w:lang w:bidi="ar"/>
        </w:rPr>
        <w:t>（二）</w:t>
      </w:r>
      <w:r>
        <w:rPr>
          <w:rFonts w:ascii="Times New Roman" w:hAnsi="Times New Roman" w:eastAsia="宋体" w:cs="Times New Roman"/>
          <w:szCs w:val="24"/>
        </w:rPr>
        <w:t>《中华人民共和国固体废物污染环境防治法》（</w:t>
      </w:r>
      <w:r>
        <w:rPr>
          <w:rFonts w:ascii="Times New Roman" w:hAnsi="Times New Roman" w:eastAsia="宋体" w:cs="Times New Roman"/>
        </w:rPr>
        <w:t>2020年4月29日日修订，2020年9月1日起实行</w:t>
      </w:r>
      <w:r>
        <w:rPr>
          <w:rFonts w:ascii="Times New Roman" w:hAnsi="Times New Roman" w:eastAsia="宋体" w:cs="Times New Roman"/>
          <w:szCs w:val="24"/>
        </w:rPr>
        <w:t>）；</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lang w:bidi="ar"/>
        </w:rPr>
        <w:t>（三）</w:t>
      </w:r>
      <w:r>
        <w:rPr>
          <w:rFonts w:ascii="Times New Roman" w:hAnsi="Times New Roman" w:eastAsia="宋体" w:cs="Times New Roman"/>
          <w:szCs w:val="24"/>
        </w:rPr>
        <w:t>《危险化学品安全管理条例》（2016年修订）；</w:t>
      </w:r>
    </w:p>
    <w:p>
      <w:pPr>
        <w:adjustRightInd w:val="0"/>
        <w:snapToGrid w:val="0"/>
        <w:ind w:firstLine="480"/>
        <w:rPr>
          <w:rFonts w:ascii="Times New Roman" w:hAnsi="Times New Roman" w:eastAsia="宋体" w:cs="Times New Roman"/>
          <w:szCs w:val="24"/>
        </w:rPr>
      </w:pPr>
      <w:r>
        <w:rPr>
          <w:rFonts w:ascii="Times New Roman" w:hAnsi="Times New Roman" w:eastAsia="宋体" w:cs="Times New Roman"/>
          <w:szCs w:val="24"/>
        </w:rPr>
        <w:t>（四）《危险化学品名录（2015年版）》（2015年5月1日起实施）；</w:t>
      </w:r>
    </w:p>
    <w:p>
      <w:pPr>
        <w:pStyle w:val="57"/>
        <w:adjustRightInd w:val="0"/>
        <w:snapToGrid w:val="0"/>
        <w:spacing w:after="0"/>
        <w:ind w:firstLine="480"/>
        <w:rPr>
          <w:rFonts w:ascii="Times New Roman" w:hAnsi="Times New Roman" w:eastAsia="宋体" w:cs="Times New Roman"/>
          <w:lang w:bidi="ar"/>
        </w:rPr>
      </w:pPr>
      <w:r>
        <w:rPr>
          <w:rFonts w:ascii="Times New Roman" w:hAnsi="Times New Roman" w:eastAsia="宋体" w:cs="Times New Roman"/>
          <w:szCs w:val="24"/>
        </w:rPr>
        <w:t>（五）《国家危险废物名录（2021年版）》，（2021年1月1日起实施）。</w:t>
      </w:r>
    </w:p>
    <w:p>
      <w:pPr>
        <w:pStyle w:val="57"/>
        <w:adjustRightInd w:val="0"/>
        <w:snapToGrid w:val="0"/>
        <w:spacing w:after="0"/>
        <w:ind w:firstLine="0" w:firstLineChars="0"/>
        <w:rPr>
          <w:rFonts w:ascii="Times New Roman" w:hAnsi="Times New Roman" w:eastAsia="宋体" w:cs="Times New Roman"/>
          <w:b/>
          <w:bCs/>
          <w:sz w:val="28"/>
          <w:szCs w:val="28"/>
          <w:lang w:bidi="ar"/>
        </w:rPr>
      </w:pPr>
      <w:r>
        <w:rPr>
          <w:rFonts w:ascii="Times New Roman" w:hAnsi="Times New Roman" w:eastAsia="宋体" w:cs="Times New Roman"/>
          <w:b/>
          <w:bCs/>
          <w:sz w:val="28"/>
          <w:szCs w:val="28"/>
          <w:lang w:bidi="ar"/>
        </w:rPr>
        <w:t>1.3响应原则</w:t>
      </w:r>
    </w:p>
    <w:p>
      <w:pPr>
        <w:pStyle w:val="57"/>
        <w:adjustRightInd w:val="0"/>
        <w:snapToGrid w:val="0"/>
        <w:spacing w:after="0"/>
        <w:ind w:firstLine="480"/>
        <w:rPr>
          <w:rFonts w:ascii="Times New Roman" w:hAnsi="Times New Roman" w:eastAsia="宋体" w:cs="Times New Roman"/>
          <w:lang w:bidi="ar"/>
        </w:rPr>
      </w:pPr>
      <w:r>
        <w:rPr>
          <w:rFonts w:ascii="Times New Roman" w:hAnsi="Times New Roman" w:eastAsia="宋体" w:cs="Times New Roman"/>
          <w:lang w:bidi="ar"/>
        </w:rPr>
        <w:t>立足于控制事态发展，减少事故损失。</w:t>
      </w:r>
    </w:p>
    <w:p>
      <w:pPr>
        <w:pStyle w:val="57"/>
        <w:adjustRightInd w:val="0"/>
        <w:snapToGrid w:val="0"/>
        <w:spacing w:after="0"/>
        <w:ind w:firstLine="0" w:firstLineChars="0"/>
        <w:rPr>
          <w:rFonts w:ascii="Times New Roman" w:hAnsi="Times New Roman" w:eastAsia="宋体" w:cs="Times New Roman"/>
          <w:b/>
          <w:bCs/>
          <w:sz w:val="28"/>
          <w:szCs w:val="28"/>
          <w:lang w:bidi="ar"/>
        </w:rPr>
      </w:pPr>
      <w:r>
        <w:rPr>
          <w:rFonts w:ascii="Times New Roman" w:hAnsi="Times New Roman" w:eastAsia="宋体" w:cs="Times New Roman"/>
          <w:b/>
          <w:bCs/>
          <w:sz w:val="28"/>
          <w:szCs w:val="28"/>
          <w:lang w:bidi="ar"/>
        </w:rPr>
        <w:t>1.4适用范围</w:t>
      </w:r>
    </w:p>
    <w:p>
      <w:pPr>
        <w:pStyle w:val="57"/>
        <w:spacing w:after="0"/>
        <w:ind w:firstLine="480"/>
        <w:rPr>
          <w:rFonts w:ascii="Times New Roman" w:hAnsi="Times New Roman" w:eastAsia="宋体" w:cs="Times New Roman"/>
          <w:szCs w:val="24"/>
        </w:rPr>
      </w:pPr>
      <w:r>
        <w:rPr>
          <w:rFonts w:ascii="Times New Roman" w:hAnsi="Times New Roman" w:eastAsia="宋体" w:cs="Times New Roman"/>
          <w:szCs w:val="24"/>
        </w:rPr>
        <w:t>本应急预案适用于赤壁恒瑞非织造材料有限公司全厂危险废物事故的环境应急救援。</w:t>
      </w:r>
    </w:p>
    <w:p>
      <w:pPr>
        <w:pStyle w:val="57"/>
        <w:adjustRightInd w:val="0"/>
        <w:snapToGrid w:val="0"/>
        <w:spacing w:after="0"/>
        <w:ind w:firstLine="0" w:firstLineChars="0"/>
        <w:rPr>
          <w:rFonts w:ascii="Times New Roman" w:hAnsi="Times New Roman" w:eastAsia="宋体" w:cs="Times New Roman"/>
          <w:b/>
          <w:sz w:val="32"/>
          <w:szCs w:val="32"/>
        </w:rPr>
      </w:pPr>
      <w:r>
        <w:rPr>
          <w:rFonts w:ascii="Times New Roman" w:hAnsi="Times New Roman" w:eastAsia="宋体" w:cs="Times New Roman"/>
          <w:b/>
          <w:sz w:val="32"/>
          <w:szCs w:val="32"/>
        </w:rPr>
        <w:t>2、主要危险废物</w:t>
      </w:r>
    </w:p>
    <w:p>
      <w:pPr>
        <w:pStyle w:val="57"/>
        <w:spacing w:after="0"/>
        <w:ind w:firstLine="480"/>
        <w:rPr>
          <w:rFonts w:ascii="Times New Roman" w:hAnsi="Times New Roman" w:eastAsia="宋体" w:cs="Times New Roman"/>
          <w:szCs w:val="24"/>
        </w:rPr>
      </w:pPr>
      <w:r>
        <w:rPr>
          <w:rFonts w:ascii="Times New Roman" w:hAnsi="Times New Roman" w:eastAsia="宋体" w:cs="Times New Roman"/>
          <w:szCs w:val="24"/>
        </w:rPr>
        <w:t>企业危险废物储存情况见下表：</w:t>
      </w:r>
    </w:p>
    <w:p>
      <w:pPr>
        <w:pStyle w:val="57"/>
        <w:spacing w:after="0" w:line="240" w:lineRule="auto"/>
        <w:ind w:firstLine="0" w:firstLineChars="0"/>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表2-1  企业危险废物储存信息表</w:t>
      </w:r>
    </w:p>
    <w:tbl>
      <w:tblPr>
        <w:tblStyle w:val="36"/>
        <w:tblW w:w="965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39"/>
        <w:gridCol w:w="1468"/>
        <w:gridCol w:w="1811"/>
        <w:gridCol w:w="1746"/>
        <w:gridCol w:w="1318"/>
        <w:gridCol w:w="147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39" w:type="dxa"/>
            <w:tcBorders>
              <w:bottom w:val="single" w:color="auto" w:sz="12" w:space="0"/>
            </w:tcBorders>
            <w:vAlign w:val="center"/>
          </w:tcPr>
          <w:p>
            <w:pPr>
              <w:adjustRightInd w:val="0"/>
              <w:spacing w:line="240" w:lineRule="auto"/>
              <w:ind w:firstLine="0" w:firstLineChars="0"/>
              <w:jc w:val="center"/>
              <w:textAlignment w:val="baseline"/>
              <w:rPr>
                <w:rFonts w:ascii="Times New Roman" w:hAnsi="Times New Roman" w:eastAsia="宋体" w:cs="Times New Roman"/>
                <w:b/>
                <w:sz w:val="18"/>
                <w:szCs w:val="18"/>
              </w:rPr>
            </w:pPr>
            <w:r>
              <w:rPr>
                <w:rFonts w:ascii="Times New Roman" w:hAnsi="Times New Roman" w:eastAsia="宋体" w:cs="Times New Roman"/>
                <w:b/>
                <w:sz w:val="18"/>
                <w:szCs w:val="18"/>
              </w:rPr>
              <w:t>名称</w:t>
            </w:r>
          </w:p>
        </w:tc>
        <w:tc>
          <w:tcPr>
            <w:tcW w:w="1468" w:type="dxa"/>
            <w:tcBorders>
              <w:bottom w:val="single" w:color="auto" w:sz="12" w:space="0"/>
            </w:tcBorders>
            <w:vAlign w:val="center"/>
          </w:tcPr>
          <w:p>
            <w:pPr>
              <w:adjustRightInd w:val="0"/>
              <w:spacing w:line="240" w:lineRule="auto"/>
              <w:ind w:firstLine="0" w:firstLineChars="0"/>
              <w:jc w:val="center"/>
              <w:textAlignment w:val="baseline"/>
              <w:rPr>
                <w:rFonts w:ascii="Times New Roman" w:hAnsi="Times New Roman" w:eastAsia="宋体" w:cs="Times New Roman"/>
                <w:b/>
                <w:sz w:val="18"/>
                <w:szCs w:val="18"/>
              </w:rPr>
            </w:pPr>
            <w:r>
              <w:rPr>
                <w:rFonts w:ascii="Times New Roman" w:hAnsi="Times New Roman" w:eastAsia="宋体" w:cs="Times New Roman"/>
                <w:b/>
                <w:sz w:val="18"/>
                <w:szCs w:val="18"/>
              </w:rPr>
              <w:t>危废类别</w:t>
            </w:r>
          </w:p>
        </w:tc>
        <w:tc>
          <w:tcPr>
            <w:tcW w:w="1811" w:type="dxa"/>
            <w:tcBorders>
              <w:bottom w:val="single" w:color="auto" w:sz="12" w:space="0"/>
            </w:tcBorders>
            <w:vAlign w:val="center"/>
          </w:tcPr>
          <w:p>
            <w:pPr>
              <w:adjustRightInd w:val="0"/>
              <w:spacing w:line="240" w:lineRule="auto"/>
              <w:ind w:firstLine="0" w:firstLineChars="0"/>
              <w:jc w:val="center"/>
              <w:textAlignment w:val="baseline"/>
              <w:rPr>
                <w:rFonts w:ascii="Times New Roman" w:hAnsi="Times New Roman" w:eastAsia="宋体" w:cs="Times New Roman"/>
                <w:b/>
                <w:sz w:val="18"/>
                <w:szCs w:val="18"/>
              </w:rPr>
            </w:pPr>
            <w:r>
              <w:rPr>
                <w:rFonts w:ascii="Times New Roman" w:hAnsi="Times New Roman" w:eastAsia="宋体" w:cs="Times New Roman"/>
                <w:b/>
                <w:sz w:val="18"/>
                <w:szCs w:val="18"/>
              </w:rPr>
              <w:t>危废代码</w:t>
            </w:r>
          </w:p>
        </w:tc>
        <w:tc>
          <w:tcPr>
            <w:tcW w:w="1746" w:type="dxa"/>
            <w:tcBorders>
              <w:bottom w:val="single" w:color="auto" w:sz="12" w:space="0"/>
            </w:tcBorders>
            <w:vAlign w:val="center"/>
          </w:tcPr>
          <w:p>
            <w:pPr>
              <w:adjustRightInd w:val="0"/>
              <w:spacing w:line="240" w:lineRule="auto"/>
              <w:ind w:firstLine="0" w:firstLineChars="0"/>
              <w:jc w:val="center"/>
              <w:textAlignment w:val="baseline"/>
              <w:rPr>
                <w:rFonts w:ascii="Times New Roman" w:hAnsi="Times New Roman" w:eastAsia="宋体" w:cs="Times New Roman"/>
                <w:b/>
                <w:sz w:val="18"/>
                <w:szCs w:val="18"/>
              </w:rPr>
            </w:pPr>
            <w:r>
              <w:rPr>
                <w:rFonts w:ascii="Times New Roman" w:hAnsi="Times New Roman" w:eastAsia="宋体" w:cs="Times New Roman"/>
                <w:b/>
                <w:sz w:val="18"/>
                <w:szCs w:val="18"/>
              </w:rPr>
              <w:t>最大贮存量（t）</w:t>
            </w:r>
          </w:p>
        </w:tc>
        <w:tc>
          <w:tcPr>
            <w:tcW w:w="1318" w:type="dxa"/>
            <w:tcBorders>
              <w:bottom w:val="single" w:color="auto" w:sz="12" w:space="0"/>
            </w:tcBorders>
            <w:vAlign w:val="center"/>
          </w:tcPr>
          <w:p>
            <w:pPr>
              <w:adjustRightInd w:val="0"/>
              <w:spacing w:line="240" w:lineRule="auto"/>
              <w:ind w:firstLine="0" w:firstLineChars="0"/>
              <w:jc w:val="center"/>
              <w:textAlignment w:val="baseline"/>
              <w:rPr>
                <w:rFonts w:ascii="Times New Roman" w:hAnsi="Times New Roman" w:eastAsia="宋体" w:cs="Times New Roman"/>
                <w:b/>
                <w:sz w:val="18"/>
                <w:szCs w:val="18"/>
              </w:rPr>
            </w:pPr>
            <w:r>
              <w:rPr>
                <w:rFonts w:ascii="Times New Roman" w:hAnsi="Times New Roman" w:eastAsia="宋体" w:cs="Times New Roman"/>
                <w:b/>
                <w:sz w:val="18"/>
                <w:szCs w:val="18"/>
              </w:rPr>
              <w:t>存储位置</w:t>
            </w:r>
          </w:p>
        </w:tc>
        <w:tc>
          <w:tcPr>
            <w:tcW w:w="1475" w:type="dxa"/>
            <w:tcBorders>
              <w:bottom w:val="single" w:color="auto" w:sz="12" w:space="0"/>
            </w:tcBorders>
            <w:vAlign w:val="center"/>
          </w:tcPr>
          <w:p>
            <w:pPr>
              <w:adjustRightInd w:val="0"/>
              <w:spacing w:line="240" w:lineRule="auto"/>
              <w:ind w:firstLine="0" w:firstLineChars="0"/>
              <w:jc w:val="center"/>
              <w:textAlignment w:val="baseline"/>
              <w:rPr>
                <w:rFonts w:ascii="Times New Roman" w:hAnsi="Times New Roman" w:eastAsia="宋体" w:cs="Times New Roman"/>
                <w:b/>
                <w:sz w:val="18"/>
                <w:szCs w:val="18"/>
              </w:rPr>
            </w:pPr>
            <w:r>
              <w:rPr>
                <w:rFonts w:ascii="Times New Roman" w:hAnsi="Times New Roman" w:eastAsia="宋体" w:cs="Times New Roman"/>
                <w:b/>
                <w:sz w:val="18"/>
                <w:szCs w:val="18"/>
              </w:rPr>
              <w:t>主要危害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39" w:type="dxa"/>
            <w:tcBorders>
              <w:top w:val="single" w:color="auto" w:sz="12" w:space="0"/>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废油</w:t>
            </w:r>
          </w:p>
        </w:tc>
        <w:tc>
          <w:tcPr>
            <w:tcW w:w="1468" w:type="dxa"/>
            <w:tcBorders>
              <w:top w:val="single" w:color="auto" w:sz="12" w:space="0"/>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HW08</w:t>
            </w:r>
          </w:p>
        </w:tc>
        <w:tc>
          <w:tcPr>
            <w:tcW w:w="1811" w:type="dxa"/>
            <w:tcBorders>
              <w:top w:val="single" w:color="auto" w:sz="12" w:space="0"/>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900-218-08</w:t>
            </w:r>
          </w:p>
        </w:tc>
        <w:tc>
          <w:tcPr>
            <w:tcW w:w="1746" w:type="dxa"/>
            <w:tcBorders>
              <w:top w:val="single" w:color="auto" w:sz="12" w:space="0"/>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0</w:t>
            </w:r>
            <w:r>
              <w:rPr>
                <w:rFonts w:hint="eastAsia" w:ascii="Times New Roman" w:hAnsi="Times New Roman" w:eastAsia="宋体" w:cs="Times New Roman"/>
                <w:sz w:val="18"/>
                <w:szCs w:val="18"/>
              </w:rPr>
              <w:t>.3</w:t>
            </w:r>
          </w:p>
        </w:tc>
        <w:tc>
          <w:tcPr>
            <w:tcW w:w="1318" w:type="dxa"/>
            <w:tcBorders>
              <w:top w:val="single" w:color="auto" w:sz="12" w:space="0"/>
              <w:tl2br w:val="nil"/>
              <w:tr2bl w:val="nil"/>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危废间</w:t>
            </w:r>
          </w:p>
        </w:tc>
        <w:tc>
          <w:tcPr>
            <w:tcW w:w="1475" w:type="dxa"/>
            <w:tcBorders>
              <w:top w:val="single" w:color="auto" w:sz="12" w:space="0"/>
              <w:tl2br w:val="nil"/>
              <w:tr2bl w:val="nil"/>
            </w:tcBorders>
            <w:vAlign w:val="center"/>
          </w:tcPr>
          <w:p>
            <w:pPr>
              <w:spacing w:line="240" w:lineRule="auto"/>
              <w:ind w:firstLine="0" w:firstLineChars="0"/>
              <w:jc w:val="center"/>
              <w:textAlignment w:val="baseline"/>
              <w:rPr>
                <w:rFonts w:ascii="Times New Roman" w:hAnsi="Times New Roman" w:eastAsia="宋体" w:cs="Times New Roman"/>
                <w:sz w:val="18"/>
                <w:szCs w:val="18"/>
              </w:rPr>
            </w:pPr>
            <w:r>
              <w:rPr>
                <w:rFonts w:ascii="Times New Roman" w:hAnsi="Times New Roman" w:eastAsia="宋体" w:cs="Times New Roman"/>
                <w:sz w:val="18"/>
                <w:szCs w:val="18"/>
              </w:rPr>
              <w:t>T，l</w:t>
            </w:r>
          </w:p>
        </w:tc>
      </w:tr>
    </w:tbl>
    <w:p>
      <w:pPr>
        <w:pStyle w:val="57"/>
        <w:spacing w:after="0"/>
        <w:ind w:firstLine="0" w:firstLineChars="0"/>
        <w:rPr>
          <w:rFonts w:ascii="Times New Roman" w:hAnsi="Times New Roman" w:eastAsia="宋体" w:cs="Times New Roman"/>
          <w:b/>
          <w:sz w:val="32"/>
          <w:szCs w:val="32"/>
        </w:rPr>
      </w:pPr>
      <w:r>
        <w:rPr>
          <w:rFonts w:ascii="Times New Roman" w:hAnsi="Times New Roman" w:eastAsia="宋体" w:cs="Times New Roman"/>
          <w:b/>
          <w:sz w:val="32"/>
          <w:szCs w:val="32"/>
        </w:rPr>
        <w:t>3、可能发生的事件</w:t>
      </w:r>
    </w:p>
    <w:p>
      <w:pPr>
        <w:ind w:firstLine="0" w:firstLineChars="0"/>
        <w:rPr>
          <w:rFonts w:ascii="Times New Roman" w:hAnsi="Times New Roman" w:eastAsia="宋体" w:cs="Times New Roman"/>
          <w:b/>
          <w:sz w:val="30"/>
          <w:szCs w:val="30"/>
        </w:rPr>
      </w:pPr>
      <w:r>
        <w:rPr>
          <w:rFonts w:ascii="Times New Roman" w:hAnsi="Times New Roman" w:eastAsia="宋体" w:cs="Times New Roman"/>
          <w:b/>
          <w:sz w:val="30"/>
          <w:szCs w:val="30"/>
        </w:rPr>
        <w:t>3.1事件类型及特点</w:t>
      </w:r>
    </w:p>
    <w:p>
      <w:pPr>
        <w:spacing w:after="60"/>
        <w:ind w:firstLine="480"/>
        <w:rPr>
          <w:rFonts w:ascii="Times New Roman" w:hAnsi="Times New Roman" w:eastAsia="宋体" w:cs="Times New Roman"/>
          <w:szCs w:val="24"/>
        </w:rPr>
      </w:pPr>
      <w:r>
        <w:rPr>
          <w:rFonts w:ascii="Times New Roman" w:hAnsi="Times New Roman" w:eastAsia="宋体" w:cs="Times New Roman"/>
          <w:szCs w:val="24"/>
        </w:rPr>
        <w:t>危险废物意外事故是指危险废物在产生、收集、贮存、处理等环节上出现了扩散、流失、泄漏、人员受伤等情况。</w:t>
      </w:r>
    </w:p>
    <w:p>
      <w:pPr>
        <w:spacing w:after="60"/>
        <w:ind w:firstLine="480"/>
        <w:rPr>
          <w:rFonts w:ascii="Times New Roman" w:hAnsi="Times New Roman" w:eastAsia="宋体" w:cs="Times New Roman"/>
          <w:szCs w:val="24"/>
        </w:rPr>
      </w:pPr>
      <w:r>
        <w:rPr>
          <w:rFonts w:ascii="Times New Roman" w:hAnsi="Times New Roman" w:eastAsia="宋体" w:cs="Times New Roman"/>
          <w:szCs w:val="24"/>
        </w:rPr>
        <w:t>公司产生的危险废物一旦在转移、储存或者处理过程中发生车辆碰撞、泄露，或者是处理过程操作失误、不按规程处理，都可能引发火灾、爆炸、泄露污染环境事故。</w:t>
      </w:r>
    </w:p>
    <w:p>
      <w:pPr>
        <w:ind w:firstLine="0" w:firstLineChars="0"/>
        <w:rPr>
          <w:rFonts w:ascii="Times New Roman" w:hAnsi="Times New Roman" w:eastAsia="宋体" w:cs="Times New Roman"/>
          <w:b/>
          <w:sz w:val="30"/>
          <w:szCs w:val="30"/>
        </w:rPr>
      </w:pPr>
      <w:r>
        <w:rPr>
          <w:rFonts w:ascii="Times New Roman" w:hAnsi="Times New Roman" w:eastAsia="宋体" w:cs="Times New Roman"/>
          <w:b/>
          <w:sz w:val="30"/>
          <w:szCs w:val="30"/>
        </w:rPr>
        <w:t>3.2事件诱因</w:t>
      </w:r>
    </w:p>
    <w:p>
      <w:pPr>
        <w:ind w:firstLine="480"/>
        <w:rPr>
          <w:rFonts w:ascii="Times New Roman" w:hAnsi="Times New Roman" w:eastAsia="宋体" w:cs="Times New Roman"/>
          <w:szCs w:val="24"/>
        </w:rPr>
      </w:pPr>
      <w:r>
        <w:rPr>
          <w:rFonts w:ascii="Times New Roman" w:hAnsi="Times New Roman" w:eastAsia="宋体" w:cs="Times New Roman"/>
          <w:szCs w:val="24"/>
        </w:rPr>
        <w:t>（1）在转运过程中，工作人员操作不当，可能发生危险废物泄露导致土壤污染。主要发生在生产车间及危废暂存存间等转运区域。</w:t>
      </w:r>
    </w:p>
    <w:p>
      <w:pPr>
        <w:ind w:firstLine="480"/>
        <w:rPr>
          <w:rFonts w:ascii="Times New Roman" w:hAnsi="Times New Roman" w:eastAsia="宋体" w:cs="Times New Roman"/>
          <w:szCs w:val="24"/>
        </w:rPr>
      </w:pPr>
      <w:r>
        <w:rPr>
          <w:rFonts w:ascii="Times New Roman" w:hAnsi="Times New Roman" w:eastAsia="宋体" w:cs="Times New Roman"/>
          <w:szCs w:val="24"/>
        </w:rPr>
        <w:t>（2）装卸作业时，因野蛮或者不按要求装卸，有可能发生坠落、碰撞、敲击等导致火灾。主要发生在装卸区域、危废暂存间。</w:t>
      </w:r>
    </w:p>
    <w:p>
      <w:pPr>
        <w:ind w:firstLine="480"/>
        <w:rPr>
          <w:rFonts w:ascii="Times New Roman" w:hAnsi="Times New Roman" w:eastAsia="宋体" w:cs="Times New Roman"/>
          <w:szCs w:val="24"/>
        </w:rPr>
      </w:pPr>
      <w:r>
        <w:rPr>
          <w:rFonts w:ascii="Times New Roman" w:hAnsi="Times New Roman" w:eastAsia="宋体" w:cs="Times New Roman"/>
          <w:szCs w:val="24"/>
        </w:rPr>
        <w:t>（3）危险废物的槽罐、桶、瓶、袋等包装破损发生的危险废物泄露，还可能衍生其他的火灾或爆炸事故。主要发生在装卸区域和危废暂存间。</w:t>
      </w:r>
    </w:p>
    <w:p>
      <w:pPr>
        <w:ind w:firstLine="480"/>
        <w:rPr>
          <w:rFonts w:ascii="Times New Roman" w:hAnsi="Times New Roman" w:eastAsia="宋体" w:cs="Times New Roman"/>
          <w:szCs w:val="24"/>
        </w:rPr>
      </w:pPr>
      <w:r>
        <w:rPr>
          <w:rFonts w:ascii="Times New Roman" w:hAnsi="Times New Roman" w:eastAsia="宋体" w:cs="Times New Roman"/>
          <w:szCs w:val="24"/>
        </w:rPr>
        <w:t>（4）危险废物储存不符合规定，使用禁忌物料混存，因长时间存放导致包装破裂导致泄露、火灾事故，甚至衍生污染和中毒窒息事故；主要发生在危废暂存间。</w:t>
      </w:r>
    </w:p>
    <w:p>
      <w:pPr>
        <w:ind w:firstLine="480"/>
        <w:rPr>
          <w:rFonts w:ascii="Times New Roman" w:hAnsi="Times New Roman" w:eastAsia="宋体" w:cs="Times New Roman"/>
          <w:szCs w:val="24"/>
        </w:rPr>
      </w:pPr>
      <w:r>
        <w:rPr>
          <w:rFonts w:ascii="Times New Roman" w:hAnsi="Times New Roman" w:eastAsia="宋体" w:cs="Times New Roman"/>
          <w:szCs w:val="24"/>
        </w:rPr>
        <w:t>（5）分拣、处理及贮存管理的员工未经相关培训。考核，不具备相应的上岗资格，可能导致错误操作而引起的危险废物火灾事故。主要发生在危废暂存间。</w:t>
      </w:r>
    </w:p>
    <w:p>
      <w:pPr>
        <w:pStyle w:val="57"/>
        <w:spacing w:after="0"/>
        <w:ind w:firstLine="0" w:firstLineChars="0"/>
        <w:rPr>
          <w:rFonts w:ascii="Times New Roman" w:hAnsi="Times New Roman" w:eastAsia="宋体" w:cs="Times New Roman"/>
          <w:b/>
          <w:sz w:val="32"/>
          <w:szCs w:val="32"/>
        </w:rPr>
      </w:pPr>
      <w:r>
        <w:rPr>
          <w:rFonts w:ascii="Times New Roman" w:hAnsi="Times New Roman" w:eastAsia="宋体" w:cs="Times New Roman"/>
          <w:b/>
          <w:sz w:val="32"/>
          <w:szCs w:val="32"/>
        </w:rPr>
        <w:t>4、预防与预警</w:t>
      </w:r>
    </w:p>
    <w:p>
      <w:pPr>
        <w:pStyle w:val="57"/>
        <w:spacing w:after="0"/>
        <w:ind w:firstLine="0" w:firstLineChars="0"/>
        <w:rPr>
          <w:rFonts w:ascii="Times New Roman" w:hAnsi="Times New Roman" w:eastAsia="宋体" w:cs="Times New Roman"/>
          <w:b/>
          <w:sz w:val="30"/>
          <w:szCs w:val="30"/>
        </w:rPr>
      </w:pPr>
      <w:r>
        <w:rPr>
          <w:rFonts w:ascii="Times New Roman" w:hAnsi="Times New Roman" w:eastAsia="宋体" w:cs="Times New Roman"/>
          <w:b/>
          <w:sz w:val="30"/>
          <w:szCs w:val="30"/>
        </w:rPr>
        <w:t>4.1危险源监控</w:t>
      </w:r>
    </w:p>
    <w:p>
      <w:pPr>
        <w:pStyle w:val="57"/>
        <w:spacing w:after="0"/>
        <w:ind w:firstLine="0" w:firstLineChars="0"/>
        <w:rPr>
          <w:rFonts w:ascii="Times New Roman" w:hAnsi="Times New Roman" w:eastAsia="宋体" w:cs="Times New Roman"/>
          <w:b/>
          <w:sz w:val="28"/>
          <w:szCs w:val="28"/>
        </w:rPr>
      </w:pPr>
      <w:r>
        <w:rPr>
          <w:rFonts w:ascii="Times New Roman" w:hAnsi="Times New Roman" w:eastAsia="宋体" w:cs="Times New Roman"/>
          <w:b/>
          <w:sz w:val="28"/>
          <w:szCs w:val="28"/>
        </w:rPr>
        <w:t>4.1.1危险废物监控</w:t>
      </w:r>
    </w:p>
    <w:p>
      <w:pPr>
        <w:pStyle w:val="17"/>
        <w:ind w:firstLine="480"/>
        <w:jc w:val="both"/>
        <w:rPr>
          <w:rFonts w:ascii="Times New Roman" w:hAnsi="Times New Roman" w:eastAsia="宋体" w:cs="Times New Roman"/>
        </w:rPr>
      </w:pPr>
      <w:r>
        <w:rPr>
          <w:rFonts w:ascii="Times New Roman" w:hAnsi="Times New Roman" w:eastAsia="宋体" w:cs="Times New Roman"/>
        </w:rPr>
        <w:t>生产部负责对危险废物的处理工作，督查办负责在日常安全督查中重点作如下关于危险废物的检查：</w:t>
      </w:r>
    </w:p>
    <w:p>
      <w:pPr>
        <w:pStyle w:val="17"/>
        <w:adjustRightInd w:val="0"/>
        <w:snapToGrid w:val="0"/>
        <w:ind w:firstLine="480"/>
        <w:jc w:val="left"/>
        <w:rPr>
          <w:rFonts w:ascii="Times New Roman" w:hAnsi="Times New Roman" w:eastAsia="宋体" w:cs="Times New Roman"/>
        </w:rPr>
      </w:pPr>
      <w:r>
        <w:rPr>
          <w:rFonts w:ascii="Times New Roman" w:hAnsi="Times New Roman" w:eastAsia="宋体" w:cs="Times New Roman"/>
        </w:rPr>
        <w:t>①产生的废油桶必须用完后送危险品库存放。</w:t>
      </w:r>
    </w:p>
    <w:p>
      <w:pPr>
        <w:pStyle w:val="17"/>
        <w:adjustRightInd w:val="0"/>
        <w:snapToGrid w:val="0"/>
        <w:ind w:firstLine="480"/>
        <w:jc w:val="left"/>
        <w:rPr>
          <w:rFonts w:ascii="Times New Roman" w:hAnsi="Times New Roman" w:eastAsia="宋体" w:cs="Times New Roman"/>
        </w:rPr>
      </w:pPr>
      <w:r>
        <w:rPr>
          <w:rFonts w:ascii="Times New Roman" w:hAnsi="Times New Roman" w:eastAsia="宋体" w:cs="Times New Roman"/>
        </w:rPr>
        <w:t>②车间危废及时转运至危废间。</w:t>
      </w:r>
    </w:p>
    <w:p>
      <w:pPr>
        <w:pStyle w:val="17"/>
        <w:adjustRightInd w:val="0"/>
        <w:snapToGrid w:val="0"/>
        <w:ind w:firstLine="480"/>
        <w:jc w:val="left"/>
        <w:rPr>
          <w:rFonts w:ascii="Times New Roman" w:hAnsi="Times New Roman" w:eastAsia="宋体" w:cs="Times New Roman"/>
        </w:rPr>
      </w:pPr>
      <w:r>
        <w:rPr>
          <w:rFonts w:ascii="Times New Roman" w:hAnsi="Times New Roman" w:eastAsia="宋体" w:cs="Times New Roman"/>
        </w:rPr>
        <w:t>③液体危废用密封容器存储，固体危废用包装袋包装。</w:t>
      </w:r>
    </w:p>
    <w:p>
      <w:pPr>
        <w:pStyle w:val="17"/>
        <w:adjustRightInd w:val="0"/>
        <w:snapToGrid w:val="0"/>
        <w:ind w:firstLine="480"/>
        <w:jc w:val="left"/>
        <w:rPr>
          <w:rFonts w:ascii="Times New Roman" w:hAnsi="Times New Roman" w:eastAsia="宋体" w:cs="Times New Roman"/>
        </w:rPr>
      </w:pPr>
      <w:r>
        <w:rPr>
          <w:rFonts w:ascii="Times New Roman" w:hAnsi="Times New Roman" w:eastAsia="宋体" w:cs="Times New Roman"/>
        </w:rPr>
        <w:t>④接触危险废物时应带手套，接触挥发性有毒气体要戴防毒口罩。</w:t>
      </w:r>
    </w:p>
    <w:p>
      <w:pPr>
        <w:pStyle w:val="17"/>
        <w:adjustRightInd w:val="0"/>
        <w:snapToGrid w:val="0"/>
        <w:ind w:firstLine="480"/>
        <w:jc w:val="left"/>
        <w:rPr>
          <w:rFonts w:ascii="Times New Roman" w:hAnsi="Times New Roman" w:eastAsia="宋体" w:cs="Times New Roman"/>
        </w:rPr>
      </w:pPr>
      <w:r>
        <w:rPr>
          <w:rFonts w:ascii="Times New Roman" w:hAnsi="Times New Roman" w:eastAsia="宋体" w:cs="Times New Roman"/>
        </w:rPr>
        <w:t>⑤危险废物入库时要分类整齐入池堆放。</w:t>
      </w:r>
    </w:p>
    <w:p>
      <w:pPr>
        <w:pStyle w:val="17"/>
        <w:adjustRightInd w:val="0"/>
        <w:snapToGrid w:val="0"/>
        <w:ind w:firstLine="480"/>
        <w:jc w:val="left"/>
        <w:rPr>
          <w:rFonts w:ascii="Times New Roman" w:hAnsi="Times New Roman" w:eastAsia="宋体" w:cs="Times New Roman"/>
        </w:rPr>
      </w:pPr>
      <w:r>
        <w:rPr>
          <w:rFonts w:ascii="Times New Roman" w:hAnsi="Times New Roman" w:eastAsia="宋体" w:cs="Times New Roman"/>
        </w:rPr>
        <w:t>⑥检查危险废物台账是否有记录。</w:t>
      </w:r>
    </w:p>
    <w:p>
      <w:pPr>
        <w:pStyle w:val="17"/>
        <w:adjustRightInd w:val="0"/>
        <w:snapToGrid w:val="0"/>
        <w:ind w:firstLine="480"/>
        <w:jc w:val="left"/>
        <w:rPr>
          <w:rFonts w:ascii="Times New Roman" w:hAnsi="Times New Roman" w:eastAsia="宋体" w:cs="Times New Roman"/>
        </w:rPr>
      </w:pPr>
      <w:r>
        <w:rPr>
          <w:rFonts w:ascii="Times New Roman" w:hAnsi="Times New Roman" w:eastAsia="宋体" w:cs="Times New Roman"/>
        </w:rPr>
        <w:t>⑦检查应急救援设备是否完好</w:t>
      </w:r>
    </w:p>
    <w:p>
      <w:pPr>
        <w:pStyle w:val="57"/>
        <w:spacing w:after="0"/>
        <w:ind w:firstLine="0" w:firstLineChars="0"/>
        <w:rPr>
          <w:rFonts w:ascii="Times New Roman" w:hAnsi="Times New Roman" w:eastAsia="宋体" w:cs="Times New Roman"/>
          <w:b/>
          <w:sz w:val="28"/>
          <w:szCs w:val="28"/>
        </w:rPr>
      </w:pPr>
      <w:r>
        <w:rPr>
          <w:rFonts w:ascii="Times New Roman" w:hAnsi="Times New Roman" w:eastAsia="宋体" w:cs="Times New Roman"/>
          <w:b/>
          <w:sz w:val="28"/>
          <w:szCs w:val="28"/>
        </w:rPr>
        <w:t>4.1.2危险废物管理措施</w:t>
      </w:r>
    </w:p>
    <w:p>
      <w:pPr>
        <w:pStyle w:val="57"/>
        <w:spacing w:after="0"/>
        <w:ind w:firstLine="480"/>
        <w:rPr>
          <w:rFonts w:ascii="Times New Roman" w:hAnsi="Times New Roman" w:eastAsia="宋体" w:cs="Times New Roman"/>
        </w:rPr>
      </w:pPr>
      <w:r>
        <w:rPr>
          <w:rFonts w:ascii="Times New Roman" w:hAnsi="Times New Roman" w:eastAsia="宋体" w:cs="Times New Roman"/>
        </w:rPr>
        <w:t>公司生产产生的废活性炭</w:t>
      </w:r>
      <w:r>
        <w:rPr>
          <w:rFonts w:ascii="Times New Roman" w:hAnsi="Times New Roman" w:eastAsia="宋体" w:cs="Times New Roman"/>
          <w:szCs w:val="24"/>
        </w:rPr>
        <w:t>、导热废油</w:t>
      </w:r>
      <w:r>
        <w:rPr>
          <w:rFonts w:ascii="Times New Roman" w:hAnsi="Times New Roman" w:eastAsia="宋体" w:cs="Times New Roman"/>
        </w:rPr>
        <w:t>等危险废物，有专门的危废间贮存，有防渗漏、防流失、防扬散和防火措施，并编有《危险废物管理制度》。危废暂存间设置了围坎和收集沟，收集沟与事故应急池相连接；各类废物分类整齐存放且进行封口，预防了危废的流失和扬散；袋装、桶装危险废物入库时均贴上标签；空气流通；危废门口和内部均设置灭火器材及消防砂。</w:t>
      </w:r>
    </w:p>
    <w:p>
      <w:pPr>
        <w:pStyle w:val="17"/>
        <w:adjustRightInd w:val="0"/>
        <w:snapToGrid w:val="0"/>
        <w:ind w:firstLine="0" w:firstLineChars="0"/>
        <w:jc w:val="left"/>
        <w:rPr>
          <w:rFonts w:ascii="Times New Roman" w:hAnsi="Times New Roman" w:eastAsia="宋体" w:cs="Times New Roman"/>
          <w:b/>
          <w:sz w:val="30"/>
          <w:szCs w:val="30"/>
        </w:rPr>
      </w:pPr>
      <w:r>
        <w:rPr>
          <w:rFonts w:ascii="Times New Roman" w:hAnsi="Times New Roman" w:eastAsia="宋体" w:cs="Times New Roman"/>
          <w:b/>
          <w:sz w:val="30"/>
          <w:szCs w:val="30"/>
        </w:rPr>
        <w:t>4.2预警行动</w:t>
      </w:r>
    </w:p>
    <w:p>
      <w:pPr>
        <w:pStyle w:val="17"/>
        <w:adjustRightInd w:val="0"/>
        <w:snapToGrid w:val="0"/>
        <w:ind w:firstLine="480"/>
        <w:jc w:val="left"/>
        <w:rPr>
          <w:rFonts w:ascii="Times New Roman" w:hAnsi="Times New Roman" w:eastAsia="宋体" w:cs="Times New Roman"/>
        </w:rPr>
      </w:pPr>
      <w:r>
        <w:rPr>
          <w:rFonts w:ascii="Times New Roman" w:hAnsi="Times New Roman" w:eastAsia="宋体" w:cs="Times New Roman"/>
        </w:rPr>
        <w:t>接警人员接到报警后，应迅速向应急指挥部负责人报告，报告的内容包括发生事故的单位、时间、地点、性质、类型、受伤人员、事故损失情况、需要的急救措施及到达现场的路线方式，指挥部启动应急预案，通知相关专业组赶赴现场，实施救援，并视情况向上级管理部门报告。</w:t>
      </w:r>
    </w:p>
    <w:p>
      <w:pPr>
        <w:pStyle w:val="17"/>
        <w:adjustRightInd w:val="0"/>
        <w:snapToGrid w:val="0"/>
        <w:ind w:firstLine="0" w:firstLineChars="0"/>
        <w:jc w:val="left"/>
        <w:rPr>
          <w:rFonts w:ascii="Times New Roman" w:hAnsi="Times New Roman" w:eastAsia="宋体" w:cs="Times New Roman"/>
          <w:b/>
          <w:sz w:val="32"/>
          <w:szCs w:val="32"/>
        </w:rPr>
      </w:pPr>
      <w:r>
        <w:rPr>
          <w:rFonts w:ascii="Times New Roman" w:hAnsi="Times New Roman" w:eastAsia="宋体" w:cs="Times New Roman"/>
          <w:b/>
          <w:sz w:val="32"/>
          <w:szCs w:val="32"/>
        </w:rPr>
        <w:t>5.信息报告</w:t>
      </w:r>
    </w:p>
    <w:p>
      <w:pPr>
        <w:pStyle w:val="17"/>
        <w:adjustRightInd w:val="0"/>
        <w:snapToGrid w:val="0"/>
        <w:ind w:firstLine="0" w:firstLineChars="0"/>
        <w:jc w:val="left"/>
        <w:rPr>
          <w:rFonts w:ascii="Times New Roman" w:hAnsi="Times New Roman" w:eastAsia="宋体" w:cs="Times New Roman"/>
          <w:b/>
          <w:sz w:val="30"/>
          <w:szCs w:val="30"/>
        </w:rPr>
      </w:pPr>
      <w:r>
        <w:rPr>
          <w:rFonts w:ascii="Times New Roman" w:hAnsi="Times New Roman" w:eastAsia="宋体" w:cs="Times New Roman"/>
          <w:b/>
          <w:sz w:val="30"/>
          <w:szCs w:val="30"/>
        </w:rPr>
        <w:t>5.1信息报告与通知</w:t>
      </w:r>
    </w:p>
    <w:p>
      <w:pPr>
        <w:pStyle w:val="17"/>
        <w:numPr>
          <w:ilvl w:val="0"/>
          <w:numId w:val="5"/>
        </w:numPr>
        <w:adjustRightInd w:val="0"/>
        <w:snapToGrid w:val="0"/>
        <w:ind w:firstLine="480"/>
        <w:jc w:val="left"/>
        <w:rPr>
          <w:rFonts w:ascii="Times New Roman" w:hAnsi="Times New Roman" w:eastAsia="宋体" w:cs="Times New Roman"/>
          <w:szCs w:val="24"/>
        </w:rPr>
      </w:pPr>
      <w:r>
        <w:rPr>
          <w:rFonts w:ascii="Times New Roman" w:hAnsi="Times New Roman" w:eastAsia="宋体" w:cs="Times New Roman"/>
          <w:szCs w:val="24"/>
        </w:rPr>
        <w:t>公司环境应急指挥中心设置调度室，应急响应办公室实行24小时值班制度</w:t>
      </w:r>
      <w:r>
        <w:rPr>
          <w:rFonts w:ascii="Times New Roman" w:hAnsi="Times New Roman" w:eastAsia="宋体" w:cs="Times New Roman"/>
        </w:rPr>
        <w:t>，应急值守电话：</w:t>
      </w:r>
      <w:r>
        <w:rPr>
          <w:rFonts w:ascii="Times New Roman" w:hAnsi="Times New Roman" w:eastAsia="宋体" w:cs="Times New Roman"/>
          <w:szCs w:val="24"/>
        </w:rPr>
        <w:t>值班人员手机（详见附件）</w:t>
      </w:r>
    </w:p>
    <w:p>
      <w:pPr>
        <w:pStyle w:val="17"/>
        <w:numPr>
          <w:ilvl w:val="0"/>
          <w:numId w:val="5"/>
        </w:numPr>
        <w:adjustRightInd w:val="0"/>
        <w:snapToGrid w:val="0"/>
        <w:ind w:firstLine="480"/>
        <w:jc w:val="left"/>
        <w:rPr>
          <w:rFonts w:ascii="Times New Roman" w:hAnsi="Times New Roman" w:eastAsia="宋体" w:cs="Times New Roman"/>
        </w:rPr>
      </w:pPr>
      <w:r>
        <w:rPr>
          <w:rFonts w:ascii="Times New Roman" w:hAnsi="Times New Roman" w:eastAsia="宋体" w:cs="Times New Roman"/>
        </w:rPr>
        <w:t>突发危险废物环境事故时，事故现场有关人员立即迅速报告应急指挥部，在夜间值班室接警后需立即向生产部负责人报告。</w:t>
      </w:r>
    </w:p>
    <w:p>
      <w:pPr>
        <w:pStyle w:val="17"/>
        <w:adjustRightInd w:val="0"/>
        <w:snapToGrid w:val="0"/>
        <w:ind w:firstLine="480"/>
        <w:jc w:val="left"/>
        <w:rPr>
          <w:rFonts w:ascii="Times New Roman" w:hAnsi="Times New Roman" w:eastAsia="宋体" w:cs="Times New Roman"/>
        </w:rPr>
      </w:pPr>
      <w:r>
        <w:rPr>
          <w:rFonts w:ascii="Times New Roman" w:hAnsi="Times New Roman" w:eastAsia="宋体" w:cs="Times New Roman"/>
        </w:rPr>
        <w:t>（3）值班人员接警后，立即将警情报告应急救援指挥办公室；特别重大事故，可直接向环境应急指挥机构总指挥或执行指挥报告并寻求相关单位的救援。</w:t>
      </w:r>
    </w:p>
    <w:p>
      <w:pPr>
        <w:pStyle w:val="17"/>
        <w:adjustRightInd w:val="0"/>
        <w:snapToGrid w:val="0"/>
        <w:ind w:firstLine="0" w:firstLineChars="0"/>
        <w:jc w:val="left"/>
        <w:rPr>
          <w:rFonts w:ascii="Times New Roman" w:hAnsi="Times New Roman" w:eastAsia="宋体" w:cs="Times New Roman"/>
          <w:b/>
          <w:sz w:val="30"/>
          <w:szCs w:val="30"/>
        </w:rPr>
      </w:pPr>
      <w:r>
        <w:rPr>
          <w:rFonts w:ascii="Times New Roman" w:hAnsi="Times New Roman" w:eastAsia="宋体" w:cs="Times New Roman"/>
          <w:b/>
          <w:sz w:val="30"/>
          <w:szCs w:val="30"/>
        </w:rPr>
        <w:t>5.2信息上报</w:t>
      </w:r>
    </w:p>
    <w:p>
      <w:pPr>
        <w:pStyle w:val="17"/>
        <w:adjustRightInd w:val="0"/>
        <w:snapToGrid w:val="0"/>
        <w:ind w:firstLine="480"/>
        <w:jc w:val="left"/>
        <w:rPr>
          <w:rFonts w:ascii="Times New Roman" w:hAnsi="Times New Roman" w:eastAsia="宋体" w:cs="Times New Roman"/>
        </w:rPr>
      </w:pPr>
      <w:r>
        <w:rPr>
          <w:rFonts w:ascii="Times New Roman" w:hAnsi="Times New Roman" w:eastAsia="宋体" w:cs="Times New Roman"/>
        </w:rPr>
        <w:t>（1）突发危险废物环境事故后，指挥部应立即上报主管部门。</w:t>
      </w:r>
    </w:p>
    <w:p>
      <w:pPr>
        <w:pStyle w:val="17"/>
        <w:adjustRightInd w:val="0"/>
        <w:snapToGrid w:val="0"/>
        <w:ind w:firstLine="480"/>
        <w:jc w:val="left"/>
        <w:rPr>
          <w:rFonts w:ascii="Times New Roman" w:hAnsi="Times New Roman" w:eastAsia="宋体" w:cs="Times New Roman"/>
        </w:rPr>
      </w:pPr>
      <w:r>
        <w:rPr>
          <w:rFonts w:ascii="Times New Roman" w:hAnsi="Times New Roman" w:eastAsia="宋体" w:cs="Times New Roman"/>
        </w:rPr>
        <w:t>（2）信息上报内容包括：单位发生事故概况；事故发生时间、部门以及事故现场情况；事故简要经过；事故已造成的伤亡人数和初步统计的直接经济损失；已经采取的措施等。</w:t>
      </w:r>
    </w:p>
    <w:p>
      <w:pPr>
        <w:pStyle w:val="17"/>
        <w:adjustRightInd w:val="0"/>
        <w:snapToGrid w:val="0"/>
        <w:ind w:firstLine="480"/>
        <w:jc w:val="left"/>
        <w:rPr>
          <w:rFonts w:ascii="Times New Roman" w:hAnsi="Times New Roman" w:eastAsia="宋体" w:cs="Times New Roman"/>
        </w:rPr>
      </w:pPr>
      <w:r>
        <w:rPr>
          <w:rFonts w:ascii="Times New Roman" w:hAnsi="Times New Roman" w:eastAsia="宋体" w:cs="Times New Roman"/>
        </w:rPr>
        <w:t>（3）信息传递：根据事故影响程度大小，事故现场第一发现者采取逐级上报或越级上报的形式向上级领导汇报，请求支援。事故后5—15日，由应急协调指挥人以书面形式报告咸宁市生态环境局赤壁市分局，书面报告包括单位基本情况，人员救援情况及康复情况，环境污染情况及防治情况。</w:t>
      </w:r>
    </w:p>
    <w:p>
      <w:pPr>
        <w:pStyle w:val="17"/>
        <w:adjustRightInd w:val="0"/>
        <w:snapToGrid w:val="0"/>
        <w:ind w:firstLine="0" w:firstLineChars="0"/>
        <w:jc w:val="left"/>
        <w:rPr>
          <w:rFonts w:ascii="Times New Roman" w:hAnsi="Times New Roman" w:eastAsia="宋体" w:cs="Times New Roman"/>
          <w:b/>
          <w:sz w:val="32"/>
          <w:szCs w:val="32"/>
        </w:rPr>
      </w:pPr>
      <w:r>
        <w:rPr>
          <w:rFonts w:ascii="Times New Roman" w:hAnsi="Times New Roman" w:eastAsia="宋体" w:cs="Times New Roman"/>
          <w:b/>
          <w:sz w:val="32"/>
          <w:szCs w:val="32"/>
        </w:rPr>
        <w:t>6、应急响应</w:t>
      </w:r>
    </w:p>
    <w:p>
      <w:pPr>
        <w:pStyle w:val="17"/>
        <w:adjustRightInd w:val="0"/>
        <w:snapToGrid w:val="0"/>
        <w:ind w:firstLine="0" w:firstLineChars="0"/>
        <w:jc w:val="left"/>
        <w:rPr>
          <w:rFonts w:ascii="Times New Roman" w:hAnsi="Times New Roman" w:eastAsia="宋体" w:cs="Times New Roman"/>
          <w:b/>
          <w:sz w:val="30"/>
          <w:szCs w:val="30"/>
        </w:rPr>
      </w:pPr>
      <w:r>
        <w:rPr>
          <w:rFonts w:ascii="Times New Roman" w:hAnsi="Times New Roman" w:eastAsia="宋体" w:cs="Times New Roman"/>
          <w:b/>
          <w:sz w:val="30"/>
          <w:szCs w:val="30"/>
        </w:rPr>
        <w:t>6.1响应分级</w:t>
      </w:r>
    </w:p>
    <w:p>
      <w:pPr>
        <w:pStyle w:val="17"/>
        <w:adjustRightInd w:val="0"/>
        <w:snapToGrid w:val="0"/>
        <w:ind w:firstLine="480"/>
        <w:jc w:val="left"/>
        <w:rPr>
          <w:rFonts w:ascii="Times New Roman" w:hAnsi="Times New Roman" w:eastAsia="宋体" w:cs="Times New Roman"/>
        </w:rPr>
      </w:pPr>
      <w:r>
        <w:rPr>
          <w:rFonts w:ascii="Times New Roman" w:hAnsi="Times New Roman" w:eastAsia="宋体" w:cs="Times New Roman"/>
        </w:rPr>
        <w:t>当事故发生后，为了迅速、准确做好事故等级预报，减少伤害和损失，首先应确定应急状态类别及报警响应程序。当事故发生后，事故发生部门在积极组织人员进行事故应急处理同时，立即上报指挥中心。由指挥中心根据事故等级确定报警范围。根据事故险情可采用三级报警，报警级别视伤害影响及范围确定。按照突发危废环境事件严重性、紧急程度和可能波及的范围，将突发危废环境事件的预警分为三级：</w:t>
      </w:r>
    </w:p>
    <w:p>
      <w:pPr>
        <w:pStyle w:val="17"/>
        <w:adjustRightInd w:val="0"/>
        <w:snapToGrid w:val="0"/>
        <w:ind w:firstLine="480"/>
        <w:jc w:val="left"/>
        <w:rPr>
          <w:rFonts w:ascii="Times New Roman" w:hAnsi="Times New Roman" w:eastAsia="宋体" w:cs="Times New Roman"/>
        </w:rPr>
      </w:pPr>
      <w:r>
        <w:rPr>
          <w:rFonts w:ascii="Times New Roman" w:hAnsi="Times New Roman" w:eastAsia="宋体" w:cs="Times New Roman"/>
        </w:rPr>
        <w:t>一级报警：当危险废物燃烧、爆炸比较大时，对周围环境影响比较大（大于500m半径范围）。</w:t>
      </w:r>
    </w:p>
    <w:p>
      <w:pPr>
        <w:pStyle w:val="17"/>
        <w:adjustRightInd w:val="0"/>
        <w:snapToGrid w:val="0"/>
        <w:ind w:firstLine="480"/>
        <w:jc w:val="left"/>
        <w:rPr>
          <w:rFonts w:ascii="Times New Roman" w:hAnsi="Times New Roman" w:eastAsia="宋体" w:cs="Times New Roman"/>
        </w:rPr>
      </w:pPr>
      <w:r>
        <w:rPr>
          <w:rFonts w:ascii="Times New Roman" w:hAnsi="Times New Roman" w:eastAsia="宋体" w:cs="Times New Roman"/>
        </w:rPr>
        <w:t>报警范围及方式：全面报警，指挥发出紧急动员令，调动一切人员和器材、设备、药品等紧急物资，积极有效的投入抢修抢救工作，首先保证最大限度的减少人员伤亡。并迅速向公司有关部门报告，迅速向周边地区各单位和社区发出报警，向各级主管部门请求支援。</w:t>
      </w:r>
    </w:p>
    <w:p>
      <w:pPr>
        <w:pStyle w:val="17"/>
        <w:adjustRightInd w:val="0"/>
        <w:snapToGrid w:val="0"/>
        <w:ind w:firstLine="480"/>
        <w:jc w:val="left"/>
        <w:rPr>
          <w:rFonts w:ascii="Times New Roman" w:hAnsi="Times New Roman" w:eastAsia="宋体" w:cs="Times New Roman"/>
        </w:rPr>
      </w:pPr>
      <w:r>
        <w:rPr>
          <w:rFonts w:ascii="Times New Roman" w:hAnsi="Times New Roman" w:eastAsia="宋体" w:cs="Times New Roman"/>
        </w:rPr>
        <w:t>二级报警：当废物局部泄露，且抢修无效，短时间内不能控制时，并根据泄露点大小预测，仅对厂内及厂界下风向距离500m内范围产生危害影响，此时可发出二级报警。若部门处理不力，隐患进一步加重，则响应级别上升。</w:t>
      </w:r>
    </w:p>
    <w:p>
      <w:pPr>
        <w:pStyle w:val="17"/>
        <w:ind w:firstLine="480"/>
        <w:jc w:val="both"/>
        <w:rPr>
          <w:rFonts w:ascii="Times New Roman" w:hAnsi="Times New Roman" w:eastAsia="宋体" w:cs="Times New Roman"/>
        </w:rPr>
      </w:pPr>
      <w:r>
        <w:rPr>
          <w:rFonts w:ascii="Times New Roman" w:hAnsi="Times New Roman" w:eastAsia="宋体" w:cs="Times New Roman"/>
        </w:rPr>
        <w:t>报警范围：由公司级指挥中心全面指挥，及时通知公司有关管理部门，迅速通知厂外临近企业单位等有关部门，并派出专人深入现场指挥，组织疏散、撤离和抢险工作。若发生了人员中毒事故后，指挥中心应立即与上级主管部门和地方政府联络，请求批示和援助。若部门处理不力，隐患进一步加重，则响应级别上升。</w:t>
      </w:r>
    </w:p>
    <w:p>
      <w:pPr>
        <w:pStyle w:val="17"/>
        <w:ind w:firstLine="480"/>
        <w:jc w:val="both"/>
        <w:rPr>
          <w:rFonts w:ascii="Times New Roman" w:hAnsi="Times New Roman" w:eastAsia="宋体" w:cs="Times New Roman"/>
        </w:rPr>
      </w:pPr>
      <w:r>
        <w:rPr>
          <w:rFonts w:ascii="Times New Roman" w:hAnsi="Times New Roman" w:eastAsia="宋体" w:cs="Times New Roman"/>
        </w:rPr>
        <w:t>三级报警：如果危险废物存放有毒物料容器发生少量泄露，且影响范围只限于厂区内，通过抢修或系统临时紧急措施就能控制事故的发展及蔓延。若部门处理不力，隐患进一步加重，则响应级别上升。</w:t>
      </w:r>
    </w:p>
    <w:p>
      <w:pPr>
        <w:pStyle w:val="17"/>
        <w:ind w:firstLine="480"/>
        <w:jc w:val="both"/>
        <w:rPr>
          <w:rFonts w:ascii="Times New Roman" w:hAnsi="Times New Roman" w:eastAsia="宋体" w:cs="Times New Roman"/>
        </w:rPr>
      </w:pPr>
      <w:r>
        <w:rPr>
          <w:rFonts w:ascii="Times New Roman" w:hAnsi="Times New Roman" w:eastAsia="宋体" w:cs="Times New Roman"/>
        </w:rPr>
        <w:t>报警范围：主要由车间领导小组负责处理，但首先应向公司级指挥中心汇报。在积极组织抢修的同时，应根据风向，对厂区范围内主要受区域部门及时联系，做好预防措施。并派专人到受影响区域进行观察和组织疏散撤离。</w:t>
      </w:r>
    </w:p>
    <w:p>
      <w:pPr>
        <w:pStyle w:val="17"/>
        <w:adjustRightInd w:val="0"/>
        <w:snapToGrid w:val="0"/>
        <w:ind w:firstLine="0" w:firstLineChars="0"/>
        <w:jc w:val="left"/>
        <w:rPr>
          <w:rFonts w:ascii="Times New Roman" w:hAnsi="Times New Roman" w:eastAsia="宋体" w:cs="Times New Roman"/>
          <w:b/>
          <w:sz w:val="30"/>
          <w:szCs w:val="30"/>
        </w:rPr>
      </w:pPr>
      <w:r>
        <w:rPr>
          <w:rFonts w:ascii="Times New Roman" w:hAnsi="Times New Roman" w:eastAsia="宋体" w:cs="Times New Roman"/>
          <w:b/>
          <w:sz w:val="30"/>
          <w:szCs w:val="30"/>
        </w:rPr>
        <w:t>6.2响应程序</w:t>
      </w:r>
    </w:p>
    <w:p>
      <w:pPr>
        <w:pStyle w:val="17"/>
        <w:ind w:firstLine="480"/>
        <w:jc w:val="both"/>
        <w:rPr>
          <w:rFonts w:ascii="Times New Roman" w:hAnsi="Times New Roman" w:eastAsia="宋体" w:cs="Times New Roman"/>
        </w:rPr>
      </w:pPr>
      <w:r>
        <w:rPr>
          <w:rFonts w:ascii="Times New Roman" w:hAnsi="Times New Roman" w:eastAsia="宋体" w:cs="Times New Roman"/>
        </w:rPr>
        <w:t>事故发生时，应急指挥部立即组织各应急救援小组成员维护现场治安秩序，建立事故现场周围警戒区域，防止无关人员进入应急现场，保障救援队伍、物资运输和人群疏散等交通畅通。</w:t>
      </w:r>
    </w:p>
    <w:p>
      <w:pPr>
        <w:pStyle w:val="17"/>
        <w:ind w:firstLine="0" w:firstLineChars="0"/>
        <w:jc w:val="both"/>
        <w:rPr>
          <w:rFonts w:ascii="Times New Roman" w:hAnsi="Times New Roman" w:eastAsia="宋体" w:cs="Times New Roman"/>
        </w:rPr>
      </w:pPr>
      <w:r>
        <w:rPr>
          <w:rFonts w:ascii="Times New Roman" w:hAnsi="Times New Roman" w:eastAsia="宋体" w:cs="Times New Roman"/>
        </w:rPr>
        <w:t>单位应急响应的过程为接警、应急启动、控制及应急行动、扩大应急、应急终止和后期处置。</w:t>
      </w:r>
    </w:p>
    <w:p>
      <w:pPr>
        <w:pStyle w:val="17"/>
        <w:ind w:firstLine="480"/>
        <w:jc w:val="both"/>
        <w:rPr>
          <w:rFonts w:ascii="Times New Roman" w:hAnsi="Times New Roman" w:eastAsia="宋体" w:cs="Times New Roman"/>
        </w:rPr>
      </w:pPr>
      <w:r>
        <w:rPr>
          <w:rFonts w:ascii="Times New Roman" w:hAnsi="Times New Roman" w:eastAsia="宋体" w:cs="Times New Roman"/>
        </w:rPr>
        <w:t>（1）突发危险废物环境事故后，由环境应急指挥部根据事故情况开展应急救援工作的指挥与协调，通知有关车间、部门及应急抢救队伍赶赴事故现场进行事故抢险救护工作。</w:t>
      </w:r>
    </w:p>
    <w:p>
      <w:pPr>
        <w:pStyle w:val="17"/>
        <w:ind w:firstLine="480"/>
        <w:jc w:val="both"/>
        <w:rPr>
          <w:rFonts w:ascii="Times New Roman" w:hAnsi="Times New Roman" w:eastAsia="宋体" w:cs="Times New Roman"/>
        </w:rPr>
      </w:pPr>
      <w:r>
        <w:rPr>
          <w:rFonts w:ascii="Times New Roman" w:hAnsi="Times New Roman" w:eastAsia="宋体" w:cs="Times New Roman"/>
        </w:rPr>
        <w:t>（2）召集、调动抢救力量，各车间、单位接到环境应急指挥部指令后，立即响应，派遣事故抢险人员、物资设备等迅速到达指定位置聚集，并听从现场总指挥的安排。</w:t>
      </w:r>
    </w:p>
    <w:p>
      <w:pPr>
        <w:pStyle w:val="17"/>
        <w:ind w:firstLine="480"/>
        <w:jc w:val="both"/>
        <w:rPr>
          <w:rFonts w:ascii="Times New Roman" w:hAnsi="Times New Roman" w:eastAsia="宋体" w:cs="Times New Roman"/>
        </w:rPr>
      </w:pPr>
      <w:r>
        <w:rPr>
          <w:rFonts w:ascii="Times New Roman" w:hAnsi="Times New Roman" w:eastAsia="宋体" w:cs="Times New Roman"/>
        </w:rPr>
        <w:t>（3）环境应急指挥部按本预案确立的基本原则、专家建议，迅速组织应急救援力量进行应急抢救，并且要与参加应急行动的车间、部门保持通信畅通。</w:t>
      </w:r>
    </w:p>
    <w:p>
      <w:pPr>
        <w:pStyle w:val="17"/>
        <w:ind w:firstLine="480"/>
        <w:jc w:val="both"/>
        <w:rPr>
          <w:rFonts w:ascii="Times New Roman" w:hAnsi="Times New Roman" w:eastAsia="宋体" w:cs="Times New Roman"/>
        </w:rPr>
      </w:pPr>
      <w:r>
        <w:rPr>
          <w:rFonts w:ascii="Times New Roman" w:hAnsi="Times New Roman" w:eastAsia="宋体" w:cs="Times New Roman"/>
        </w:rPr>
        <w:t>（4）当现场现有应急力量和资源不能满足应急行动要求时，及时向区和上级主管单位报告请求支援。</w:t>
      </w:r>
    </w:p>
    <w:p>
      <w:pPr>
        <w:pStyle w:val="17"/>
        <w:ind w:firstLine="480"/>
        <w:jc w:val="both"/>
        <w:rPr>
          <w:rFonts w:ascii="Times New Roman" w:hAnsi="Times New Roman" w:eastAsia="宋体" w:cs="Times New Roman"/>
        </w:rPr>
      </w:pPr>
      <w:r>
        <w:rPr>
          <w:rFonts w:ascii="Times New Roman" w:hAnsi="Times New Roman" w:eastAsia="宋体" w:cs="Times New Roman"/>
        </w:rPr>
        <w:t>（5）事故发生时，必须保护现场，对危险地区周边进行警戒封闭，按本预案营救、急救伤员和保护财产。如若发生特殊险情时，应急指挥中心在充分考虑专家和有关方面意见的基础上，依法及时采取应急处置措施。</w:t>
      </w:r>
    </w:p>
    <w:p>
      <w:pPr>
        <w:pStyle w:val="17"/>
        <w:ind w:firstLine="480"/>
        <w:jc w:val="both"/>
        <w:rPr>
          <w:rFonts w:ascii="Times New Roman" w:hAnsi="Times New Roman" w:eastAsia="宋体" w:cs="Times New Roman"/>
        </w:rPr>
      </w:pPr>
      <w:r>
        <w:rPr>
          <w:rFonts w:ascii="Times New Roman" w:hAnsi="Times New Roman" w:eastAsia="宋体" w:cs="Times New Roman"/>
        </w:rPr>
        <w:t>（6）医疗卫生救助事故发生时，拨打120并及时赶赴现场开展医疗救治、疾病预防控制等应急工作。</w:t>
      </w:r>
    </w:p>
    <w:p>
      <w:pPr>
        <w:pStyle w:val="17"/>
        <w:adjustRightInd w:val="0"/>
        <w:snapToGrid w:val="0"/>
        <w:ind w:firstLine="0" w:firstLineChars="0"/>
        <w:jc w:val="left"/>
        <w:rPr>
          <w:rFonts w:ascii="Times New Roman" w:hAnsi="Times New Roman" w:eastAsia="宋体" w:cs="Times New Roman"/>
          <w:b/>
          <w:sz w:val="30"/>
          <w:szCs w:val="30"/>
        </w:rPr>
      </w:pPr>
      <w:r>
        <w:rPr>
          <w:rFonts w:ascii="Times New Roman" w:hAnsi="Times New Roman" w:eastAsia="宋体" w:cs="Times New Roman"/>
          <w:b/>
          <w:sz w:val="30"/>
          <w:szCs w:val="30"/>
        </w:rPr>
        <w:t>6.3处置措施</w:t>
      </w:r>
    </w:p>
    <w:p>
      <w:pPr>
        <w:pStyle w:val="17"/>
        <w:adjustRightInd w:val="0"/>
        <w:snapToGrid w:val="0"/>
        <w:ind w:firstLine="0" w:firstLineChars="0"/>
        <w:jc w:val="left"/>
        <w:rPr>
          <w:rFonts w:ascii="Times New Roman" w:hAnsi="Times New Roman" w:eastAsia="宋体" w:cs="Times New Roman"/>
          <w:b/>
          <w:sz w:val="28"/>
          <w:szCs w:val="28"/>
        </w:rPr>
      </w:pPr>
      <w:r>
        <w:rPr>
          <w:rFonts w:ascii="Times New Roman" w:hAnsi="Times New Roman" w:eastAsia="宋体" w:cs="Times New Roman"/>
          <w:b/>
          <w:sz w:val="28"/>
          <w:szCs w:val="28"/>
        </w:rPr>
        <w:t>6.3.1危废泄漏事故应急处理措施</w:t>
      </w:r>
    </w:p>
    <w:p>
      <w:pPr>
        <w:pStyle w:val="17"/>
        <w:ind w:firstLine="480"/>
        <w:jc w:val="both"/>
        <w:rPr>
          <w:rFonts w:ascii="Times New Roman" w:hAnsi="Times New Roman" w:eastAsia="宋体" w:cs="Times New Roman"/>
        </w:rPr>
      </w:pPr>
      <w:r>
        <w:rPr>
          <w:rFonts w:ascii="Times New Roman" w:hAnsi="Times New Roman" w:eastAsia="宋体" w:cs="Times New Roman"/>
        </w:rPr>
        <w:t>（1）应从上风处接近现场，严禁盲目进入。</w:t>
      </w:r>
    </w:p>
    <w:p>
      <w:pPr>
        <w:pStyle w:val="17"/>
        <w:ind w:firstLine="480"/>
        <w:jc w:val="both"/>
        <w:rPr>
          <w:rFonts w:ascii="Times New Roman" w:hAnsi="Times New Roman" w:eastAsia="宋体" w:cs="Times New Roman"/>
        </w:rPr>
      </w:pPr>
      <w:r>
        <w:rPr>
          <w:rFonts w:ascii="Times New Roman" w:hAnsi="Times New Roman" w:eastAsia="宋体" w:cs="Times New Roman"/>
        </w:rPr>
        <w:t>（2）严禁火种，避免一切因磨擦、碰撞而引起的静电或火花。扑灭任何明火及任何其它形式的热源和火源，以降低发生火灾爆炸危险性。</w:t>
      </w:r>
    </w:p>
    <w:p>
      <w:pPr>
        <w:pStyle w:val="17"/>
        <w:ind w:firstLine="480"/>
        <w:jc w:val="both"/>
        <w:rPr>
          <w:rFonts w:ascii="Times New Roman" w:hAnsi="Times New Roman" w:eastAsia="宋体" w:cs="Times New Roman"/>
        </w:rPr>
      </w:pPr>
      <w:r>
        <w:rPr>
          <w:rFonts w:ascii="Times New Roman" w:hAnsi="Times New Roman" w:eastAsia="宋体" w:cs="Times New Roman"/>
        </w:rPr>
        <w:t>（3）使用不产生冲击、静电火花的工具把泄漏物回收至密闭的容器中，移至安全场所。</w:t>
      </w:r>
    </w:p>
    <w:p>
      <w:pPr>
        <w:pStyle w:val="17"/>
        <w:ind w:firstLine="480"/>
        <w:jc w:val="both"/>
        <w:rPr>
          <w:rFonts w:ascii="Times New Roman" w:hAnsi="Times New Roman" w:eastAsia="宋体" w:cs="Times New Roman"/>
        </w:rPr>
      </w:pPr>
      <w:r>
        <w:rPr>
          <w:rFonts w:ascii="Times New Roman" w:hAnsi="Times New Roman" w:eastAsia="宋体" w:cs="Times New Roman"/>
        </w:rPr>
        <w:t>（4）切断火源，小量泄漏：用吸油毡或者沙粒材料吸收。大量泄漏：构筑围堤或挖坑收容；用沙覆盖，降低蒸气灾害。回收或运至废物处理场所处置。流出时使用砂土围阻隔，防止进入下水道、排洪沟等限制空间，并避免造成更大范围的污染。</w:t>
      </w:r>
    </w:p>
    <w:p>
      <w:pPr>
        <w:pStyle w:val="17"/>
        <w:ind w:firstLine="480"/>
        <w:jc w:val="both"/>
        <w:rPr>
          <w:rFonts w:ascii="Times New Roman" w:hAnsi="Times New Roman" w:eastAsia="宋体" w:cs="Times New Roman"/>
        </w:rPr>
      </w:pPr>
      <w:r>
        <w:rPr>
          <w:rFonts w:ascii="Times New Roman" w:hAnsi="Times New Roman" w:eastAsia="宋体" w:cs="Times New Roman"/>
        </w:rPr>
        <w:t>（5）保持空气流通，减少挥发性溶剂聚集，避免发生安全事故。</w:t>
      </w:r>
    </w:p>
    <w:p>
      <w:pPr>
        <w:pStyle w:val="17"/>
        <w:ind w:firstLine="480"/>
        <w:jc w:val="both"/>
        <w:rPr>
          <w:rFonts w:ascii="Times New Roman" w:hAnsi="Times New Roman" w:eastAsia="宋体" w:cs="Times New Roman"/>
        </w:rPr>
      </w:pPr>
      <w:r>
        <w:rPr>
          <w:rFonts w:ascii="Times New Roman" w:hAnsi="Times New Roman" w:eastAsia="宋体" w:cs="Times New Roman"/>
        </w:rPr>
        <w:t>（6）应急处理时严禁单独行动，要有协同人，必要时用消防水龙带喷水掩护。</w:t>
      </w:r>
    </w:p>
    <w:p>
      <w:pPr>
        <w:pStyle w:val="17"/>
        <w:ind w:firstLine="480"/>
        <w:jc w:val="both"/>
        <w:rPr>
          <w:rFonts w:ascii="Times New Roman" w:hAnsi="Times New Roman" w:eastAsia="宋体" w:cs="Times New Roman"/>
          <w:b/>
          <w:sz w:val="28"/>
          <w:szCs w:val="28"/>
        </w:rPr>
      </w:pPr>
      <w:r>
        <w:rPr>
          <w:rFonts w:ascii="Times New Roman" w:hAnsi="Times New Roman" w:eastAsia="宋体" w:cs="Times New Roman"/>
        </w:rPr>
        <w:t>（7）作好相关泄漏记录，及时查明原因和追究相关责任。</w:t>
      </w:r>
    </w:p>
    <w:p>
      <w:pPr>
        <w:pStyle w:val="17"/>
        <w:adjustRightInd w:val="0"/>
        <w:snapToGrid w:val="0"/>
        <w:ind w:firstLine="0" w:firstLineChars="0"/>
        <w:jc w:val="left"/>
        <w:rPr>
          <w:rFonts w:ascii="Times New Roman" w:hAnsi="Times New Roman" w:eastAsia="宋体" w:cs="Times New Roman"/>
          <w:b/>
          <w:sz w:val="28"/>
          <w:szCs w:val="28"/>
        </w:rPr>
      </w:pPr>
      <w:r>
        <w:rPr>
          <w:rFonts w:ascii="Times New Roman" w:hAnsi="Times New Roman" w:eastAsia="宋体" w:cs="Times New Roman"/>
          <w:b/>
          <w:sz w:val="28"/>
          <w:szCs w:val="28"/>
        </w:rPr>
        <w:t>6.3.2危废火灾事故处理措施</w:t>
      </w:r>
    </w:p>
    <w:p>
      <w:pPr>
        <w:pStyle w:val="17"/>
        <w:ind w:firstLine="480"/>
        <w:jc w:val="both"/>
        <w:rPr>
          <w:rFonts w:ascii="Times New Roman" w:hAnsi="Times New Roman" w:eastAsia="宋体" w:cs="Times New Roman"/>
        </w:rPr>
      </w:pPr>
      <w:r>
        <w:rPr>
          <w:rFonts w:ascii="Times New Roman" w:hAnsi="Times New Roman" w:eastAsia="宋体" w:cs="Times New Roman"/>
        </w:rPr>
        <w:t>（1）火灾发生初期时，首先由目击者切断火灾现场电源，同时通知生产部，生产部人员通知公司应急指挥部，组织现场消防人员进行扑救。</w:t>
      </w:r>
    </w:p>
    <w:p>
      <w:pPr>
        <w:pStyle w:val="17"/>
        <w:ind w:firstLine="480"/>
        <w:jc w:val="both"/>
        <w:rPr>
          <w:rFonts w:ascii="Times New Roman" w:hAnsi="Times New Roman" w:eastAsia="宋体" w:cs="Times New Roman"/>
        </w:rPr>
      </w:pPr>
      <w:r>
        <w:rPr>
          <w:rFonts w:ascii="Times New Roman" w:hAnsi="Times New Roman" w:eastAsia="宋体" w:cs="Times New Roman"/>
        </w:rPr>
        <w:t>（2）生产部应立刻判断火势情况，</w:t>
      </w:r>
      <w:r>
        <w:rPr>
          <w:rFonts w:hint="eastAsia" w:ascii="Times New Roman" w:hAnsi="Times New Roman" w:eastAsia="宋体" w:cs="Times New Roman"/>
        </w:rPr>
        <w:t>拨</w:t>
      </w:r>
      <w:r>
        <w:rPr>
          <w:rFonts w:ascii="Times New Roman" w:hAnsi="Times New Roman" w:eastAsia="宋体" w:cs="Times New Roman"/>
        </w:rPr>
        <w:t>打“119”火警报警电话，如有人员伤亡，应立刻打“120”救护车，由信息联络组派人在路口接应消防车和救护车。</w:t>
      </w:r>
    </w:p>
    <w:p>
      <w:pPr>
        <w:pStyle w:val="17"/>
        <w:ind w:firstLine="480"/>
        <w:jc w:val="both"/>
        <w:rPr>
          <w:rFonts w:ascii="Times New Roman" w:hAnsi="Times New Roman" w:eastAsia="宋体" w:cs="Times New Roman"/>
        </w:rPr>
      </w:pPr>
      <w:r>
        <w:rPr>
          <w:rFonts w:ascii="Times New Roman" w:hAnsi="Times New Roman" w:eastAsia="宋体" w:cs="Times New Roman"/>
        </w:rPr>
        <w:t>（3）在火灾尚未扩大到不可控制之前，应使用适当移动式灭火器或厂内消防车进行灭火，我公司一般使用干粉灭火器来控制火灾。</w:t>
      </w:r>
    </w:p>
    <w:p>
      <w:pPr>
        <w:pStyle w:val="17"/>
        <w:ind w:firstLine="480"/>
        <w:jc w:val="both"/>
        <w:rPr>
          <w:rFonts w:ascii="Times New Roman" w:hAnsi="Times New Roman" w:eastAsia="宋体" w:cs="Times New Roman"/>
        </w:rPr>
      </w:pPr>
      <w:r>
        <w:rPr>
          <w:rFonts w:ascii="Times New Roman" w:hAnsi="Times New Roman" w:eastAsia="宋体" w:cs="Times New Roman"/>
        </w:rPr>
        <w:t>（4）迅速关闭流向火点的可燃液体开关，用土砂盖住地面流淌的可燃液体，或挖沟导流将流淌的可燃液体导向安全地点。另外，用毛毡堵住下水井、窨井口等处，防止火焰蔓延。</w:t>
      </w:r>
    </w:p>
    <w:p>
      <w:pPr>
        <w:pStyle w:val="17"/>
        <w:ind w:firstLine="480"/>
        <w:jc w:val="both"/>
        <w:rPr>
          <w:rFonts w:ascii="Times New Roman" w:hAnsi="Times New Roman" w:eastAsia="宋体" w:cs="Times New Roman"/>
        </w:rPr>
      </w:pPr>
      <w:r>
        <w:rPr>
          <w:rFonts w:ascii="Times New Roman" w:hAnsi="Times New Roman" w:eastAsia="宋体" w:cs="Times New Roman"/>
        </w:rPr>
        <w:t>（5）为防止火灾危机相邻设施，必须即使采取冷却保护措施，用冷水淋湿装有易燃易爆物体的容器，并迅速移走火点周围的易燃、易爆物及贵重物。</w:t>
      </w:r>
    </w:p>
    <w:p>
      <w:pPr>
        <w:pStyle w:val="17"/>
        <w:ind w:firstLine="480"/>
        <w:jc w:val="both"/>
        <w:rPr>
          <w:rFonts w:ascii="Times New Roman" w:hAnsi="Times New Roman" w:eastAsia="宋体" w:cs="Times New Roman"/>
        </w:rPr>
      </w:pPr>
      <w:r>
        <w:rPr>
          <w:rFonts w:ascii="Times New Roman" w:hAnsi="Times New Roman" w:eastAsia="宋体" w:cs="Times New Roman"/>
        </w:rPr>
        <w:t>（6）注意观察火灾四周情况，避免出现伴随的人员中毒、建筑物倒塌、物体坠落等事件。</w:t>
      </w:r>
    </w:p>
    <w:p>
      <w:pPr>
        <w:pStyle w:val="17"/>
        <w:ind w:firstLine="480"/>
        <w:jc w:val="both"/>
        <w:rPr>
          <w:rFonts w:ascii="Times New Roman" w:hAnsi="Times New Roman" w:eastAsia="宋体" w:cs="Times New Roman"/>
        </w:rPr>
      </w:pPr>
      <w:r>
        <w:rPr>
          <w:rFonts w:ascii="Times New Roman" w:hAnsi="Times New Roman" w:eastAsia="宋体" w:cs="Times New Roman"/>
        </w:rPr>
        <w:t>（7）各部门应安排留守保卫人员，防止有人乘机作案。</w:t>
      </w:r>
    </w:p>
    <w:p>
      <w:pPr>
        <w:pStyle w:val="17"/>
        <w:adjustRightInd w:val="0"/>
        <w:snapToGrid w:val="0"/>
        <w:ind w:firstLine="0" w:firstLineChars="0"/>
        <w:jc w:val="left"/>
        <w:rPr>
          <w:rFonts w:ascii="Times New Roman" w:hAnsi="Times New Roman" w:eastAsia="宋体" w:cs="Times New Roman"/>
          <w:b/>
          <w:sz w:val="32"/>
          <w:szCs w:val="32"/>
        </w:rPr>
      </w:pPr>
      <w:r>
        <w:rPr>
          <w:rFonts w:ascii="Times New Roman" w:hAnsi="Times New Roman" w:eastAsia="宋体" w:cs="Times New Roman"/>
          <w:b/>
          <w:sz w:val="32"/>
          <w:szCs w:val="32"/>
        </w:rPr>
        <w:t>7、应急保障</w:t>
      </w:r>
    </w:p>
    <w:p>
      <w:pPr>
        <w:pStyle w:val="17"/>
        <w:adjustRightInd w:val="0"/>
        <w:snapToGrid w:val="0"/>
        <w:ind w:firstLine="0" w:firstLineChars="0"/>
        <w:jc w:val="left"/>
        <w:rPr>
          <w:rFonts w:ascii="Times New Roman" w:hAnsi="Times New Roman" w:eastAsia="宋体" w:cs="Times New Roman"/>
          <w:b/>
          <w:sz w:val="30"/>
          <w:szCs w:val="30"/>
        </w:rPr>
      </w:pPr>
      <w:r>
        <w:rPr>
          <w:rFonts w:ascii="Times New Roman" w:hAnsi="Times New Roman" w:eastAsia="宋体" w:cs="Times New Roman"/>
          <w:b/>
          <w:sz w:val="30"/>
          <w:szCs w:val="30"/>
        </w:rPr>
        <w:t>7.1保障措施</w:t>
      </w:r>
    </w:p>
    <w:p>
      <w:pPr>
        <w:pStyle w:val="17"/>
        <w:ind w:firstLine="480"/>
        <w:jc w:val="both"/>
        <w:rPr>
          <w:rFonts w:ascii="Times New Roman" w:hAnsi="Times New Roman" w:eastAsia="宋体" w:cs="Times New Roman"/>
        </w:rPr>
      </w:pPr>
      <w:r>
        <w:rPr>
          <w:rFonts w:ascii="Times New Roman" w:hAnsi="Times New Roman" w:eastAsia="宋体" w:cs="Times New Roman"/>
        </w:rPr>
        <w:t>（1）</w:t>
      </w:r>
      <w:r>
        <w:rPr>
          <w:rFonts w:ascii="Times New Roman" w:hAnsi="Times New Roman" w:eastAsia="宋体" w:cs="Times New Roman"/>
          <w:szCs w:val="21"/>
        </w:rPr>
        <w:t>现场处置组</w:t>
      </w:r>
      <w:r>
        <w:rPr>
          <w:rFonts w:ascii="Times New Roman" w:hAnsi="Times New Roman" w:eastAsia="宋体" w:cs="Times New Roman"/>
        </w:rPr>
        <w:t>：由单位</w:t>
      </w:r>
      <w:r>
        <w:rPr>
          <w:rFonts w:ascii="Times New Roman" w:hAnsi="Times New Roman" w:eastAsia="宋体" w:cs="Times New Roman"/>
          <w:szCs w:val="21"/>
        </w:rPr>
        <w:t>内部</w:t>
      </w:r>
      <w:r>
        <w:rPr>
          <w:rFonts w:ascii="Times New Roman" w:hAnsi="Times New Roman" w:eastAsia="宋体" w:cs="Times New Roman"/>
        </w:rPr>
        <w:t>人员组成，由</w:t>
      </w:r>
      <w:r>
        <w:rPr>
          <w:rFonts w:ascii="Times New Roman" w:hAnsi="Times New Roman" w:eastAsia="宋体" w:cs="Times New Roman"/>
          <w:szCs w:val="21"/>
        </w:rPr>
        <w:t>现场处置组组长</w:t>
      </w:r>
      <w:r>
        <w:rPr>
          <w:rFonts w:ascii="Times New Roman" w:hAnsi="Times New Roman" w:eastAsia="宋体" w:cs="Times New Roman"/>
        </w:rPr>
        <w:t>负责领导。</w:t>
      </w:r>
      <w:r>
        <w:rPr>
          <w:rFonts w:ascii="Times New Roman" w:hAnsi="Times New Roman" w:eastAsia="宋体" w:cs="Times New Roman"/>
          <w:szCs w:val="21"/>
        </w:rPr>
        <w:t>现场处置组</w:t>
      </w:r>
      <w:r>
        <w:rPr>
          <w:rFonts w:ascii="Times New Roman" w:hAnsi="Times New Roman" w:eastAsia="宋体" w:cs="Times New Roman"/>
        </w:rPr>
        <w:t>定期进行培训和演练。</w:t>
      </w:r>
    </w:p>
    <w:p>
      <w:pPr>
        <w:pStyle w:val="17"/>
        <w:ind w:firstLine="480"/>
        <w:jc w:val="both"/>
        <w:rPr>
          <w:rFonts w:ascii="Times New Roman" w:hAnsi="Times New Roman" w:eastAsia="宋体" w:cs="Times New Roman"/>
        </w:rPr>
      </w:pPr>
      <w:r>
        <w:rPr>
          <w:rFonts w:ascii="Times New Roman" w:hAnsi="Times New Roman" w:eastAsia="宋体" w:cs="Times New Roman"/>
        </w:rPr>
        <w:t>（2）公司各单位场所的消防设施由安环部定期检查，物资部负责应急救援物资的储备，采购部负责购买。</w:t>
      </w:r>
    </w:p>
    <w:p>
      <w:pPr>
        <w:pStyle w:val="17"/>
        <w:ind w:firstLine="480"/>
        <w:jc w:val="both"/>
        <w:rPr>
          <w:rFonts w:ascii="Times New Roman" w:hAnsi="Times New Roman" w:eastAsia="宋体" w:cs="Times New Roman"/>
        </w:rPr>
      </w:pPr>
      <w:r>
        <w:rPr>
          <w:rFonts w:ascii="Times New Roman" w:hAnsi="Times New Roman" w:eastAsia="宋体" w:cs="Times New Roman"/>
        </w:rPr>
        <w:t>（3）行政部负责日常基础救援医疗设备设施的保管。</w:t>
      </w:r>
    </w:p>
    <w:p>
      <w:pPr>
        <w:pStyle w:val="17"/>
        <w:ind w:firstLine="480"/>
        <w:jc w:val="both"/>
        <w:rPr>
          <w:rFonts w:ascii="Times New Roman" w:hAnsi="Times New Roman" w:eastAsia="宋体" w:cs="Times New Roman"/>
        </w:rPr>
      </w:pPr>
      <w:r>
        <w:rPr>
          <w:rFonts w:ascii="Times New Roman" w:hAnsi="Times New Roman" w:eastAsia="宋体" w:cs="Times New Roman"/>
        </w:rPr>
        <w:t>（4）环境应急指挥部备用一辆应急交通运输车辆，或备用的车辆只承担距单位较近的运输任务，并留好司机手机电话，一旦应急事故发生，通知司机速回。</w:t>
      </w:r>
    </w:p>
    <w:p>
      <w:pPr>
        <w:pStyle w:val="17"/>
        <w:ind w:firstLine="480"/>
        <w:jc w:val="both"/>
        <w:rPr>
          <w:rFonts w:ascii="Times New Roman" w:hAnsi="Times New Roman" w:eastAsia="宋体" w:cs="Times New Roman"/>
        </w:rPr>
      </w:pPr>
      <w:r>
        <w:rPr>
          <w:rFonts w:ascii="Times New Roman" w:hAnsi="Times New Roman" w:eastAsia="宋体" w:cs="Times New Roman"/>
        </w:rPr>
        <w:t>（5）公司部门根据突发安全事件应急需要，提出项目支出预算报财务部审批后执行。</w:t>
      </w:r>
    </w:p>
    <w:p>
      <w:pPr>
        <w:pStyle w:val="17"/>
        <w:ind w:firstLine="480"/>
        <w:jc w:val="both"/>
        <w:rPr>
          <w:rFonts w:ascii="Times New Roman" w:hAnsi="Times New Roman" w:eastAsia="宋体" w:cs="Times New Roman"/>
        </w:rPr>
      </w:pPr>
      <w:r>
        <w:rPr>
          <w:rFonts w:ascii="Times New Roman" w:hAnsi="Times New Roman" w:eastAsia="宋体" w:cs="Times New Roman"/>
        </w:rPr>
        <w:t>（6）应急救援小组人员的电话必须24小时开机，禁止随意更换电话号码的行为。特殊情况下，电话号码发生变更，必须在变更之日起48小时内向行政部报备。</w:t>
      </w:r>
    </w:p>
    <w:p>
      <w:pPr>
        <w:pStyle w:val="17"/>
        <w:adjustRightInd w:val="0"/>
        <w:snapToGrid w:val="0"/>
        <w:ind w:firstLine="0" w:firstLineChars="0"/>
        <w:jc w:val="left"/>
        <w:rPr>
          <w:rFonts w:ascii="Times New Roman" w:hAnsi="Times New Roman" w:eastAsia="宋体" w:cs="Times New Roman"/>
          <w:b/>
          <w:sz w:val="30"/>
          <w:szCs w:val="30"/>
        </w:rPr>
      </w:pPr>
      <w:r>
        <w:rPr>
          <w:rFonts w:ascii="Times New Roman" w:hAnsi="Times New Roman" w:eastAsia="宋体" w:cs="Times New Roman"/>
          <w:b/>
          <w:sz w:val="30"/>
          <w:szCs w:val="30"/>
        </w:rPr>
        <w:t>7.2保障物资</w:t>
      </w:r>
    </w:p>
    <w:p>
      <w:pPr>
        <w:pStyle w:val="17"/>
        <w:ind w:firstLine="480"/>
        <w:jc w:val="both"/>
        <w:rPr>
          <w:rFonts w:ascii="Times New Roman" w:hAnsi="Times New Roman" w:eastAsia="宋体" w:cs="Times New Roman"/>
        </w:rPr>
      </w:pPr>
      <w:r>
        <w:rPr>
          <w:rFonts w:ascii="Times New Roman" w:hAnsi="Times New Roman" w:eastAsia="宋体" w:cs="Times New Roman"/>
        </w:rPr>
        <w:t>公司的危险废物暂存间、危化品间、车间配有消防栓、灭火器、医药箱等一系列事故必要的安全工具，能有效地预防和减轻中毒、火灾及爆炸事故的发生与伤害。</w:t>
      </w:r>
    </w:p>
    <w:p>
      <w:pPr>
        <w:pStyle w:val="57"/>
        <w:spacing w:after="0"/>
        <w:ind w:firstLine="0" w:firstLineChars="0"/>
        <w:rPr>
          <w:rFonts w:ascii="Times New Roman" w:hAnsi="Times New Roman" w:eastAsia="宋体" w:cs="Times New Roman"/>
          <w:b/>
          <w:sz w:val="32"/>
          <w:szCs w:val="32"/>
        </w:rPr>
      </w:pPr>
      <w:r>
        <w:rPr>
          <w:rFonts w:ascii="Times New Roman" w:hAnsi="Times New Roman" w:eastAsia="宋体" w:cs="Times New Roman"/>
          <w:b/>
          <w:sz w:val="32"/>
          <w:szCs w:val="32"/>
        </w:rPr>
        <w:t>8、应急监测</w:t>
      </w:r>
    </w:p>
    <w:p>
      <w:pPr>
        <w:pStyle w:val="57"/>
        <w:spacing w:after="0"/>
        <w:ind w:firstLine="480"/>
        <w:rPr>
          <w:rFonts w:ascii="Times New Roman" w:hAnsi="Times New Roman" w:eastAsia="宋体" w:cs="Times New Roman"/>
          <w:szCs w:val="24"/>
        </w:rPr>
      </w:pPr>
      <w:r>
        <w:rPr>
          <w:rFonts w:ascii="Times New Roman" w:hAnsi="Times New Roman" w:eastAsia="宋体" w:cs="Times New Roman"/>
          <w:szCs w:val="24"/>
        </w:rPr>
        <w:t>当突发环境事件发生后，立即拨打赤壁市环境监测中心，由环保部门确定监测方案，现场监测，企业应全力配合。</w:t>
      </w:r>
    </w:p>
    <w:p>
      <w:pPr>
        <w:pStyle w:val="57"/>
        <w:spacing w:after="0"/>
        <w:ind w:firstLine="0" w:firstLineChars="0"/>
        <w:rPr>
          <w:rFonts w:ascii="Times New Roman" w:hAnsi="Times New Roman" w:eastAsia="宋体" w:cs="Times New Roman"/>
          <w:b/>
          <w:sz w:val="32"/>
          <w:szCs w:val="32"/>
        </w:rPr>
      </w:pPr>
      <w:r>
        <w:rPr>
          <w:rFonts w:ascii="Times New Roman" w:hAnsi="Times New Roman" w:eastAsia="宋体" w:cs="Times New Roman"/>
          <w:b/>
          <w:sz w:val="32"/>
          <w:szCs w:val="32"/>
        </w:rPr>
        <w:t>9、生态环境恢复</w:t>
      </w:r>
    </w:p>
    <w:p>
      <w:pPr>
        <w:pStyle w:val="57"/>
        <w:spacing w:after="0"/>
        <w:ind w:firstLine="480"/>
        <w:rPr>
          <w:rFonts w:ascii="Times New Roman" w:hAnsi="Times New Roman" w:eastAsia="宋体" w:cs="Times New Roman"/>
          <w:szCs w:val="24"/>
        </w:rPr>
      </w:pPr>
      <w:r>
        <w:rPr>
          <w:rFonts w:ascii="Times New Roman" w:hAnsi="Times New Roman" w:eastAsia="宋体" w:cs="Times New Roman"/>
          <w:szCs w:val="24"/>
        </w:rPr>
        <w:t>对受灾范围进行科学评估，并对遭受污染的生态环境进行恢复。灾害评估以及生态环境的恢复工作以政府部门为主体，企业应做好配合、辅助工作。</w:t>
      </w:r>
    </w:p>
    <w:p>
      <w:pPr>
        <w:pStyle w:val="57"/>
        <w:spacing w:after="0"/>
        <w:ind w:firstLine="480"/>
        <w:rPr>
          <w:rFonts w:ascii="Times New Roman" w:hAnsi="Times New Roman" w:eastAsia="宋体" w:cs="Times New Roman"/>
          <w:szCs w:val="24"/>
        </w:rPr>
      </w:pPr>
      <w:r>
        <w:rPr>
          <w:rFonts w:ascii="Times New Roman" w:hAnsi="Times New Roman" w:eastAsia="宋体" w:cs="Times New Roman"/>
          <w:szCs w:val="24"/>
        </w:rPr>
        <w:t>本厂区可能造成的环境问题主要是环境空气、地表水、地下水、土壤及植被的污染，并对受污染范围内环境空气、地表水、地下水、土壤质量进行连续监测，直至达到正常指标；若对环境造成重大影响时可以组织专家进行科学评估，并对受污染的生态环境提出相应的恢复建议。根据专家建议，对生态环境进行恢复。</w:t>
      </w:r>
    </w:p>
    <w:p>
      <w:pPr>
        <w:pStyle w:val="57"/>
        <w:spacing w:after="0"/>
        <w:ind w:firstLine="0" w:firstLineChars="0"/>
        <w:rPr>
          <w:rFonts w:ascii="Times New Roman" w:hAnsi="Times New Roman" w:eastAsia="宋体" w:cs="Times New Roman"/>
          <w:b/>
          <w:sz w:val="32"/>
          <w:szCs w:val="32"/>
        </w:rPr>
      </w:pPr>
      <w:r>
        <w:rPr>
          <w:rFonts w:ascii="Times New Roman" w:hAnsi="Times New Roman" w:eastAsia="宋体" w:cs="Times New Roman"/>
          <w:b/>
          <w:sz w:val="32"/>
          <w:szCs w:val="32"/>
        </w:rPr>
        <w:t>10、事故后果影响消除</w:t>
      </w:r>
    </w:p>
    <w:p>
      <w:pPr>
        <w:pStyle w:val="57"/>
        <w:spacing w:after="0"/>
        <w:ind w:firstLine="480"/>
        <w:rPr>
          <w:rFonts w:ascii="Times New Roman" w:hAnsi="Times New Roman" w:eastAsia="宋体" w:cs="Times New Roman"/>
          <w:szCs w:val="24"/>
        </w:rPr>
      </w:pPr>
      <w:r>
        <w:rPr>
          <w:rFonts w:ascii="Times New Roman" w:hAnsi="Times New Roman" w:eastAsia="宋体" w:cs="Times New Roman"/>
          <w:szCs w:val="24"/>
        </w:rPr>
        <w:t>事故发生后，妥善做好善后工作，消除事故影响。指挥部负责组织各应急救援小组进行事故的善后处理工作，包括人员安置、补偿、疏散人员回迁、征用物资补偿、灾后重建、污染物收集、清理与处理等事项。尽快消除事故影响，妥善安置和慰问受害及受影响人员，保证社会稳定，尽快恢复正常秩序。</w:t>
      </w:r>
    </w:p>
    <w:p>
      <w:pPr>
        <w:pStyle w:val="57"/>
        <w:spacing w:after="0"/>
        <w:ind w:firstLine="0" w:firstLineChars="0"/>
        <w:rPr>
          <w:rFonts w:ascii="Times New Roman" w:hAnsi="Times New Roman" w:eastAsia="宋体" w:cs="Times New Roman"/>
          <w:b/>
          <w:sz w:val="32"/>
          <w:szCs w:val="32"/>
        </w:rPr>
      </w:pPr>
      <w:r>
        <w:rPr>
          <w:rFonts w:ascii="Times New Roman" w:hAnsi="Times New Roman" w:eastAsia="宋体" w:cs="Times New Roman"/>
          <w:b/>
          <w:sz w:val="32"/>
          <w:szCs w:val="32"/>
        </w:rPr>
        <w:t>11、生产秩序恢复</w:t>
      </w:r>
    </w:p>
    <w:p>
      <w:pPr>
        <w:pStyle w:val="57"/>
        <w:spacing w:after="0"/>
        <w:ind w:firstLine="480"/>
        <w:rPr>
          <w:rFonts w:ascii="Times New Roman" w:hAnsi="Times New Roman" w:eastAsia="宋体" w:cs="Times New Roman"/>
          <w:szCs w:val="24"/>
        </w:rPr>
      </w:pPr>
      <w:r>
        <w:rPr>
          <w:rFonts w:ascii="Times New Roman" w:hAnsi="Times New Roman" w:eastAsia="宋体" w:cs="Times New Roman"/>
          <w:szCs w:val="24"/>
        </w:rPr>
        <w:t>（1）根据险情分析，消除险情后果的影响，恢复生产。</w:t>
      </w:r>
    </w:p>
    <w:p>
      <w:pPr>
        <w:pStyle w:val="57"/>
        <w:spacing w:after="0"/>
        <w:ind w:firstLine="480"/>
        <w:rPr>
          <w:rFonts w:ascii="Times New Roman" w:hAnsi="Times New Roman" w:eastAsia="宋体" w:cs="Times New Roman"/>
          <w:szCs w:val="24"/>
        </w:rPr>
      </w:pPr>
      <w:r>
        <w:rPr>
          <w:rFonts w:ascii="Times New Roman" w:hAnsi="Times New Roman" w:eastAsia="宋体" w:cs="Times New Roman"/>
          <w:szCs w:val="24"/>
        </w:rPr>
        <w:t>（2）及时补充消耗的应急抢险器材。</w:t>
      </w:r>
    </w:p>
    <w:p>
      <w:pPr>
        <w:pStyle w:val="57"/>
        <w:spacing w:after="0"/>
        <w:ind w:firstLine="480"/>
        <w:rPr>
          <w:rFonts w:ascii="Times New Roman" w:hAnsi="Times New Roman" w:eastAsia="宋体" w:cs="Times New Roman"/>
          <w:szCs w:val="24"/>
        </w:rPr>
      </w:pPr>
      <w:r>
        <w:rPr>
          <w:rFonts w:ascii="Times New Roman" w:hAnsi="Times New Roman" w:eastAsia="宋体" w:cs="Times New Roman"/>
          <w:szCs w:val="24"/>
        </w:rPr>
        <w:t>（3）配合主管部门根据险情情况做好善后工作。</w:t>
      </w:r>
    </w:p>
    <w:p>
      <w:pPr>
        <w:pStyle w:val="57"/>
        <w:spacing w:after="0"/>
        <w:ind w:firstLine="480"/>
        <w:rPr>
          <w:rFonts w:ascii="Times New Roman" w:hAnsi="Times New Roman" w:eastAsia="宋体" w:cs="Times New Roman"/>
          <w:szCs w:val="24"/>
        </w:rPr>
      </w:pPr>
      <w:r>
        <w:rPr>
          <w:rFonts w:ascii="Times New Roman" w:hAnsi="Times New Roman" w:eastAsia="宋体" w:cs="Times New Roman"/>
          <w:szCs w:val="24"/>
        </w:rPr>
        <w:t>（4）根据险情应急抢险情况完善公司的应急救援能力和应急预案。</w:t>
      </w:r>
    </w:p>
    <w:p>
      <w:pPr>
        <w:pStyle w:val="57"/>
        <w:spacing w:after="0"/>
        <w:ind w:firstLine="0" w:firstLineChars="0"/>
        <w:rPr>
          <w:rFonts w:ascii="Times New Roman" w:hAnsi="Times New Roman" w:eastAsia="宋体" w:cs="Times New Roman"/>
          <w:b/>
          <w:sz w:val="32"/>
          <w:szCs w:val="32"/>
        </w:rPr>
      </w:pPr>
      <w:r>
        <w:rPr>
          <w:rFonts w:ascii="Times New Roman" w:hAnsi="Times New Roman" w:eastAsia="宋体" w:cs="Times New Roman"/>
          <w:b/>
          <w:sz w:val="32"/>
          <w:szCs w:val="32"/>
        </w:rPr>
        <w:t>12、事故调查报告和经验教训总结及改进建议</w:t>
      </w:r>
    </w:p>
    <w:p>
      <w:pPr>
        <w:pStyle w:val="57"/>
        <w:spacing w:after="0"/>
        <w:ind w:firstLine="480"/>
        <w:rPr>
          <w:rFonts w:ascii="Times New Roman" w:hAnsi="Times New Roman" w:eastAsia="宋体" w:cs="Times New Roman"/>
          <w:szCs w:val="24"/>
        </w:rPr>
      </w:pPr>
      <w:r>
        <w:rPr>
          <w:rFonts w:ascii="Times New Roman" w:hAnsi="Times New Roman" w:eastAsia="宋体" w:cs="Times New Roman"/>
          <w:szCs w:val="24"/>
        </w:rPr>
        <w:t>企业应积极配合政府部门做好现场调查取证工作，全面收集有关事故发生的原因，危害及其损失等方面的证据和资料，必要时要组织有关部门和专业技术人员进行技术鉴定，对于涉及刑事犯罪的，应当请求公安司法部门介入和参与调查取证工作。</w:t>
      </w:r>
    </w:p>
    <w:p>
      <w:pPr>
        <w:pStyle w:val="57"/>
        <w:spacing w:after="0"/>
        <w:ind w:firstLine="480"/>
        <w:rPr>
          <w:rFonts w:ascii="Times New Roman" w:hAnsi="Times New Roman" w:eastAsia="宋体" w:cs="Times New Roman"/>
          <w:szCs w:val="24"/>
        </w:rPr>
      </w:pPr>
      <w:r>
        <w:rPr>
          <w:rFonts w:ascii="Times New Roman" w:hAnsi="Times New Roman" w:eastAsia="宋体" w:cs="Times New Roman"/>
          <w:szCs w:val="24"/>
        </w:rPr>
        <w:t>突发环境事件善后处置工作结束后，现场应急救援指挥部认真分析总结事故经验教训，提出改进应急救援工作的建议。根据调查所获得数据，以及事件发生的原因、过程、进展情况及采取的应急措施等基本情况，填写突发环境事件报告单，以书面形式报告处理事件的措施、过程和结果，事件潜在或间接的危害、社会影响、处理后的遗留问题，参加处理工作的有关部门和工作内容，最终形成应急救援总结报告及时上报上级有关部门备案。</w:t>
      </w:r>
    </w:p>
    <w:p>
      <w:pPr>
        <w:pStyle w:val="57"/>
        <w:spacing w:after="0"/>
        <w:ind w:firstLine="0" w:firstLineChars="0"/>
        <w:rPr>
          <w:rFonts w:ascii="Times New Roman" w:hAnsi="Times New Roman" w:eastAsia="宋体" w:cs="Times New Roman"/>
          <w:b/>
          <w:sz w:val="32"/>
          <w:szCs w:val="32"/>
        </w:rPr>
      </w:pPr>
      <w:r>
        <w:rPr>
          <w:rFonts w:ascii="Times New Roman" w:hAnsi="Times New Roman" w:eastAsia="宋体" w:cs="Times New Roman"/>
          <w:b/>
          <w:sz w:val="32"/>
          <w:szCs w:val="32"/>
        </w:rPr>
        <w:t>13、预案管理</w:t>
      </w:r>
    </w:p>
    <w:p>
      <w:pPr>
        <w:pStyle w:val="57"/>
        <w:spacing w:after="0"/>
        <w:ind w:firstLine="480"/>
        <w:rPr>
          <w:rFonts w:ascii="Times New Roman" w:hAnsi="Times New Roman" w:eastAsia="宋体" w:cs="Times New Roman"/>
          <w:szCs w:val="24"/>
        </w:rPr>
        <w:sectPr>
          <w:pgSz w:w="11906" w:h="16838"/>
          <w:pgMar w:top="1440" w:right="1080" w:bottom="1440" w:left="1080" w:header="851" w:footer="992" w:gutter="0"/>
          <w:pgNumType w:fmt="numberInDash"/>
          <w:cols w:space="425" w:num="1"/>
          <w:docGrid w:type="lines" w:linePitch="326" w:charSpace="0"/>
        </w:sectPr>
      </w:pPr>
      <w:r>
        <w:rPr>
          <w:rFonts w:ascii="Times New Roman" w:hAnsi="Times New Roman" w:eastAsia="宋体" w:cs="Times New Roman"/>
          <w:szCs w:val="24"/>
        </w:rPr>
        <w:t>专项预案的事故报告程序、应急终止、后期处置、应急保障、应急培训与演练等参见综合应急预案。</w:t>
      </w:r>
    </w:p>
    <w:p>
      <w:pPr>
        <w:pStyle w:val="6"/>
        <w:adjustRightInd w:val="0"/>
        <w:snapToGrid w:val="0"/>
        <w:ind w:firstLine="361" w:firstLineChars="100"/>
        <w:jc w:val="center"/>
        <w:rPr>
          <w:rFonts w:ascii="Times New Roman" w:hAnsi="Times New Roman" w:eastAsia="宋体" w:cs="Times New Roman"/>
          <w:sz w:val="36"/>
          <w:szCs w:val="36"/>
        </w:rPr>
      </w:pPr>
      <w:bookmarkStart w:id="1212" w:name="_Toc6226"/>
      <w:bookmarkStart w:id="1213" w:name="_Toc132468889"/>
      <w:bookmarkStart w:id="1214" w:name="_Toc2153"/>
      <w:r>
        <w:rPr>
          <w:rFonts w:ascii="Times New Roman" w:hAnsi="Times New Roman" w:eastAsia="宋体" w:cs="Times New Roman"/>
          <w:sz w:val="36"/>
          <w:szCs w:val="36"/>
        </w:rPr>
        <w:t>赤壁恒瑞非织造材料有限公司突发环境事件现场应急处置预案</w:t>
      </w:r>
      <w:bookmarkEnd w:id="1208"/>
      <w:bookmarkEnd w:id="1212"/>
      <w:bookmarkEnd w:id="1213"/>
      <w:bookmarkEnd w:id="1214"/>
    </w:p>
    <w:p>
      <w:pPr>
        <w:pStyle w:val="57"/>
        <w:adjustRightInd w:val="0"/>
        <w:snapToGrid w:val="0"/>
        <w:spacing w:after="0"/>
        <w:ind w:firstLine="0" w:firstLineChars="0"/>
        <w:rPr>
          <w:rFonts w:ascii="Times New Roman" w:hAnsi="Times New Roman" w:eastAsia="宋体" w:cs="Times New Roman"/>
          <w:b/>
          <w:sz w:val="32"/>
          <w:szCs w:val="32"/>
        </w:rPr>
      </w:pPr>
      <w:r>
        <w:rPr>
          <w:rFonts w:ascii="Times New Roman" w:hAnsi="Times New Roman" w:eastAsia="宋体" w:cs="Times New Roman"/>
          <w:b/>
          <w:sz w:val="32"/>
          <w:szCs w:val="32"/>
        </w:rPr>
        <w:t>1、基本情况</w:t>
      </w:r>
    </w:p>
    <w:p>
      <w:pPr>
        <w:widowControl/>
        <w:ind w:firstLine="480"/>
        <w:jc w:val="left"/>
        <w:rPr>
          <w:rFonts w:ascii="Times New Roman" w:hAnsi="Times New Roman" w:eastAsia="宋体" w:cs="Times New Roman"/>
          <w:highlight w:val="yellow"/>
        </w:rPr>
      </w:pPr>
      <w:r>
        <w:rPr>
          <w:rFonts w:hint="eastAsia" w:ascii="Times New Roman" w:hAnsi="Times New Roman" w:cs="Times New Roman"/>
        </w:rPr>
        <w:t>赤壁恒瑞非织造材料有限公司成立于2012 年，主要从事非织造材料、生活卫生用品的生产和销售，整个厂区进行了二期建设，主要建设有一线-四线2个生产车间，配套建设原料仓库、成品库、办公楼、污水处理站等构筑物，年产23000吨无纺布。</w:t>
      </w:r>
    </w:p>
    <w:p>
      <w:pPr>
        <w:pStyle w:val="57"/>
        <w:adjustRightInd w:val="0"/>
        <w:snapToGrid w:val="0"/>
        <w:spacing w:after="0"/>
        <w:ind w:firstLine="0" w:firstLineChars="0"/>
        <w:rPr>
          <w:rFonts w:ascii="Times New Roman" w:hAnsi="Times New Roman" w:eastAsia="宋体" w:cs="Times New Roman"/>
          <w:b/>
          <w:sz w:val="28"/>
          <w:szCs w:val="28"/>
        </w:rPr>
      </w:pPr>
      <w:r>
        <w:rPr>
          <w:rFonts w:ascii="Times New Roman" w:hAnsi="Times New Roman" w:eastAsia="宋体" w:cs="Times New Roman"/>
          <w:b/>
          <w:sz w:val="28"/>
          <w:szCs w:val="28"/>
        </w:rPr>
        <w:t>2、主要环境风险</w:t>
      </w:r>
    </w:p>
    <w:p>
      <w:pPr>
        <w:adjustRightInd w:val="0"/>
        <w:snapToGrid w:val="0"/>
        <w:ind w:firstLine="480"/>
        <w:rPr>
          <w:rFonts w:ascii="Times New Roman" w:hAnsi="Times New Roman" w:eastAsia="宋体" w:cs="Times New Roman"/>
        </w:rPr>
      </w:pPr>
      <w:r>
        <w:rPr>
          <w:rFonts w:ascii="Times New Roman" w:hAnsi="Times New Roman" w:eastAsia="宋体" w:cs="Times New Roman"/>
        </w:rPr>
        <w:t>根据《赤壁恒瑞非织造材料有限公司突发环境事件风险评估报告》，赤壁恒瑞非织造材料有限公司潜在的风险事故包括因材质设备、操作或控制方面出现问题而造成的容器破裂、物料泄漏、火灾爆炸及中毒危害等。</w:t>
      </w:r>
    </w:p>
    <w:p>
      <w:pPr>
        <w:adjustRightInd w:val="0"/>
        <w:snapToGrid w:val="0"/>
        <w:ind w:firstLine="480"/>
        <w:rPr>
          <w:rFonts w:ascii="Times New Roman" w:hAnsi="Times New Roman" w:eastAsia="宋体" w:cs="Times New Roman"/>
        </w:rPr>
      </w:pPr>
      <w:r>
        <w:rPr>
          <w:rFonts w:ascii="Times New Roman" w:hAnsi="Times New Roman" w:eastAsia="宋体" w:cs="Times New Roman"/>
        </w:rPr>
        <w:t>行业事故的风险通常划分为火灾、爆炸、毒物泄漏三种类型，事故风险都有可能引发环境灾害。根据危险物质及危险装置的识别结果，可以分析出风险的伴生事故以及环境事故、危险物质进入环境的途径。</w:t>
      </w:r>
    </w:p>
    <w:p>
      <w:pPr>
        <w:spacing w:line="240" w:lineRule="auto"/>
        <w:ind w:firstLine="422"/>
        <w:jc w:val="center"/>
        <w:rPr>
          <w:rFonts w:ascii="Times New Roman" w:hAnsi="Times New Roman" w:eastAsia="宋体" w:cs="Times New Roman"/>
          <w:b/>
          <w:kern w:val="0"/>
          <w:sz w:val="21"/>
          <w:szCs w:val="21"/>
        </w:rPr>
      </w:pPr>
      <w:r>
        <w:rPr>
          <w:rFonts w:ascii="Times New Roman" w:hAnsi="Times New Roman" w:eastAsia="宋体" w:cs="Times New Roman"/>
          <w:b/>
          <w:kern w:val="0"/>
          <w:sz w:val="21"/>
          <w:szCs w:val="21"/>
        </w:rPr>
        <w:t>表2-1  风险途径识别表</w:t>
      </w:r>
    </w:p>
    <w:tbl>
      <w:tblPr>
        <w:tblStyle w:val="36"/>
        <w:tblW w:w="99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3403"/>
        <w:gridCol w:w="1899"/>
        <w:gridCol w:w="27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50" w:type="dxa"/>
            <w:tcBorders>
              <w:top w:val="single" w:color="auto" w:sz="12" w:space="0"/>
              <w:bottom w:val="single" w:color="auto" w:sz="12" w:space="0"/>
            </w:tcBorders>
            <w:vAlign w:val="center"/>
          </w:tcPr>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事故类型</w:t>
            </w:r>
          </w:p>
        </w:tc>
        <w:tc>
          <w:tcPr>
            <w:tcW w:w="3403" w:type="dxa"/>
            <w:tcBorders>
              <w:top w:val="single" w:color="auto" w:sz="12" w:space="0"/>
              <w:bottom w:val="single" w:color="auto" w:sz="12" w:space="0"/>
            </w:tcBorders>
            <w:vAlign w:val="center"/>
          </w:tcPr>
          <w:p>
            <w:pPr>
              <w:spacing w:line="240" w:lineRule="auto"/>
              <w:ind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伴生事故</w:t>
            </w:r>
          </w:p>
        </w:tc>
        <w:tc>
          <w:tcPr>
            <w:tcW w:w="1899" w:type="dxa"/>
            <w:tcBorders>
              <w:top w:val="single" w:color="auto" w:sz="12" w:space="0"/>
              <w:bottom w:val="single" w:color="auto" w:sz="12" w:space="0"/>
            </w:tcBorders>
            <w:vAlign w:val="center"/>
          </w:tcPr>
          <w:p>
            <w:pPr>
              <w:spacing w:line="240" w:lineRule="auto"/>
              <w:ind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风险途径</w:t>
            </w:r>
          </w:p>
        </w:tc>
        <w:tc>
          <w:tcPr>
            <w:tcW w:w="2710" w:type="dxa"/>
            <w:tcBorders>
              <w:top w:val="single" w:color="auto" w:sz="12" w:space="0"/>
              <w:bottom w:val="single" w:color="auto" w:sz="12" w:space="0"/>
            </w:tcBorders>
            <w:vAlign w:val="center"/>
          </w:tcPr>
          <w:p>
            <w:pPr>
              <w:spacing w:line="240" w:lineRule="auto"/>
              <w:ind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伴生事故风险途径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50" w:type="dxa"/>
            <w:tcBorders>
              <w:top w:val="single" w:color="auto" w:sz="12" w:space="0"/>
            </w:tcBorders>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火灾</w:t>
            </w:r>
          </w:p>
        </w:tc>
        <w:tc>
          <w:tcPr>
            <w:tcW w:w="3403" w:type="dxa"/>
            <w:tcBorders>
              <w:top w:val="single" w:color="auto" w:sz="12" w:space="0"/>
            </w:tcBorders>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1、其他装置的火灾</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2、物料泄漏和发生不希望的化学反应生成剧毒物质或产生爆炸</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3、有毒物料进入排水系统或大气系统</w:t>
            </w:r>
          </w:p>
        </w:tc>
        <w:tc>
          <w:tcPr>
            <w:tcW w:w="1899" w:type="dxa"/>
            <w:tcBorders>
              <w:top w:val="single" w:color="auto" w:sz="12" w:space="0"/>
            </w:tcBorders>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1、热辐射：空气</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2、浓烟：空气</w:t>
            </w:r>
          </w:p>
        </w:tc>
        <w:tc>
          <w:tcPr>
            <w:tcW w:w="2710" w:type="dxa"/>
            <w:tcBorders>
              <w:top w:val="single" w:color="auto" w:sz="12" w:space="0"/>
            </w:tcBorders>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1、热辐射：空气；浓烟</w:t>
            </w:r>
          </w:p>
          <w:p>
            <w:pPr>
              <w:autoSpaceDE w:val="0"/>
              <w:autoSpaceDN w:val="0"/>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2、有毒物质：排水系统或空气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50"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爆炸</w:t>
            </w:r>
          </w:p>
        </w:tc>
        <w:tc>
          <w:tcPr>
            <w:tcW w:w="3403" w:type="dxa"/>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1、其它装置的爆炸</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2、物料泄漏和流失发生不希望的化学反应生成剧毒物质或产生爆炸</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3、有毒物料进入排水系统或大气系统</w:t>
            </w:r>
          </w:p>
        </w:tc>
        <w:tc>
          <w:tcPr>
            <w:tcW w:w="1899" w:type="dxa"/>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1、爆炸超压：空气</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2、冲击波：空气</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3、碎片冲击：空气</w:t>
            </w:r>
          </w:p>
        </w:tc>
        <w:tc>
          <w:tcPr>
            <w:tcW w:w="2710" w:type="dxa"/>
            <w:vAlign w:val="center"/>
          </w:tcPr>
          <w:p>
            <w:pPr>
              <w:autoSpaceDE w:val="0"/>
              <w:autoSpaceDN w:val="0"/>
              <w:spacing w:line="240" w:lineRule="auto"/>
              <w:ind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1、爆炸风险途径相同；</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2、有毒物质：排水系统或空气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50" w:type="dxa"/>
            <w:vAlign w:val="center"/>
          </w:tcPr>
          <w:p>
            <w:pPr>
              <w:spacing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有害液体物料泄漏</w:t>
            </w:r>
          </w:p>
        </w:tc>
        <w:tc>
          <w:tcPr>
            <w:tcW w:w="3403" w:type="dxa"/>
            <w:vAlign w:val="center"/>
          </w:tcPr>
          <w:p>
            <w:pPr>
              <w:autoSpaceDE w:val="0"/>
              <w:autoSpaceDN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1、有机物蒸汽逸散、</w:t>
            </w:r>
            <w:r>
              <w:rPr>
                <w:rFonts w:ascii="Times New Roman" w:hAnsi="Times New Roman" w:eastAsia="宋体" w:cs="Times New Roman"/>
                <w:sz w:val="18"/>
                <w:szCs w:val="18"/>
              </w:rPr>
              <w:t>2、引起火灾爆炸</w:t>
            </w:r>
          </w:p>
        </w:tc>
        <w:tc>
          <w:tcPr>
            <w:tcW w:w="1899" w:type="dxa"/>
            <w:vAlign w:val="center"/>
          </w:tcPr>
          <w:p>
            <w:pPr>
              <w:autoSpaceDE w:val="0"/>
              <w:autoSpaceDN w:val="0"/>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排水系统</w:t>
            </w:r>
          </w:p>
        </w:tc>
        <w:tc>
          <w:tcPr>
            <w:tcW w:w="2710" w:type="dxa"/>
            <w:vAlign w:val="center"/>
          </w:tcPr>
          <w:p>
            <w:pPr>
              <w:autoSpaceDE w:val="0"/>
              <w:autoSpaceDN w:val="0"/>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火灾爆炸风险途径相同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50" w:type="dxa"/>
            <w:vAlign w:val="center"/>
          </w:tcPr>
          <w:p>
            <w:pPr>
              <w:spacing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有害气体物料泄漏</w:t>
            </w:r>
          </w:p>
        </w:tc>
        <w:tc>
          <w:tcPr>
            <w:tcW w:w="3403" w:type="dxa"/>
            <w:vAlign w:val="center"/>
          </w:tcPr>
          <w:p>
            <w:pPr>
              <w:autoSpaceDE w:val="0"/>
              <w:autoSpaceDN w:val="0"/>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引起火灾爆炸</w:t>
            </w:r>
          </w:p>
        </w:tc>
        <w:tc>
          <w:tcPr>
            <w:tcW w:w="1899" w:type="dxa"/>
            <w:vAlign w:val="center"/>
          </w:tcPr>
          <w:p>
            <w:pPr>
              <w:autoSpaceDE w:val="0"/>
              <w:autoSpaceDN w:val="0"/>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空气</w:t>
            </w:r>
          </w:p>
        </w:tc>
        <w:tc>
          <w:tcPr>
            <w:tcW w:w="2710" w:type="dxa"/>
            <w:vAlign w:val="center"/>
          </w:tcPr>
          <w:p>
            <w:pPr>
              <w:autoSpaceDE w:val="0"/>
              <w:autoSpaceDN w:val="0"/>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火灾爆炸风险途径相同</w:t>
            </w:r>
          </w:p>
        </w:tc>
      </w:tr>
    </w:tbl>
    <w:p>
      <w:pPr>
        <w:ind w:firstLine="480"/>
        <w:rPr>
          <w:rFonts w:ascii="Times New Roman" w:hAnsi="Times New Roman" w:eastAsia="宋体" w:cs="Times New Roman"/>
        </w:rPr>
      </w:pPr>
      <w:r>
        <w:rPr>
          <w:rFonts w:ascii="Times New Roman" w:hAnsi="Times New Roman" w:eastAsia="宋体" w:cs="Times New Roman"/>
        </w:rPr>
        <w:t>根据前述各类突发环境事件情景源强及影响分析，从地表水、地下水、土壤、大气、人口乃至社会等方面考虑并预测给出本企业突发环境事件对环境风险受体影响范围和程度，预估可能发生的突发环境事件级别。</w:t>
      </w:r>
    </w:p>
    <w:p>
      <w:pPr>
        <w:spacing w:line="240" w:lineRule="auto"/>
        <w:ind w:firstLine="422"/>
        <w:jc w:val="center"/>
        <w:rPr>
          <w:rFonts w:ascii="Times New Roman" w:hAnsi="Times New Roman" w:eastAsia="宋体" w:cs="Times New Roman"/>
          <w:b/>
          <w:sz w:val="21"/>
          <w:szCs w:val="21"/>
        </w:rPr>
      </w:pPr>
      <w:r>
        <w:rPr>
          <w:rFonts w:ascii="Times New Roman" w:hAnsi="Times New Roman" w:eastAsia="宋体" w:cs="Times New Roman"/>
          <w:b/>
          <w:sz w:val="21"/>
          <w:szCs w:val="21"/>
        </w:rPr>
        <w:t>表2-2  赤壁恒瑞非织造材料有限公司突发环境事件对环境风险受体影响范围和程度</w:t>
      </w:r>
    </w:p>
    <w:tbl>
      <w:tblPr>
        <w:tblStyle w:val="36"/>
        <w:tblW w:w="99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27"/>
        <w:gridCol w:w="6510"/>
        <w:gridCol w:w="1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tcBorders>
              <w:bottom w:val="single" w:color="auto" w:sz="12" w:space="0"/>
            </w:tcBorders>
            <w:vAlign w:val="center"/>
          </w:tcPr>
          <w:p>
            <w:pPr>
              <w:pStyle w:val="84"/>
              <w:rPr>
                <w:rFonts w:eastAsia="宋体"/>
                <w:b/>
                <w:sz w:val="18"/>
                <w:szCs w:val="18"/>
              </w:rPr>
            </w:pPr>
            <w:r>
              <w:rPr>
                <w:rFonts w:eastAsia="宋体"/>
                <w:b/>
                <w:sz w:val="18"/>
                <w:szCs w:val="18"/>
              </w:rPr>
              <w:t>情景</w:t>
            </w:r>
          </w:p>
        </w:tc>
        <w:tc>
          <w:tcPr>
            <w:tcW w:w="1427" w:type="dxa"/>
            <w:tcBorders>
              <w:bottom w:val="single" w:color="auto" w:sz="12" w:space="0"/>
            </w:tcBorders>
            <w:vAlign w:val="center"/>
          </w:tcPr>
          <w:p>
            <w:pPr>
              <w:pStyle w:val="84"/>
              <w:rPr>
                <w:rFonts w:eastAsia="宋体"/>
                <w:b/>
                <w:sz w:val="18"/>
                <w:szCs w:val="18"/>
              </w:rPr>
            </w:pPr>
            <w:r>
              <w:rPr>
                <w:rFonts w:eastAsia="宋体"/>
                <w:b/>
                <w:sz w:val="18"/>
                <w:szCs w:val="18"/>
              </w:rPr>
              <w:t>突发事件类型</w:t>
            </w:r>
          </w:p>
        </w:tc>
        <w:tc>
          <w:tcPr>
            <w:tcW w:w="6510" w:type="dxa"/>
            <w:tcBorders>
              <w:bottom w:val="single" w:color="auto" w:sz="12" w:space="0"/>
            </w:tcBorders>
            <w:vAlign w:val="center"/>
          </w:tcPr>
          <w:p>
            <w:pPr>
              <w:pStyle w:val="84"/>
              <w:rPr>
                <w:rFonts w:eastAsia="宋体"/>
                <w:b/>
                <w:sz w:val="18"/>
                <w:szCs w:val="18"/>
              </w:rPr>
            </w:pPr>
            <w:r>
              <w:rPr>
                <w:rFonts w:eastAsia="宋体"/>
                <w:b/>
                <w:sz w:val="18"/>
                <w:szCs w:val="18"/>
              </w:rPr>
              <w:t>对环境风险受体的影响范围及程度</w:t>
            </w:r>
          </w:p>
        </w:tc>
        <w:tc>
          <w:tcPr>
            <w:tcW w:w="1208" w:type="dxa"/>
            <w:tcBorders>
              <w:bottom w:val="single" w:color="auto" w:sz="12" w:space="0"/>
            </w:tcBorders>
            <w:vAlign w:val="center"/>
          </w:tcPr>
          <w:p>
            <w:pPr>
              <w:pStyle w:val="84"/>
              <w:rPr>
                <w:rFonts w:eastAsia="宋体"/>
                <w:b/>
                <w:sz w:val="18"/>
                <w:szCs w:val="18"/>
              </w:rPr>
            </w:pPr>
            <w:r>
              <w:rPr>
                <w:rFonts w:eastAsia="宋体"/>
                <w:b/>
                <w:sz w:val="18"/>
                <w:szCs w:val="18"/>
              </w:rPr>
              <w:t>预估突发环境事件级别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817" w:type="dxa"/>
            <w:tcBorders>
              <w:top w:val="single" w:color="auto" w:sz="12" w:space="0"/>
              <w:bottom w:val="single" w:color="auto" w:sz="4" w:space="0"/>
            </w:tcBorders>
            <w:vAlign w:val="center"/>
          </w:tcPr>
          <w:p>
            <w:pPr>
              <w:pStyle w:val="84"/>
              <w:rPr>
                <w:rFonts w:eastAsia="宋体"/>
                <w:sz w:val="18"/>
                <w:szCs w:val="18"/>
              </w:rPr>
            </w:pPr>
            <w:r>
              <w:rPr>
                <w:rFonts w:eastAsia="宋体"/>
                <w:sz w:val="18"/>
                <w:szCs w:val="18"/>
              </w:rPr>
              <w:t>情景1</w:t>
            </w:r>
          </w:p>
        </w:tc>
        <w:tc>
          <w:tcPr>
            <w:tcW w:w="1427" w:type="dxa"/>
            <w:tcBorders>
              <w:top w:val="single" w:color="auto" w:sz="12" w:space="0"/>
              <w:bottom w:val="single" w:color="auto" w:sz="4" w:space="0"/>
            </w:tcBorders>
            <w:vAlign w:val="center"/>
          </w:tcPr>
          <w:p>
            <w:pPr>
              <w:pStyle w:val="84"/>
              <w:rPr>
                <w:rFonts w:eastAsia="宋体"/>
                <w:sz w:val="18"/>
                <w:szCs w:val="18"/>
              </w:rPr>
            </w:pPr>
            <w:r>
              <w:rPr>
                <w:rFonts w:eastAsia="宋体"/>
                <w:sz w:val="18"/>
                <w:szCs w:val="18"/>
              </w:rPr>
              <w:t>油类物质泄漏事故引发的大气污染</w:t>
            </w:r>
          </w:p>
        </w:tc>
        <w:tc>
          <w:tcPr>
            <w:tcW w:w="6510" w:type="dxa"/>
            <w:tcBorders>
              <w:top w:val="single" w:color="auto" w:sz="12" w:space="0"/>
              <w:bottom w:val="single" w:color="auto" w:sz="4" w:space="0"/>
            </w:tcBorders>
            <w:vAlign w:val="center"/>
          </w:tcPr>
          <w:p>
            <w:pPr>
              <w:pStyle w:val="17"/>
              <w:spacing w:line="240" w:lineRule="auto"/>
              <w:ind w:firstLine="360"/>
              <w:jc w:val="left"/>
              <w:rPr>
                <w:rFonts w:ascii="Times New Roman" w:hAnsi="Times New Roman" w:eastAsia="宋体" w:cs="Times New Roman"/>
                <w:sz w:val="18"/>
                <w:szCs w:val="18"/>
              </w:rPr>
            </w:pPr>
            <w:r>
              <w:rPr>
                <w:rFonts w:ascii="Times New Roman" w:hAnsi="Times New Roman" w:eastAsia="宋体" w:cs="Times New Roman"/>
                <w:sz w:val="18"/>
                <w:szCs w:val="18"/>
              </w:rPr>
              <w:t>由计算结果可知油类物质在泄漏风险事故发生期间，不会对周边居民造成生命威胁。</w:t>
            </w:r>
          </w:p>
        </w:tc>
        <w:tc>
          <w:tcPr>
            <w:tcW w:w="1208" w:type="dxa"/>
            <w:tcBorders>
              <w:top w:val="single" w:color="auto" w:sz="12" w:space="0"/>
              <w:bottom w:val="single" w:color="auto" w:sz="4" w:space="0"/>
            </w:tcBorders>
            <w:vAlign w:val="center"/>
          </w:tcPr>
          <w:p>
            <w:pPr>
              <w:pStyle w:val="84"/>
              <w:rPr>
                <w:rFonts w:eastAsia="宋体"/>
                <w:sz w:val="18"/>
                <w:szCs w:val="18"/>
              </w:rPr>
            </w:pPr>
            <w:r>
              <w:rPr>
                <w:rFonts w:eastAsia="宋体"/>
                <w:sz w:val="18"/>
                <w:szCs w:val="18"/>
              </w:rPr>
              <w:fldChar w:fldCharType="begin"/>
            </w:r>
            <w:r>
              <w:rPr>
                <w:rFonts w:eastAsia="宋体"/>
                <w:sz w:val="18"/>
                <w:szCs w:val="18"/>
              </w:rPr>
              <w:instrText xml:space="preserve"> = 2 \* ROMAN \* MERGEFORMAT </w:instrText>
            </w:r>
            <w:r>
              <w:rPr>
                <w:rFonts w:eastAsia="宋体"/>
                <w:sz w:val="18"/>
                <w:szCs w:val="18"/>
              </w:rPr>
              <w:fldChar w:fldCharType="separate"/>
            </w:r>
            <w:r>
              <w:rPr>
                <w:rFonts w:eastAsia="宋体"/>
                <w:sz w:val="18"/>
                <w:szCs w:val="18"/>
              </w:rPr>
              <w:t>II</w:t>
            </w:r>
            <w:r>
              <w:rPr>
                <w:rFonts w:eastAsia="宋体"/>
                <w:sz w:val="18"/>
                <w:szCs w:val="18"/>
              </w:rPr>
              <w:fldChar w:fldCharType="end"/>
            </w:r>
            <w:r>
              <w:rPr>
                <w:rFonts w:eastAsia="宋体"/>
                <w:sz w:val="18"/>
                <w:szCs w:val="18"/>
              </w:rPr>
              <w:t>-Ⅲ级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817" w:type="dxa"/>
            <w:tcBorders>
              <w:top w:val="single" w:color="auto" w:sz="4" w:space="0"/>
            </w:tcBorders>
            <w:vAlign w:val="center"/>
          </w:tcPr>
          <w:p>
            <w:pPr>
              <w:pStyle w:val="84"/>
              <w:rPr>
                <w:rFonts w:eastAsia="宋体"/>
                <w:sz w:val="18"/>
                <w:szCs w:val="18"/>
              </w:rPr>
            </w:pPr>
            <w:r>
              <w:rPr>
                <w:rFonts w:eastAsia="宋体"/>
                <w:sz w:val="18"/>
                <w:szCs w:val="18"/>
              </w:rPr>
              <w:t>情景2</w:t>
            </w:r>
          </w:p>
        </w:tc>
        <w:tc>
          <w:tcPr>
            <w:tcW w:w="1427" w:type="dxa"/>
            <w:tcBorders>
              <w:top w:val="single" w:color="auto" w:sz="4" w:space="0"/>
              <w:bottom w:val="single" w:color="auto" w:sz="4" w:space="0"/>
            </w:tcBorders>
            <w:vAlign w:val="center"/>
          </w:tcPr>
          <w:p>
            <w:pPr>
              <w:pStyle w:val="84"/>
              <w:jc w:val="both"/>
              <w:rPr>
                <w:rFonts w:eastAsia="宋体"/>
                <w:sz w:val="18"/>
                <w:szCs w:val="18"/>
              </w:rPr>
            </w:pPr>
            <w:r>
              <w:rPr>
                <w:rFonts w:eastAsia="宋体"/>
                <w:sz w:val="18"/>
                <w:szCs w:val="18"/>
              </w:rPr>
              <w:t>危化品火灾爆炸次生大气污染</w:t>
            </w:r>
          </w:p>
        </w:tc>
        <w:tc>
          <w:tcPr>
            <w:tcW w:w="6510" w:type="dxa"/>
            <w:tcBorders>
              <w:top w:val="single" w:color="auto" w:sz="4" w:space="0"/>
              <w:bottom w:val="single" w:color="auto" w:sz="4" w:space="0"/>
            </w:tcBorders>
            <w:vAlign w:val="center"/>
          </w:tcPr>
          <w:p>
            <w:pPr>
              <w:pStyle w:val="2"/>
              <w:ind w:firstLine="360" w:firstLineChars="20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由计算结果可知，油类物质在火灾风险事故发生期间，将会对现场暴露人员造成急性中毒危害，产生的最远距离为400m，有可能对附近居民造成生命威胁，故发生火灾后应及时通知疏散周边的居民。</w:t>
            </w:r>
          </w:p>
        </w:tc>
        <w:tc>
          <w:tcPr>
            <w:tcW w:w="1208" w:type="dxa"/>
            <w:tcBorders>
              <w:top w:val="single" w:color="auto" w:sz="4" w:space="0"/>
              <w:bottom w:val="single" w:color="auto" w:sz="4" w:space="0"/>
            </w:tcBorders>
            <w:vAlign w:val="center"/>
          </w:tcPr>
          <w:p>
            <w:pPr>
              <w:pStyle w:val="84"/>
              <w:rPr>
                <w:rFonts w:eastAsia="宋体"/>
                <w:sz w:val="18"/>
                <w:szCs w:val="18"/>
              </w:rPr>
            </w:pPr>
            <w:r>
              <w:rPr>
                <w:rFonts w:eastAsia="宋体"/>
                <w:sz w:val="18"/>
                <w:szCs w:val="18"/>
              </w:rPr>
              <w:fldChar w:fldCharType="begin"/>
            </w:r>
            <w:r>
              <w:rPr>
                <w:rFonts w:eastAsia="宋体"/>
                <w:sz w:val="18"/>
                <w:szCs w:val="18"/>
              </w:rPr>
              <w:instrText xml:space="preserve"> = 1 \* ROMAN </w:instrText>
            </w:r>
            <w:r>
              <w:rPr>
                <w:rFonts w:eastAsia="宋体"/>
                <w:sz w:val="18"/>
                <w:szCs w:val="18"/>
              </w:rPr>
              <w:fldChar w:fldCharType="separate"/>
            </w:r>
            <w:r>
              <w:rPr>
                <w:rFonts w:eastAsia="宋体"/>
                <w:sz w:val="18"/>
                <w:szCs w:val="18"/>
              </w:rPr>
              <w:t>I</w:t>
            </w:r>
            <w:r>
              <w:rPr>
                <w:rFonts w:eastAsia="宋体"/>
                <w:sz w:val="18"/>
                <w:szCs w:val="18"/>
              </w:rPr>
              <w:fldChar w:fldCharType="end"/>
            </w:r>
            <w:r>
              <w:rPr>
                <w:rFonts w:eastAsia="宋体"/>
                <w:sz w:val="18"/>
                <w:szCs w:val="18"/>
              </w:rPr>
              <w:t>-Ⅲ级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pStyle w:val="84"/>
              <w:rPr>
                <w:rFonts w:eastAsia="宋体"/>
                <w:sz w:val="18"/>
                <w:szCs w:val="18"/>
              </w:rPr>
            </w:pPr>
            <w:r>
              <w:rPr>
                <w:rFonts w:eastAsia="宋体"/>
                <w:sz w:val="18"/>
                <w:szCs w:val="18"/>
              </w:rPr>
              <w:t>情景3</w:t>
            </w:r>
          </w:p>
        </w:tc>
        <w:tc>
          <w:tcPr>
            <w:tcW w:w="1427" w:type="dxa"/>
            <w:vAlign w:val="center"/>
          </w:tcPr>
          <w:p>
            <w:pPr>
              <w:pStyle w:val="84"/>
              <w:rPr>
                <w:rFonts w:eastAsia="宋体"/>
                <w:sz w:val="18"/>
                <w:szCs w:val="18"/>
              </w:rPr>
            </w:pPr>
            <w:r>
              <w:rPr>
                <w:rFonts w:eastAsia="宋体"/>
                <w:sz w:val="18"/>
                <w:szCs w:val="18"/>
              </w:rPr>
              <w:t>泄漏事故及火灾事故衍生水污染</w:t>
            </w:r>
          </w:p>
        </w:tc>
        <w:tc>
          <w:tcPr>
            <w:tcW w:w="6510" w:type="dxa"/>
            <w:vAlign w:val="center"/>
          </w:tcPr>
          <w:p>
            <w:pPr>
              <w:pStyle w:val="17"/>
              <w:spacing w:line="240" w:lineRule="auto"/>
              <w:ind w:firstLine="360"/>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厂区内设置有污水收集池，排水沟、沉淀池，合计620m3，能够满足事故废水收集要求。</w:t>
            </w:r>
          </w:p>
        </w:tc>
        <w:tc>
          <w:tcPr>
            <w:tcW w:w="1208" w:type="dxa"/>
            <w:vAlign w:val="center"/>
          </w:tcPr>
          <w:p>
            <w:pPr>
              <w:pStyle w:val="84"/>
              <w:rPr>
                <w:rFonts w:eastAsia="宋体"/>
                <w:sz w:val="18"/>
                <w:szCs w:val="18"/>
              </w:rPr>
            </w:pPr>
            <w:r>
              <w:rPr>
                <w:rFonts w:eastAsia="宋体"/>
                <w:sz w:val="18"/>
                <w:szCs w:val="18"/>
              </w:rPr>
              <w:fldChar w:fldCharType="begin"/>
            </w:r>
            <w:r>
              <w:rPr>
                <w:rFonts w:eastAsia="宋体"/>
                <w:sz w:val="18"/>
                <w:szCs w:val="18"/>
              </w:rPr>
              <w:instrText xml:space="preserve"> = 2 \* ROMAN \* MERGEFORMAT </w:instrText>
            </w:r>
            <w:r>
              <w:rPr>
                <w:rFonts w:eastAsia="宋体"/>
                <w:sz w:val="18"/>
                <w:szCs w:val="18"/>
              </w:rPr>
              <w:fldChar w:fldCharType="separate"/>
            </w:r>
            <w:r>
              <w:rPr>
                <w:rFonts w:eastAsia="宋体"/>
                <w:sz w:val="18"/>
                <w:szCs w:val="18"/>
              </w:rPr>
              <w:t>II</w:t>
            </w:r>
            <w:r>
              <w:rPr>
                <w:rFonts w:eastAsia="宋体"/>
                <w:sz w:val="18"/>
                <w:szCs w:val="18"/>
              </w:rPr>
              <w:fldChar w:fldCharType="end"/>
            </w:r>
            <w:r>
              <w:rPr>
                <w:rFonts w:eastAsia="宋体"/>
                <w:sz w:val="18"/>
                <w:szCs w:val="18"/>
              </w:rPr>
              <w:t>-Ⅲ级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pStyle w:val="84"/>
              <w:rPr>
                <w:rFonts w:eastAsia="宋体"/>
                <w:sz w:val="18"/>
                <w:szCs w:val="18"/>
              </w:rPr>
            </w:pPr>
            <w:r>
              <w:rPr>
                <w:rFonts w:eastAsia="宋体"/>
                <w:sz w:val="18"/>
                <w:szCs w:val="18"/>
              </w:rPr>
              <w:t>情景4</w:t>
            </w:r>
          </w:p>
        </w:tc>
        <w:tc>
          <w:tcPr>
            <w:tcW w:w="1427" w:type="dxa"/>
            <w:vAlign w:val="center"/>
          </w:tcPr>
          <w:p>
            <w:pPr>
              <w:pStyle w:val="84"/>
              <w:rPr>
                <w:rFonts w:eastAsia="宋体"/>
                <w:sz w:val="18"/>
                <w:szCs w:val="18"/>
              </w:rPr>
            </w:pPr>
            <w:r>
              <w:rPr>
                <w:rFonts w:eastAsia="宋体"/>
                <w:sz w:val="18"/>
                <w:szCs w:val="18"/>
              </w:rPr>
              <w:t>污染治理设施非正常运行</w:t>
            </w:r>
          </w:p>
        </w:tc>
        <w:tc>
          <w:tcPr>
            <w:tcW w:w="6510" w:type="dxa"/>
            <w:vAlign w:val="center"/>
          </w:tcPr>
          <w:p>
            <w:pPr>
              <w:pStyle w:val="84"/>
              <w:jc w:val="both"/>
              <w:rPr>
                <w:rFonts w:eastAsia="宋体"/>
                <w:sz w:val="18"/>
                <w:szCs w:val="18"/>
              </w:rPr>
            </w:pPr>
            <w:r>
              <w:rPr>
                <w:rFonts w:eastAsia="宋体"/>
                <w:sz w:val="18"/>
                <w:szCs w:val="18"/>
              </w:rPr>
              <w:t>本企业的废气处理装置异常，导致废气严重超标，随风扩散至周围大气环境。</w:t>
            </w:r>
          </w:p>
        </w:tc>
        <w:tc>
          <w:tcPr>
            <w:tcW w:w="1208" w:type="dxa"/>
            <w:vAlign w:val="center"/>
          </w:tcPr>
          <w:p>
            <w:pPr>
              <w:pStyle w:val="84"/>
              <w:rPr>
                <w:rFonts w:eastAsia="宋体"/>
                <w:sz w:val="18"/>
                <w:szCs w:val="18"/>
              </w:rPr>
            </w:pPr>
            <w:r>
              <w:rPr>
                <w:rFonts w:eastAsia="宋体"/>
                <w:sz w:val="18"/>
                <w:szCs w:val="18"/>
              </w:rPr>
              <w:fldChar w:fldCharType="begin"/>
            </w:r>
            <w:r>
              <w:rPr>
                <w:rFonts w:eastAsia="宋体"/>
                <w:sz w:val="18"/>
                <w:szCs w:val="18"/>
              </w:rPr>
              <w:instrText xml:space="preserve"> = 2 \* ROMAN \* MERGEFORMAT </w:instrText>
            </w:r>
            <w:r>
              <w:rPr>
                <w:rFonts w:eastAsia="宋体"/>
                <w:sz w:val="18"/>
                <w:szCs w:val="18"/>
              </w:rPr>
              <w:fldChar w:fldCharType="separate"/>
            </w:r>
            <w:r>
              <w:rPr>
                <w:rFonts w:eastAsia="宋体"/>
                <w:sz w:val="18"/>
                <w:szCs w:val="18"/>
              </w:rPr>
              <w:t>II</w:t>
            </w:r>
            <w:r>
              <w:rPr>
                <w:rFonts w:eastAsia="宋体"/>
                <w:sz w:val="18"/>
                <w:szCs w:val="18"/>
              </w:rPr>
              <w:fldChar w:fldCharType="end"/>
            </w:r>
            <w:r>
              <w:rPr>
                <w:rFonts w:eastAsia="宋体"/>
                <w:sz w:val="18"/>
                <w:szCs w:val="18"/>
              </w:rPr>
              <w:t>-Ⅲ级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pStyle w:val="84"/>
              <w:rPr>
                <w:rFonts w:eastAsia="宋体"/>
                <w:sz w:val="18"/>
                <w:szCs w:val="18"/>
              </w:rPr>
            </w:pPr>
            <w:r>
              <w:rPr>
                <w:rFonts w:eastAsia="宋体"/>
                <w:sz w:val="18"/>
                <w:szCs w:val="18"/>
              </w:rPr>
              <w:t>情景5</w:t>
            </w:r>
          </w:p>
        </w:tc>
        <w:tc>
          <w:tcPr>
            <w:tcW w:w="1427" w:type="dxa"/>
            <w:vAlign w:val="center"/>
          </w:tcPr>
          <w:p>
            <w:pPr>
              <w:pStyle w:val="84"/>
              <w:rPr>
                <w:rFonts w:eastAsia="宋体"/>
                <w:sz w:val="18"/>
                <w:szCs w:val="18"/>
              </w:rPr>
            </w:pPr>
            <w:r>
              <w:rPr>
                <w:rFonts w:eastAsia="宋体"/>
                <w:sz w:val="18"/>
                <w:szCs w:val="18"/>
              </w:rPr>
              <w:t>危废暂存间管理失误</w:t>
            </w:r>
          </w:p>
        </w:tc>
        <w:tc>
          <w:tcPr>
            <w:tcW w:w="6510" w:type="dxa"/>
            <w:vAlign w:val="center"/>
          </w:tcPr>
          <w:p>
            <w:pPr>
              <w:pStyle w:val="84"/>
              <w:jc w:val="left"/>
              <w:rPr>
                <w:rFonts w:eastAsia="宋体"/>
                <w:sz w:val="18"/>
                <w:szCs w:val="18"/>
              </w:rPr>
            </w:pPr>
            <w:r>
              <w:rPr>
                <w:rFonts w:eastAsia="宋体"/>
                <w:sz w:val="18"/>
                <w:szCs w:val="18"/>
              </w:rPr>
              <w:t>本企业产生的危险废物暂存危废间中，后期危废交由有资质单位进行处理，若危废暂存间管理不当，导致废导热油等泄露，污染土壤、地下水以及环境空气。</w:t>
            </w:r>
          </w:p>
        </w:tc>
        <w:tc>
          <w:tcPr>
            <w:tcW w:w="1208" w:type="dxa"/>
            <w:vAlign w:val="center"/>
          </w:tcPr>
          <w:p>
            <w:pPr>
              <w:pStyle w:val="84"/>
              <w:rPr>
                <w:rFonts w:eastAsia="宋体"/>
                <w:sz w:val="18"/>
                <w:szCs w:val="18"/>
              </w:rPr>
            </w:pPr>
            <w:r>
              <w:rPr>
                <w:rFonts w:eastAsia="宋体"/>
                <w:sz w:val="18"/>
                <w:szCs w:val="18"/>
              </w:rPr>
              <w:fldChar w:fldCharType="begin"/>
            </w:r>
            <w:r>
              <w:rPr>
                <w:rFonts w:eastAsia="宋体"/>
                <w:sz w:val="18"/>
                <w:szCs w:val="18"/>
              </w:rPr>
              <w:instrText xml:space="preserve"> = 2 \* ROMAN </w:instrText>
            </w:r>
            <w:r>
              <w:rPr>
                <w:rFonts w:eastAsia="宋体"/>
                <w:sz w:val="18"/>
                <w:szCs w:val="18"/>
              </w:rPr>
              <w:fldChar w:fldCharType="separate"/>
            </w:r>
            <w:r>
              <w:rPr>
                <w:rFonts w:eastAsia="宋体"/>
                <w:sz w:val="18"/>
                <w:szCs w:val="18"/>
              </w:rPr>
              <w:t>II</w:t>
            </w:r>
            <w:r>
              <w:rPr>
                <w:rFonts w:eastAsia="宋体"/>
                <w:sz w:val="18"/>
                <w:szCs w:val="18"/>
              </w:rPr>
              <w:fldChar w:fldCharType="end"/>
            </w:r>
            <w:r>
              <w:rPr>
                <w:rFonts w:eastAsia="宋体"/>
                <w:sz w:val="18"/>
                <w:szCs w:val="18"/>
              </w:rPr>
              <w:t>-Ⅲ级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17" w:type="dxa"/>
            <w:vMerge w:val="restart"/>
            <w:vAlign w:val="center"/>
          </w:tcPr>
          <w:p>
            <w:pPr>
              <w:pStyle w:val="84"/>
              <w:rPr>
                <w:rFonts w:eastAsia="宋体"/>
                <w:sz w:val="18"/>
                <w:szCs w:val="18"/>
              </w:rPr>
            </w:pPr>
            <w:r>
              <w:rPr>
                <w:rFonts w:eastAsia="宋体"/>
                <w:sz w:val="18"/>
                <w:szCs w:val="18"/>
              </w:rPr>
              <w:t>情景6</w:t>
            </w:r>
          </w:p>
        </w:tc>
        <w:tc>
          <w:tcPr>
            <w:tcW w:w="1427" w:type="dxa"/>
            <w:vMerge w:val="restart"/>
            <w:vAlign w:val="center"/>
          </w:tcPr>
          <w:p>
            <w:pPr>
              <w:pStyle w:val="84"/>
              <w:rPr>
                <w:rFonts w:eastAsia="宋体"/>
                <w:sz w:val="18"/>
                <w:szCs w:val="18"/>
              </w:rPr>
            </w:pPr>
            <w:r>
              <w:rPr>
                <w:rFonts w:eastAsia="宋体"/>
                <w:sz w:val="18"/>
                <w:szCs w:val="18"/>
              </w:rPr>
              <w:t>通讯或者运输故障</w:t>
            </w:r>
          </w:p>
        </w:tc>
        <w:tc>
          <w:tcPr>
            <w:tcW w:w="6510" w:type="dxa"/>
            <w:vAlign w:val="center"/>
          </w:tcPr>
          <w:p>
            <w:pPr>
              <w:pStyle w:val="84"/>
              <w:jc w:val="left"/>
              <w:rPr>
                <w:rFonts w:eastAsia="宋体"/>
                <w:sz w:val="18"/>
                <w:szCs w:val="18"/>
              </w:rPr>
            </w:pPr>
            <w:r>
              <w:rPr>
                <w:rFonts w:eastAsia="宋体"/>
                <w:sz w:val="18"/>
                <w:szCs w:val="18"/>
              </w:rPr>
              <w:t>因通讯不畅致使最佳事故救援时间延误。</w:t>
            </w:r>
          </w:p>
        </w:tc>
        <w:tc>
          <w:tcPr>
            <w:tcW w:w="1208" w:type="dxa"/>
            <w:vMerge w:val="restart"/>
            <w:vAlign w:val="center"/>
          </w:tcPr>
          <w:p>
            <w:pPr>
              <w:pStyle w:val="84"/>
              <w:rPr>
                <w:rFonts w:eastAsia="宋体"/>
                <w:sz w:val="18"/>
                <w:szCs w:val="18"/>
              </w:rPr>
            </w:pPr>
            <w:r>
              <w:rPr>
                <w:rFonts w:eastAsia="宋体"/>
                <w:sz w:val="18"/>
                <w:szCs w:val="18"/>
              </w:rPr>
              <w:fldChar w:fldCharType="begin"/>
            </w:r>
            <w:r>
              <w:rPr>
                <w:rFonts w:eastAsia="宋体"/>
                <w:sz w:val="18"/>
                <w:szCs w:val="18"/>
              </w:rPr>
              <w:instrText xml:space="preserve"> = 2 \* ROMAN </w:instrText>
            </w:r>
            <w:r>
              <w:rPr>
                <w:rFonts w:eastAsia="宋体"/>
                <w:sz w:val="18"/>
                <w:szCs w:val="18"/>
              </w:rPr>
              <w:fldChar w:fldCharType="separate"/>
            </w:r>
            <w:r>
              <w:rPr>
                <w:rFonts w:eastAsia="宋体"/>
                <w:sz w:val="18"/>
                <w:szCs w:val="18"/>
              </w:rPr>
              <w:t>II</w:t>
            </w:r>
            <w:r>
              <w:rPr>
                <w:rFonts w:eastAsia="宋体"/>
                <w:sz w:val="18"/>
                <w:szCs w:val="18"/>
              </w:rPr>
              <w:fldChar w:fldCharType="end"/>
            </w:r>
            <w:r>
              <w:rPr>
                <w:rFonts w:eastAsia="宋体"/>
                <w:sz w:val="18"/>
                <w:szCs w:val="18"/>
              </w:rPr>
              <w:t>-Ⅲ级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17" w:type="dxa"/>
            <w:vMerge w:val="continue"/>
            <w:vAlign w:val="center"/>
          </w:tcPr>
          <w:p>
            <w:pPr>
              <w:pStyle w:val="84"/>
              <w:jc w:val="left"/>
              <w:rPr>
                <w:rFonts w:eastAsia="宋体"/>
              </w:rPr>
            </w:pPr>
          </w:p>
        </w:tc>
        <w:tc>
          <w:tcPr>
            <w:tcW w:w="1427" w:type="dxa"/>
            <w:vMerge w:val="continue"/>
            <w:vAlign w:val="center"/>
          </w:tcPr>
          <w:p>
            <w:pPr>
              <w:pStyle w:val="84"/>
              <w:jc w:val="left"/>
              <w:rPr>
                <w:rFonts w:eastAsia="宋体"/>
              </w:rPr>
            </w:pPr>
          </w:p>
        </w:tc>
        <w:tc>
          <w:tcPr>
            <w:tcW w:w="6510" w:type="dxa"/>
            <w:vAlign w:val="center"/>
          </w:tcPr>
          <w:p>
            <w:pPr>
              <w:pStyle w:val="84"/>
              <w:jc w:val="both"/>
              <w:rPr>
                <w:rFonts w:eastAsia="宋体"/>
                <w:sz w:val="18"/>
                <w:szCs w:val="18"/>
              </w:rPr>
            </w:pPr>
            <w:r>
              <w:rPr>
                <w:rFonts w:eastAsia="宋体"/>
                <w:sz w:val="18"/>
                <w:szCs w:val="18"/>
              </w:rPr>
              <w:t>运输故障可能出现危险化学品泄漏事故。</w:t>
            </w:r>
          </w:p>
        </w:tc>
        <w:tc>
          <w:tcPr>
            <w:tcW w:w="1208" w:type="dxa"/>
            <w:vMerge w:val="continue"/>
            <w:vAlign w:val="center"/>
          </w:tcPr>
          <w:p>
            <w:pPr>
              <w:pStyle w:val="84"/>
              <w:rPr>
                <w:rFonts w:eastAsia="宋体"/>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817" w:type="dxa"/>
            <w:vAlign w:val="center"/>
          </w:tcPr>
          <w:p>
            <w:pPr>
              <w:pStyle w:val="84"/>
              <w:rPr>
                <w:rFonts w:eastAsia="宋体"/>
                <w:sz w:val="18"/>
                <w:szCs w:val="18"/>
              </w:rPr>
            </w:pPr>
            <w:r>
              <w:rPr>
                <w:rFonts w:eastAsia="宋体"/>
                <w:sz w:val="18"/>
                <w:szCs w:val="18"/>
              </w:rPr>
              <w:t>情景7</w:t>
            </w:r>
          </w:p>
        </w:tc>
        <w:tc>
          <w:tcPr>
            <w:tcW w:w="1427" w:type="dxa"/>
            <w:vAlign w:val="center"/>
          </w:tcPr>
          <w:p>
            <w:pPr>
              <w:pStyle w:val="84"/>
              <w:rPr>
                <w:rFonts w:eastAsia="宋体"/>
                <w:sz w:val="18"/>
                <w:szCs w:val="18"/>
              </w:rPr>
            </w:pPr>
            <w:r>
              <w:rPr>
                <w:rFonts w:eastAsia="宋体"/>
                <w:sz w:val="18"/>
                <w:szCs w:val="18"/>
              </w:rPr>
              <w:t>各种自然灾害、极端天气或不利气象条件</w:t>
            </w:r>
          </w:p>
        </w:tc>
        <w:tc>
          <w:tcPr>
            <w:tcW w:w="6510" w:type="dxa"/>
            <w:vAlign w:val="center"/>
          </w:tcPr>
          <w:p>
            <w:pPr>
              <w:pStyle w:val="84"/>
              <w:jc w:val="left"/>
              <w:rPr>
                <w:rFonts w:eastAsia="宋体"/>
                <w:sz w:val="18"/>
                <w:szCs w:val="18"/>
              </w:rPr>
            </w:pPr>
            <w:r>
              <w:rPr>
                <w:rFonts w:eastAsia="宋体"/>
                <w:sz w:val="18"/>
                <w:szCs w:val="18"/>
              </w:rPr>
              <w:t>考虑暴雨、洪水、地震时导致污水处理设施废水不正常排放。</w:t>
            </w:r>
          </w:p>
        </w:tc>
        <w:tc>
          <w:tcPr>
            <w:tcW w:w="1208" w:type="dxa"/>
            <w:vAlign w:val="center"/>
          </w:tcPr>
          <w:p>
            <w:pPr>
              <w:pStyle w:val="84"/>
              <w:rPr>
                <w:rFonts w:eastAsia="宋体"/>
                <w:sz w:val="18"/>
                <w:szCs w:val="18"/>
              </w:rPr>
            </w:pPr>
            <w:r>
              <w:rPr>
                <w:rFonts w:eastAsia="宋体"/>
                <w:sz w:val="18"/>
                <w:szCs w:val="18"/>
              </w:rPr>
              <w:fldChar w:fldCharType="begin"/>
            </w:r>
            <w:r>
              <w:rPr>
                <w:rFonts w:eastAsia="宋体"/>
                <w:sz w:val="18"/>
                <w:szCs w:val="18"/>
              </w:rPr>
              <w:instrText xml:space="preserve"> = 2 \* ROMAN </w:instrText>
            </w:r>
            <w:r>
              <w:rPr>
                <w:rFonts w:eastAsia="宋体"/>
                <w:sz w:val="18"/>
                <w:szCs w:val="18"/>
              </w:rPr>
              <w:fldChar w:fldCharType="separate"/>
            </w:r>
            <w:r>
              <w:rPr>
                <w:rFonts w:eastAsia="宋体"/>
                <w:sz w:val="18"/>
                <w:szCs w:val="18"/>
              </w:rPr>
              <w:t>II</w:t>
            </w:r>
            <w:r>
              <w:rPr>
                <w:rFonts w:eastAsia="宋体"/>
                <w:sz w:val="18"/>
                <w:szCs w:val="18"/>
              </w:rPr>
              <w:fldChar w:fldCharType="end"/>
            </w:r>
            <w:r>
              <w:rPr>
                <w:rFonts w:eastAsia="宋体"/>
                <w:sz w:val="18"/>
                <w:szCs w:val="18"/>
              </w:rPr>
              <w:t>-Ⅲ级</w:t>
            </w:r>
          </w:p>
        </w:tc>
      </w:tr>
    </w:tbl>
    <w:p>
      <w:pPr>
        <w:pStyle w:val="17"/>
        <w:ind w:firstLine="422"/>
        <w:rPr>
          <w:rFonts w:ascii="Times New Roman" w:hAnsi="Times New Roman" w:eastAsia="宋体" w:cs="Times New Roman"/>
          <w:b/>
          <w:sz w:val="21"/>
          <w:szCs w:val="21"/>
        </w:rPr>
      </w:pPr>
    </w:p>
    <w:p>
      <w:pPr>
        <w:pStyle w:val="57"/>
        <w:adjustRightInd w:val="0"/>
        <w:snapToGrid w:val="0"/>
        <w:spacing w:after="0"/>
        <w:ind w:firstLine="0" w:firstLineChars="0"/>
        <w:rPr>
          <w:rFonts w:ascii="Times New Roman" w:hAnsi="Times New Roman" w:eastAsia="宋体" w:cs="Times New Roman"/>
          <w:b/>
          <w:sz w:val="32"/>
          <w:szCs w:val="32"/>
        </w:rPr>
      </w:pPr>
      <w:r>
        <w:rPr>
          <w:rFonts w:ascii="Times New Roman" w:hAnsi="Times New Roman" w:eastAsia="宋体" w:cs="Times New Roman"/>
          <w:b/>
          <w:sz w:val="32"/>
          <w:szCs w:val="32"/>
        </w:rPr>
        <w:t>3、现场应急处置</w:t>
      </w:r>
    </w:p>
    <w:p>
      <w:pPr>
        <w:autoSpaceDE w:val="0"/>
        <w:autoSpaceDN w:val="0"/>
        <w:adjustRightInd w:val="0"/>
        <w:snapToGrid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根据事件危害程度及波及范围，迅速判定事件等级为车间级、公司级还是社会级，并启动相应级别的应急预案，应急响应流程见《赤壁恒瑞非织造材料有限公司突发环境事件应急预案》。</w:t>
      </w:r>
    </w:p>
    <w:p>
      <w:pPr>
        <w:autoSpaceDE w:val="0"/>
        <w:autoSpaceDN w:val="0"/>
        <w:adjustRightInd w:val="0"/>
        <w:snapToGrid w:val="0"/>
        <w:ind w:firstLine="0" w:firstLineChars="0"/>
        <w:jc w:val="left"/>
        <w:rPr>
          <w:rFonts w:ascii="Times New Roman" w:hAnsi="Times New Roman" w:eastAsia="宋体" w:cs="Times New Roman"/>
          <w:b/>
          <w:kern w:val="0"/>
          <w:sz w:val="30"/>
          <w:szCs w:val="30"/>
        </w:rPr>
      </w:pPr>
      <w:r>
        <w:rPr>
          <w:rFonts w:ascii="Times New Roman" w:hAnsi="Times New Roman" w:eastAsia="宋体" w:cs="Times New Roman"/>
          <w:b/>
          <w:kern w:val="0"/>
          <w:sz w:val="30"/>
          <w:szCs w:val="30"/>
        </w:rPr>
        <w:t>3.1 风险物质泄漏应急处置措施</w:t>
      </w:r>
    </w:p>
    <w:p>
      <w:pPr>
        <w:autoSpaceDE w:val="0"/>
        <w:autoSpaceDN w:val="0"/>
        <w:adjustRightInd w:val="0"/>
        <w:snapToGrid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（1）发生泄漏时，发现人员应立即报告应急指挥部值班室，并立即向企业应急指挥部上报，报告泄露物质、泄露原因以及泄漏量。</w:t>
      </w:r>
    </w:p>
    <w:p>
      <w:pPr>
        <w:autoSpaceDE w:val="0"/>
        <w:autoSpaceDN w:val="0"/>
        <w:adjustRightInd w:val="0"/>
        <w:snapToGrid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2）厂区发生泄漏时应及时切断电源，防止火灾事故发生，然后迅速打开通风门，在可以保证自身安全的情况下，佩戴个人防护器具对泄露源进行控制处理。如为缝隙或裂口泄露，则使用外封式堵漏袋进行堵漏；如为孔洞泄露，则使用使用各种木楔、堵漏夹具进行堵漏。</w:t>
      </w:r>
    </w:p>
    <w:p>
      <w:pPr>
        <w:autoSpaceDE w:val="0"/>
        <w:autoSpaceDN w:val="0"/>
        <w:adjustRightInd w:val="0"/>
        <w:snapToGrid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（3）少量溢出时先进行溢流的围堵，避免污染面积扩散，用吸油毡吸收溢出的液体，然后移至安全地区。</w:t>
      </w:r>
    </w:p>
    <w:p>
      <w:pPr>
        <w:autoSpaceDE w:val="0"/>
        <w:autoSpaceDN w:val="0"/>
        <w:adjustRightInd w:val="0"/>
        <w:snapToGrid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（4）大量溢出时用沙或吸油毡防止溢出的液体蔓延，设置临时围堰，防止液体迅速扩散。为降低物料向大气中的蒸发速度，可用泡沫或其他覆盖物品覆盖外泄的物料，在其表面形成覆盖层，抑制其蒸发。</w:t>
      </w:r>
    </w:p>
    <w:p>
      <w:pPr>
        <w:autoSpaceDE w:val="0"/>
        <w:autoSpaceDN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5）现场处置组应安排专人确认厂区的雨水截止阀及污水截止阀处于关闭状态，利用沙袋等应急物资堵住附近雨水口，防止泄漏物进入雨排水系统及市政污水管网。如溢出的液体进入下水道，则有爆炸或毒性的潜在危险，应立即通知有关部门(尤其应急管理局)。</w:t>
      </w:r>
    </w:p>
    <w:p>
      <w:pPr>
        <w:autoSpaceDE w:val="0"/>
        <w:autoSpaceDN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（6）将沾有泄露化学品的吸附材料放入铁桶或其他盛装容器类，作为危险废物储存于危废暂存间。</w:t>
      </w:r>
    </w:p>
    <w:p>
      <w:pPr>
        <w:autoSpaceDE w:val="0"/>
        <w:autoSpaceDN w:val="0"/>
        <w:ind w:firstLine="0" w:firstLineChars="0"/>
        <w:jc w:val="left"/>
        <w:rPr>
          <w:rFonts w:ascii="Times New Roman" w:hAnsi="Times New Roman" w:eastAsia="宋体" w:cs="Times New Roman"/>
          <w:b/>
          <w:kern w:val="0"/>
          <w:sz w:val="30"/>
          <w:szCs w:val="30"/>
        </w:rPr>
      </w:pPr>
      <w:r>
        <w:rPr>
          <w:rFonts w:ascii="Times New Roman" w:hAnsi="Times New Roman" w:eastAsia="宋体" w:cs="Times New Roman"/>
          <w:b/>
          <w:kern w:val="0"/>
          <w:sz w:val="30"/>
          <w:szCs w:val="30"/>
        </w:rPr>
        <w:t>3.2 火灾应急处置措施</w:t>
      </w:r>
    </w:p>
    <w:p>
      <w:pPr>
        <w:autoSpaceDE w:val="0"/>
        <w:autoSpaceDN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1）当生产车间及危废暂存间、危化品间发生火灾时，应立即停止生产，并立即报告应急指挥部值班室，报告时说明起火地点以及火势的情况。火势较大，难以快速控制时应急指挥部报火警119，同时由通讯联络组紧急通知厂区周边受影响居民、企业。</w:t>
      </w:r>
    </w:p>
    <w:p>
      <w:pPr>
        <w:autoSpaceDE w:val="0"/>
        <w:autoSpaceDN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（2）立即停止生产，切断供电线路、电气设备电源，并摁下火警报警按钮。</w:t>
      </w:r>
    </w:p>
    <w:p>
      <w:pPr>
        <w:autoSpaceDE w:val="0"/>
        <w:autoSpaceDN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3）火灾初起时，应及时进行扑灭，灭火人员应穿戴绝缘鞋、戴绝缘手套、防毒面具等措施扑救火灾。因生产车间有较多电线、电气设备，故发生火灾，应选用干粉灭火器及黄沙，不得使用水及泡沫灭火器灭火。</w:t>
      </w:r>
    </w:p>
    <w:p>
      <w:pPr>
        <w:autoSpaceDE w:val="0"/>
        <w:autoSpaceDN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（4）现场处置组安排熟悉带电设备的技术人员于着火事故现场协助负责进行灭火。</w:t>
      </w:r>
    </w:p>
    <w:p>
      <w:pPr>
        <w:autoSpaceDE w:val="0"/>
        <w:autoSpaceDN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（5）同时，现场处置人员在可保障人身安全的情况下，尽可能撤离火灾附近可燃易燃物品。</w:t>
      </w:r>
    </w:p>
    <w:p>
      <w:pPr>
        <w:autoSpaceDE w:val="0"/>
        <w:autoSpaceDN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6）现场处置组应安排专人至消防栓地方，确保消防栓运转正常，保证消防水供应。并确认厂区的雨水截止阀及污水截止阀处于关闭状态，利用沙袋等应急物资堵住附近雨水口，防止事故废水进入雨排水系统及市政污水管网。</w:t>
      </w:r>
    </w:p>
    <w:p>
      <w:pPr>
        <w:autoSpaceDE w:val="0"/>
        <w:autoSpaceDN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（7）现场处置组应立即组织厂区内员工按疏散路线进行紧急疏散，撤离指挥由现场指挥宋世忠负责，并由现场指挥第一时间向应急救援指挥部报告。</w:t>
      </w:r>
    </w:p>
    <w:p>
      <w:pPr>
        <w:autoSpaceDE w:val="0"/>
        <w:autoSpaceDN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（8）医疗救护组应及时拨打急救中心电话（120），以便施救过程中发生人员伤亡，可进一步实施救治。</w:t>
      </w:r>
    </w:p>
    <w:p>
      <w:pPr>
        <w:autoSpaceDE w:val="0"/>
        <w:autoSpaceDN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（9）如火势无法得到有效控制，应立刻撤离所有人员至火势上风向，等待外部救援队伍到达。消防队前来进行灭火支援时应主动向灭火指挥人员介绍起火区域情况，说明起火物质、已采取的措施等。</w:t>
      </w:r>
    </w:p>
    <w:p>
      <w:pPr>
        <w:autoSpaceDE w:val="0"/>
        <w:autoSpaceDN w:val="0"/>
        <w:ind w:firstLine="0" w:firstLineChars="0"/>
        <w:jc w:val="left"/>
        <w:rPr>
          <w:rFonts w:ascii="Times New Roman" w:hAnsi="Times New Roman" w:eastAsia="宋体" w:cs="Times New Roman"/>
          <w:b/>
          <w:kern w:val="0"/>
          <w:sz w:val="30"/>
          <w:szCs w:val="30"/>
        </w:rPr>
      </w:pPr>
      <w:r>
        <w:rPr>
          <w:rFonts w:ascii="Times New Roman" w:hAnsi="Times New Roman" w:eastAsia="宋体" w:cs="Times New Roman"/>
          <w:b/>
          <w:kern w:val="0"/>
          <w:sz w:val="30"/>
          <w:szCs w:val="30"/>
        </w:rPr>
        <w:t>3.3 环保设施处理故障造成厂区污染物非正常排放应急处置措施</w:t>
      </w:r>
    </w:p>
    <w:p>
      <w:pPr>
        <w:autoSpaceDE w:val="0"/>
        <w:autoSpaceDN w:val="0"/>
        <w:ind w:firstLine="482"/>
        <w:rPr>
          <w:rFonts w:ascii="Times New Roman" w:hAnsi="Times New Roman" w:eastAsia="宋体" w:cs="Times New Roman"/>
          <w:b/>
          <w:kern w:val="0"/>
          <w:szCs w:val="24"/>
        </w:rPr>
      </w:pPr>
      <w:r>
        <w:rPr>
          <w:rFonts w:ascii="Times New Roman" w:hAnsi="Times New Roman" w:eastAsia="宋体" w:cs="Times New Roman"/>
          <w:b/>
          <w:kern w:val="0"/>
          <w:szCs w:val="24"/>
        </w:rPr>
        <w:t>废气处理设施故障</w:t>
      </w:r>
    </w:p>
    <w:p>
      <w:pPr>
        <w:autoSpaceDE w:val="0"/>
        <w:autoSpaceDN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废气处理系统故障或其他原因导致企业内废气不能达标排放，主要表现为废气超标排放对大气造成二次污染，对公司员工也存在一定的健康隐患。</w:t>
      </w:r>
    </w:p>
    <w:p>
      <w:pPr>
        <w:autoSpaceDE w:val="0"/>
        <w:autoSpaceDN w:val="0"/>
        <w:ind w:firstLine="480"/>
        <w:rPr>
          <w:rFonts w:cs="Times New Roman" w:asciiTheme="minorEastAsia" w:hAnsiTheme="minorEastAsia"/>
          <w:kern w:val="0"/>
          <w:szCs w:val="24"/>
        </w:rPr>
      </w:pPr>
      <w:r>
        <w:rPr>
          <w:rFonts w:cs="Times New Roman" w:asciiTheme="minorEastAsia" w:hAnsiTheme="minorEastAsia"/>
          <w:kern w:val="0"/>
          <w:szCs w:val="24"/>
        </w:rPr>
        <w:t>①现场发现人员应及时通知企业安环部，车间负责人组织通知企业机修部门及环保运维部门，并立即向工业区应急指挥部报警。</w:t>
      </w:r>
    </w:p>
    <w:p>
      <w:pPr>
        <w:autoSpaceDE w:val="0"/>
        <w:autoSpaceDN w:val="0"/>
        <w:ind w:firstLine="480"/>
        <w:rPr>
          <w:rFonts w:cs="Times New Roman" w:asciiTheme="minorEastAsia" w:hAnsiTheme="minorEastAsia"/>
          <w:kern w:val="0"/>
          <w:szCs w:val="24"/>
        </w:rPr>
      </w:pPr>
      <w:r>
        <w:rPr>
          <w:rFonts w:cs="Times New Roman" w:asciiTheme="minorEastAsia" w:hAnsiTheme="minorEastAsia"/>
          <w:kern w:val="0"/>
          <w:szCs w:val="24"/>
        </w:rPr>
        <w:t>②企业应积极组织人员查明原因，进行抢修，通知产生废气的车间进行停产。</w:t>
      </w:r>
    </w:p>
    <w:p>
      <w:pPr>
        <w:autoSpaceDE w:val="0"/>
        <w:autoSpaceDN w:val="0"/>
        <w:adjustRightInd w:val="0"/>
        <w:snapToGrid w:val="0"/>
        <w:ind w:firstLine="480"/>
        <w:rPr>
          <w:rFonts w:ascii="Times New Roman" w:hAnsi="Times New Roman" w:eastAsia="宋体" w:cs="Times New Roman"/>
        </w:rPr>
      </w:pPr>
      <w:r>
        <w:rPr>
          <w:rFonts w:cs="Times New Roman" w:asciiTheme="minorEastAsia" w:hAnsiTheme="minorEastAsia"/>
          <w:kern w:val="0"/>
          <w:szCs w:val="24"/>
        </w:rPr>
        <w:t>③企</w:t>
      </w:r>
      <w:r>
        <w:rPr>
          <w:rFonts w:ascii="Times New Roman" w:hAnsi="Times New Roman" w:eastAsia="宋体" w:cs="Times New Roman"/>
          <w:kern w:val="0"/>
          <w:szCs w:val="24"/>
        </w:rPr>
        <w:t>业应及时对事故发生情况、应急措施等进行记录，并调查事故起因，及时进行总结。并将事故情况和处理情况上报应急指挥部。</w:t>
      </w:r>
    </w:p>
    <w:p>
      <w:pPr>
        <w:ind w:firstLine="0" w:firstLineChars="0"/>
        <w:jc w:val="left"/>
        <w:rPr>
          <w:rFonts w:ascii="Times New Roman" w:hAnsi="Times New Roman" w:eastAsia="宋体" w:cs="Times New Roman"/>
          <w:b/>
          <w:bCs/>
          <w:sz w:val="30"/>
          <w:szCs w:val="30"/>
        </w:rPr>
      </w:pPr>
      <w:r>
        <w:rPr>
          <w:rFonts w:ascii="Times New Roman" w:hAnsi="Times New Roman" w:eastAsia="宋体" w:cs="Times New Roman"/>
          <w:b/>
          <w:bCs/>
          <w:sz w:val="30"/>
          <w:szCs w:val="30"/>
        </w:rPr>
        <w:t>3.4地下水和土壤应急处置措施</w:t>
      </w:r>
    </w:p>
    <w:p>
      <w:pPr>
        <w:pStyle w:val="17"/>
        <w:ind w:firstLine="480"/>
        <w:jc w:val="left"/>
        <w:rPr>
          <w:rFonts w:cs="Times New Roman" w:asciiTheme="minorEastAsia" w:hAnsiTheme="minorEastAsia"/>
        </w:rPr>
      </w:pPr>
      <w:r>
        <w:rPr>
          <w:rFonts w:cs="Times New Roman" w:asciiTheme="minorEastAsia" w:hAnsiTheme="minorEastAsia"/>
        </w:rPr>
        <w:t>①当确定发生地下水异常情况时，及时向有关部门汇报，通知附近地下水用户，密切关注地下水水质变化情况。</w:t>
      </w:r>
    </w:p>
    <w:p>
      <w:pPr>
        <w:pStyle w:val="17"/>
        <w:ind w:firstLine="480"/>
        <w:jc w:val="left"/>
        <w:rPr>
          <w:rFonts w:cs="Times New Roman" w:asciiTheme="minorEastAsia" w:hAnsiTheme="minorEastAsia"/>
        </w:rPr>
      </w:pPr>
      <w:r>
        <w:rPr>
          <w:rFonts w:cs="Times New Roman" w:asciiTheme="minorEastAsia" w:hAnsiTheme="minorEastAsia"/>
        </w:rPr>
        <w:t>②组织专业队伍对事故现场进行调查、监测，查找环境事故发生点、分析事故原因，尽量将紧急事件局部化，如可能应予以消除，采取包括切断生产装置或设施等措施，防止事故的扩散、蔓延及连锁反应，尽量缩小地下水污染事故对人员和财产的影响。</w:t>
      </w:r>
    </w:p>
    <w:p>
      <w:pPr>
        <w:pStyle w:val="17"/>
        <w:ind w:firstLine="480"/>
        <w:jc w:val="left"/>
        <w:rPr>
          <w:rFonts w:cs="Times New Roman" w:asciiTheme="minorEastAsia" w:hAnsiTheme="minorEastAsia"/>
        </w:rPr>
      </w:pPr>
      <w:r>
        <w:rPr>
          <w:rFonts w:cs="Times New Roman" w:asciiTheme="minorEastAsia" w:hAnsiTheme="minorEastAsia"/>
        </w:rPr>
        <w:t>③当通过监测发现对周围地下水造成污染时，根据观测井的反馈信息，对污染区地下水进行人工抽采形成地下水降落漏斗，控制污染区地下水流场，防止污染物扩散，并抽取已污染的地下水送生产系统循环使用。</w:t>
      </w:r>
    </w:p>
    <w:p>
      <w:pPr>
        <w:pStyle w:val="17"/>
        <w:ind w:firstLine="480"/>
        <w:jc w:val="left"/>
        <w:rPr>
          <w:rFonts w:ascii="Times New Roman" w:hAnsi="Times New Roman" w:eastAsia="宋体" w:cs="Times New Roman"/>
        </w:rPr>
      </w:pPr>
      <w:r>
        <w:rPr>
          <w:rFonts w:cs="Times New Roman" w:asciiTheme="minorEastAsia" w:hAnsiTheme="minorEastAsia"/>
        </w:rPr>
        <w:t>④对</w:t>
      </w:r>
      <w:r>
        <w:rPr>
          <w:rFonts w:ascii="Times New Roman" w:hAnsi="Times New Roman" w:eastAsia="宋体" w:cs="Times New Roman"/>
        </w:rPr>
        <w:t>事故后果进行评估，并制定防止类似事件发生的措施。</w:t>
      </w:r>
    </w:p>
    <w:p>
      <w:pPr>
        <w:pStyle w:val="17"/>
        <w:ind w:firstLine="480"/>
        <w:jc w:val="left"/>
        <w:rPr>
          <w:rFonts w:ascii="Times New Roman" w:hAnsi="Times New Roman" w:eastAsia="宋体" w:cs="Times New Roman"/>
        </w:rPr>
      </w:pPr>
      <w:r>
        <w:rPr>
          <w:rFonts w:cs="Times New Roman" w:asciiTheme="minorEastAsia" w:hAnsiTheme="minorEastAsia"/>
        </w:rPr>
        <w:t>⑤</w:t>
      </w:r>
      <w:r>
        <w:rPr>
          <w:rFonts w:ascii="Times New Roman" w:hAnsi="Times New Roman" w:eastAsia="宋体" w:cs="Times New Roman"/>
        </w:rPr>
        <w:t>必要时应请求社会应急力量协助处理。</w:t>
      </w:r>
    </w:p>
    <w:p>
      <w:pPr>
        <w:pStyle w:val="17"/>
        <w:ind w:firstLine="480"/>
        <w:jc w:val="left"/>
        <w:rPr>
          <w:rFonts w:ascii="Times New Roman" w:hAnsi="Times New Roman" w:eastAsia="宋体" w:cs="Times New Roman"/>
        </w:rPr>
      </w:pPr>
      <w:r>
        <w:rPr>
          <w:rFonts w:ascii="Times New Roman" w:hAnsi="Times New Roman" w:eastAsia="宋体" w:cs="Times New Roman"/>
        </w:rPr>
        <w:t>地下水污染具有不易被发现和一旦发生污染事故很难治理的特点，因此，防治地下水污染应遵循源头控制、分区防治、污染监测及事故应急处理的主动及被动相结合的原则。</w:t>
      </w:r>
    </w:p>
    <w:p>
      <w:pPr>
        <w:pStyle w:val="17"/>
        <w:ind w:firstLine="480"/>
        <w:jc w:val="left"/>
        <w:rPr>
          <w:rFonts w:ascii="Times New Roman" w:hAnsi="Times New Roman" w:eastAsia="宋体" w:cs="Times New Roman"/>
        </w:rPr>
      </w:pPr>
      <w:r>
        <w:rPr>
          <w:rFonts w:ascii="Times New Roman" w:hAnsi="Times New Roman" w:eastAsia="宋体" w:cs="Times New Roman"/>
        </w:rPr>
        <w:t>地下水污染调查及污染修复是一项专业性较强的工作，一旦发生污染事故，应委托具有地下水剂土壤污染治理能力及污染事故处理经验的单位查明并修复污染地区地下水和土壤。污染发生后，应及早的寻找新的水源，保证当地居民用水安全。</w:t>
      </w:r>
    </w:p>
    <w:p>
      <w:pPr>
        <w:pStyle w:val="57"/>
        <w:adjustRightInd w:val="0"/>
        <w:snapToGrid w:val="0"/>
        <w:spacing w:after="0"/>
        <w:ind w:firstLine="0" w:firstLineChars="0"/>
        <w:rPr>
          <w:rFonts w:ascii="Times New Roman" w:hAnsi="Times New Roman" w:eastAsia="宋体" w:cs="Times New Roman"/>
          <w:b/>
          <w:sz w:val="32"/>
          <w:szCs w:val="32"/>
        </w:rPr>
      </w:pPr>
      <w:r>
        <w:rPr>
          <w:rFonts w:ascii="Times New Roman" w:hAnsi="Times New Roman" w:eastAsia="宋体" w:cs="Times New Roman"/>
          <w:b/>
          <w:sz w:val="32"/>
          <w:szCs w:val="32"/>
        </w:rPr>
        <w:t>4、突发环境事件现场应急处置卡</w:t>
      </w:r>
    </w:p>
    <w:p>
      <w:pPr>
        <w:autoSpaceDE w:val="0"/>
        <w:autoSpaceDN w:val="0"/>
        <w:adjustRightInd w:val="0"/>
        <w:snapToGrid w:val="0"/>
        <w:ind w:firstLine="480"/>
        <w:rPr>
          <w:rFonts w:ascii="Times New Roman" w:hAnsi="Times New Roman" w:eastAsia="宋体" w:cs="Times New Roman"/>
          <w:kern w:val="0"/>
          <w:szCs w:val="24"/>
        </w:rPr>
      </w:pPr>
      <w:r>
        <w:rPr>
          <w:rFonts w:ascii="Times New Roman" w:hAnsi="Times New Roman" w:eastAsia="宋体" w:cs="Times New Roman"/>
          <w:kern w:val="0"/>
          <w:szCs w:val="24"/>
        </w:rPr>
        <w:t>应急处置卡应明确特定环境事件的现场处置措施的整一套流程及相应部门，包括风险描述、报告程序、上报内容、预案启动、排查、控源截污、监测、后勤保障、后期处置、恢复处置和注意事项等方面内容。</w:t>
      </w:r>
    </w:p>
    <w:p>
      <w:pPr>
        <w:pStyle w:val="2"/>
      </w:pPr>
    </w:p>
    <w:p>
      <w:pPr>
        <w:pStyle w:val="32"/>
        <w:spacing w:line="240" w:lineRule="auto"/>
        <w:ind w:firstLine="0" w:firstLineChars="0"/>
        <w:jc w:val="center"/>
        <w:rPr>
          <w:rFonts w:ascii="Times New Roman" w:eastAsia="宋体"/>
          <w:b/>
          <w:sz w:val="21"/>
          <w:szCs w:val="21"/>
        </w:rPr>
      </w:pPr>
      <w:r>
        <w:rPr>
          <w:rFonts w:ascii="Times New Roman" w:eastAsia="宋体"/>
          <w:b/>
          <w:sz w:val="21"/>
          <w:szCs w:val="21"/>
        </w:rPr>
        <w:t>危化品泄露现场应急处置卡</w:t>
      </w:r>
    </w:p>
    <w:tbl>
      <w:tblPr>
        <w:tblStyle w:val="37"/>
        <w:tblW w:w="985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3"/>
        <w:gridCol w:w="1072"/>
        <w:gridCol w:w="6092"/>
        <w:gridCol w:w="18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5" w:type="dxa"/>
            <w:gridSpan w:val="2"/>
            <w:vAlign w:val="center"/>
          </w:tcPr>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类别</w:t>
            </w:r>
          </w:p>
        </w:tc>
        <w:tc>
          <w:tcPr>
            <w:tcW w:w="7938" w:type="dxa"/>
            <w:gridSpan w:val="2"/>
            <w:vAlign w:val="center"/>
          </w:tcPr>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5" w:type="dxa"/>
            <w:gridSpan w:val="2"/>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风险描述</w:t>
            </w:r>
          </w:p>
        </w:tc>
        <w:tc>
          <w:tcPr>
            <w:tcW w:w="7938" w:type="dxa"/>
            <w:gridSpan w:val="2"/>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bCs/>
                <w:sz w:val="18"/>
                <w:szCs w:val="18"/>
              </w:rPr>
              <w:t>危化品</w:t>
            </w:r>
            <w:r>
              <w:rPr>
                <w:rFonts w:ascii="Times New Roman" w:hAnsi="Times New Roman" w:eastAsia="宋体" w:cs="Times New Roman"/>
                <w:sz w:val="18"/>
                <w:szCs w:val="18"/>
              </w:rPr>
              <w:t>泄漏造成漫流至雨水管网，影响厂区周边水体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5" w:type="dxa"/>
            <w:gridSpan w:val="2"/>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危害和有害场所</w:t>
            </w:r>
          </w:p>
        </w:tc>
        <w:tc>
          <w:tcPr>
            <w:tcW w:w="7938" w:type="dxa"/>
            <w:gridSpan w:val="2"/>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危化品间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5" w:type="dxa"/>
            <w:gridSpan w:val="2"/>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事故类型</w:t>
            </w:r>
          </w:p>
        </w:tc>
        <w:tc>
          <w:tcPr>
            <w:tcW w:w="7938" w:type="dxa"/>
            <w:gridSpan w:val="2"/>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污染地表水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5" w:type="dxa"/>
            <w:gridSpan w:val="2"/>
            <w:vAlign w:val="center"/>
          </w:tcPr>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应急程序</w:t>
            </w:r>
          </w:p>
        </w:tc>
        <w:tc>
          <w:tcPr>
            <w:tcW w:w="6092" w:type="dxa"/>
            <w:vAlign w:val="center"/>
          </w:tcPr>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应急处置操作</w:t>
            </w:r>
          </w:p>
        </w:tc>
        <w:tc>
          <w:tcPr>
            <w:tcW w:w="1846" w:type="dxa"/>
            <w:vAlign w:val="center"/>
          </w:tcPr>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责任岗位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trPr>
        <w:tc>
          <w:tcPr>
            <w:tcW w:w="1915" w:type="dxa"/>
            <w:gridSpan w:val="2"/>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报告程序</w:t>
            </w:r>
          </w:p>
        </w:tc>
        <w:tc>
          <w:tcPr>
            <w:tcW w:w="6092"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现场人员通过手机或者对讲机向现场负责人汇报，负责人向指挥部汇报，事态紧急时现场工作人员直接向指挥部汇报</w:t>
            </w:r>
          </w:p>
        </w:tc>
        <w:tc>
          <w:tcPr>
            <w:tcW w:w="1846" w:type="dxa"/>
            <w:vMerge w:val="restart"/>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rPr>
              <w:t>曾治国18207241006</w:t>
            </w:r>
            <w:r>
              <w:rPr>
                <w:rFonts w:ascii="Times New Roman" w:hAnsi="Times New Roman" w:eastAsia="宋体" w:cs="Times New Roman"/>
                <w:sz w:val="18"/>
                <w:szCs w:val="18"/>
              </w:rPr>
              <w:t>/</w:t>
            </w:r>
            <w:r>
              <w:rPr>
                <w:rFonts w:ascii="Times New Roman" w:hAnsi="Times New Roman" w:cs="Times New Roman"/>
                <w:sz w:val="18"/>
                <w:szCs w:val="18"/>
              </w:rPr>
              <w:t>孙成斌13886500551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5" w:type="dxa"/>
            <w:gridSpan w:val="2"/>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上报内容</w:t>
            </w:r>
          </w:p>
        </w:tc>
        <w:tc>
          <w:tcPr>
            <w:tcW w:w="6092"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泄露位置，泄露物料名称、理化性质、受影响范围，初步判断造成原因，已采用的应急措施、紧急处理后进展情况</w:t>
            </w:r>
          </w:p>
        </w:tc>
        <w:tc>
          <w:tcPr>
            <w:tcW w:w="1846"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5" w:type="dxa"/>
            <w:gridSpan w:val="2"/>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预案启动</w:t>
            </w:r>
          </w:p>
        </w:tc>
        <w:tc>
          <w:tcPr>
            <w:tcW w:w="6092"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应急总指挥启动相应级别的应急预案</w:t>
            </w:r>
          </w:p>
        </w:tc>
        <w:tc>
          <w:tcPr>
            <w:tcW w:w="1846"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5" w:type="dxa"/>
            <w:gridSpan w:val="2"/>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排查</w:t>
            </w:r>
          </w:p>
        </w:tc>
        <w:tc>
          <w:tcPr>
            <w:tcW w:w="6092"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说明事件原因排查情况</w:t>
            </w:r>
          </w:p>
        </w:tc>
        <w:tc>
          <w:tcPr>
            <w:tcW w:w="1846"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843" w:type="dxa"/>
            <w:vMerge w:val="restart"/>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控源</w:t>
            </w:r>
          </w:p>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截污</w:t>
            </w:r>
          </w:p>
        </w:tc>
        <w:tc>
          <w:tcPr>
            <w:tcW w:w="1072"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泄漏控制</w:t>
            </w:r>
          </w:p>
        </w:tc>
        <w:tc>
          <w:tcPr>
            <w:tcW w:w="6092"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本项目危化品间设置围坎，危化品间管道与事故应急池相连接，发生泄漏后，泄漏物料能够有效收集。</w:t>
            </w:r>
          </w:p>
        </w:tc>
        <w:tc>
          <w:tcPr>
            <w:tcW w:w="1846" w:type="dxa"/>
            <w:vMerge w:val="restart"/>
            <w:vAlign w:val="center"/>
          </w:tcPr>
          <w:p>
            <w:pPr>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吴汉平13797232799</w:t>
            </w:r>
          </w:p>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2" w:hRule="atLeast"/>
        </w:trPr>
        <w:tc>
          <w:tcPr>
            <w:tcW w:w="843"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1072"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防护</w:t>
            </w:r>
          </w:p>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措施</w:t>
            </w:r>
          </w:p>
        </w:tc>
        <w:tc>
          <w:tcPr>
            <w:tcW w:w="6092" w:type="dxa"/>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呼吸系统防护：空气中浓度超标时，建议佩戴自吸过滤式防毒面具（半面罩）。紧急事态抢 救或撤离时，应该佩戴空气呼吸器。</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眼睛防护：戴化学安全防护眼镜。</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身体防护：穿一般作业防护服。</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手防护：戴橡胶耐油手套。</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其他防护：工作现场严禁吸烟。避免长期反复接触</w:t>
            </w:r>
            <w:r>
              <w:rPr>
                <w:rFonts w:ascii="Times New Roman" w:hAnsi="Times New Roman" w:eastAsia="宋体" w:cs="Times New Roman"/>
                <w:sz w:val="21"/>
              </w:rPr>
              <w:t>。</w:t>
            </w:r>
          </w:p>
        </w:tc>
        <w:tc>
          <w:tcPr>
            <w:tcW w:w="1846"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843"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1072"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中毒应急措施</w:t>
            </w:r>
          </w:p>
        </w:tc>
        <w:tc>
          <w:tcPr>
            <w:tcW w:w="6092" w:type="dxa"/>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皮肤接触：立即脱去污染的衣着，用肥皂水和清水彻底冲洗皮肤。就医。</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眼睛接触：提起眼睑，用流动清水或生理盐水冲洗，就医。</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吸入：迅速脱离现场至空气新鲜处，保持呼吸道通畅，如呼吸困难，给输氧。如呼吸停止，立即进行人工呼吸，就医。</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食入：尽快彻底洗胃。就医。</w:t>
            </w:r>
          </w:p>
        </w:tc>
        <w:tc>
          <w:tcPr>
            <w:tcW w:w="1846"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843"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c>
          <w:tcPr>
            <w:tcW w:w="1072"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消防措施</w:t>
            </w:r>
          </w:p>
        </w:tc>
        <w:tc>
          <w:tcPr>
            <w:tcW w:w="6092" w:type="dxa"/>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灭火使用泡沫、二氧化碳、干粉、砂土。用水灭火无效。</w:t>
            </w:r>
          </w:p>
        </w:tc>
        <w:tc>
          <w:tcPr>
            <w:tcW w:w="1846"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1915" w:type="dxa"/>
            <w:gridSpan w:val="2"/>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应急监测</w:t>
            </w:r>
          </w:p>
        </w:tc>
        <w:tc>
          <w:tcPr>
            <w:tcW w:w="6092" w:type="dxa"/>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1.负责联系应急检测组，协助应急检测；</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2.监测下风向受污染程度以及敏感目标受污染程度，监测周边水体（北洪港）污染情况。</w:t>
            </w:r>
          </w:p>
        </w:tc>
        <w:tc>
          <w:tcPr>
            <w:tcW w:w="1846" w:type="dxa"/>
            <w:vAlign w:val="center"/>
          </w:tcPr>
          <w:p>
            <w:pPr>
              <w:spacing w:line="240" w:lineRule="auto"/>
              <w:ind w:firstLine="0" w:firstLineChars="0"/>
              <w:jc w:val="center"/>
              <w:rPr>
                <w:rFonts w:ascii="Times New Roman" w:hAnsi="Times New Roman" w:cs="Times New Roman"/>
                <w:sz w:val="18"/>
                <w:szCs w:val="18"/>
                <w:highlight w:val="yellow"/>
              </w:rPr>
            </w:pPr>
            <w:r>
              <w:rPr>
                <w:rFonts w:hint="eastAsia" w:ascii="Times New Roman" w:hAnsi="Times New Roman" w:cs="Times New Roman"/>
                <w:sz w:val="18"/>
                <w:szCs w:val="18"/>
              </w:rPr>
              <w:t>刘志勇15207244545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5" w:type="dxa"/>
            <w:gridSpan w:val="2"/>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后勤保障</w:t>
            </w:r>
          </w:p>
        </w:tc>
        <w:tc>
          <w:tcPr>
            <w:tcW w:w="6092" w:type="dxa"/>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确保其它工艺设备运行正常、电力供应正常，消防设施充足。</w:t>
            </w:r>
          </w:p>
        </w:tc>
        <w:tc>
          <w:tcPr>
            <w:tcW w:w="1846" w:type="dxa"/>
            <w:vAlign w:val="center"/>
          </w:tcPr>
          <w:p>
            <w:pPr>
              <w:spacing w:line="240" w:lineRule="auto"/>
              <w:ind w:firstLine="0" w:firstLineChars="0"/>
              <w:jc w:val="center"/>
              <w:rPr>
                <w:rFonts w:ascii="Times New Roman" w:hAnsi="Times New Roman" w:eastAsia="宋体" w:cs="Times New Roman"/>
                <w:sz w:val="18"/>
                <w:szCs w:val="18"/>
                <w:highlight w:val="yellow"/>
              </w:rPr>
            </w:pPr>
            <w:r>
              <w:rPr>
                <w:rFonts w:hint="eastAsia" w:ascii="Times New Roman" w:hAnsi="Times New Roman" w:eastAsia="宋体" w:cs="Times New Roman"/>
                <w:sz w:val="18"/>
                <w:szCs w:val="18"/>
              </w:rPr>
              <w:t>宋明舟13617156133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5" w:type="dxa"/>
            <w:gridSpan w:val="2"/>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恢复处置</w:t>
            </w:r>
          </w:p>
        </w:tc>
        <w:tc>
          <w:tcPr>
            <w:tcW w:w="6092" w:type="dxa"/>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抢险人员清点完毕，受伤人员全部已送医院救治。</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现场已清理完毕，达到恢复生产的条件。</w:t>
            </w:r>
          </w:p>
        </w:tc>
        <w:tc>
          <w:tcPr>
            <w:tcW w:w="1846" w:type="dxa"/>
            <w:vAlign w:val="center"/>
          </w:tcPr>
          <w:p>
            <w:pPr>
              <w:spacing w:line="240" w:lineRule="auto"/>
              <w:ind w:firstLine="0" w:firstLineChars="0"/>
              <w:jc w:val="center"/>
              <w:rPr>
                <w:rFonts w:ascii="Times New Roman" w:hAnsi="Times New Roman" w:eastAsia="宋体" w:cs="Times New Roman"/>
                <w:sz w:val="18"/>
                <w:szCs w:val="18"/>
                <w:highlight w:val="yellow"/>
              </w:rPr>
            </w:pPr>
            <w:r>
              <w:rPr>
                <w:rFonts w:hint="eastAsia" w:ascii="Times New Roman" w:hAnsi="Times New Roman" w:eastAsia="宋体" w:cs="Times New Roman"/>
                <w:sz w:val="18"/>
                <w:szCs w:val="18"/>
              </w:rPr>
              <w:t>胡朝东15997988598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5" w:type="dxa"/>
            <w:gridSpan w:val="2"/>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注意事项</w:t>
            </w:r>
          </w:p>
        </w:tc>
        <w:tc>
          <w:tcPr>
            <w:tcW w:w="7938" w:type="dxa"/>
            <w:gridSpan w:val="2"/>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1、可能中毒区域戴空气呼吸器，其它附近区域戴过滤式防毒面具；接触有毒介质回收人员和堵漏人员须穿防护服。</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2、人员疏散应根据风向标指示，撤离至上风口。</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3、报警时，须讲明泄漏地点、泄漏介质、严重程度、人员伤亡情况、有无火情。</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4、若出现超出企业应急能力的情况，及时向外部请求支援，并根据当地环保部门的要求及专家的意见对事态进行控制，在外部救援力量抵达现场时，全力配合应急抢险工作。</w:t>
            </w:r>
          </w:p>
        </w:tc>
      </w:tr>
    </w:tbl>
    <w:p>
      <w:pPr>
        <w:pStyle w:val="32"/>
        <w:spacing w:line="240" w:lineRule="auto"/>
        <w:ind w:firstLine="398"/>
        <w:jc w:val="center"/>
        <w:rPr>
          <w:rFonts w:ascii="Times New Roman" w:eastAsia="宋体"/>
          <w:b/>
          <w:sz w:val="21"/>
          <w:szCs w:val="21"/>
        </w:rPr>
      </w:pPr>
    </w:p>
    <w:p>
      <w:pPr>
        <w:pStyle w:val="32"/>
        <w:spacing w:line="240" w:lineRule="auto"/>
        <w:ind w:firstLine="398"/>
        <w:jc w:val="center"/>
        <w:rPr>
          <w:rFonts w:ascii="Times New Roman" w:eastAsia="宋体"/>
          <w:b/>
          <w:sz w:val="21"/>
          <w:szCs w:val="21"/>
        </w:rPr>
      </w:pPr>
    </w:p>
    <w:p>
      <w:pPr>
        <w:pStyle w:val="32"/>
        <w:spacing w:line="240" w:lineRule="auto"/>
        <w:ind w:firstLine="398"/>
        <w:jc w:val="center"/>
        <w:rPr>
          <w:rFonts w:ascii="Times New Roman" w:eastAsia="宋体"/>
          <w:b/>
          <w:sz w:val="21"/>
          <w:szCs w:val="21"/>
        </w:rPr>
      </w:pPr>
    </w:p>
    <w:p>
      <w:pPr>
        <w:pStyle w:val="32"/>
        <w:spacing w:line="240" w:lineRule="auto"/>
        <w:ind w:firstLine="398"/>
        <w:jc w:val="center"/>
        <w:rPr>
          <w:rFonts w:ascii="Times New Roman" w:eastAsia="宋体"/>
          <w:b/>
          <w:sz w:val="21"/>
          <w:szCs w:val="21"/>
        </w:rPr>
      </w:pPr>
      <w:r>
        <w:rPr>
          <w:rFonts w:ascii="Times New Roman" w:eastAsia="宋体"/>
          <w:b/>
          <w:sz w:val="21"/>
          <w:szCs w:val="21"/>
        </w:rPr>
        <w:t>火灾伴生事故现场应急处置卡</w:t>
      </w:r>
    </w:p>
    <w:tbl>
      <w:tblPr>
        <w:tblStyle w:val="37"/>
        <w:tblW w:w="98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86"/>
        <w:gridCol w:w="6321"/>
        <w:gridCol w:w="1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6" w:type="dxa"/>
            <w:vAlign w:val="center"/>
          </w:tcPr>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类别</w:t>
            </w:r>
          </w:p>
        </w:tc>
        <w:tc>
          <w:tcPr>
            <w:tcW w:w="8154" w:type="dxa"/>
            <w:gridSpan w:val="2"/>
            <w:vAlign w:val="center"/>
          </w:tcPr>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6"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风险描述</w:t>
            </w:r>
          </w:p>
        </w:tc>
        <w:tc>
          <w:tcPr>
            <w:tcW w:w="8154" w:type="dxa"/>
            <w:gridSpan w:val="2"/>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生产过程中，发生燃烧，当燃烧在时间和空间上失去控制，形成火灾，燃烧过程中产生污染厂区及周边大气环境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6"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危害和有害场所</w:t>
            </w:r>
          </w:p>
        </w:tc>
        <w:tc>
          <w:tcPr>
            <w:tcW w:w="8154" w:type="dxa"/>
            <w:gridSpan w:val="2"/>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危化品间、生产车间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6"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事故类型</w:t>
            </w:r>
          </w:p>
        </w:tc>
        <w:tc>
          <w:tcPr>
            <w:tcW w:w="8154" w:type="dxa"/>
            <w:gridSpan w:val="2"/>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造成大气污染事件，造成人员伤亡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6" w:type="dxa"/>
            <w:vAlign w:val="center"/>
          </w:tcPr>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应急程序</w:t>
            </w:r>
          </w:p>
        </w:tc>
        <w:tc>
          <w:tcPr>
            <w:tcW w:w="6321" w:type="dxa"/>
            <w:vAlign w:val="center"/>
          </w:tcPr>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应急处置操作</w:t>
            </w:r>
          </w:p>
        </w:tc>
        <w:tc>
          <w:tcPr>
            <w:tcW w:w="1833" w:type="dxa"/>
            <w:vAlign w:val="center"/>
          </w:tcPr>
          <w:p>
            <w:pPr>
              <w:spacing w:line="240" w:lineRule="auto"/>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责任岗位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trPr>
        <w:tc>
          <w:tcPr>
            <w:tcW w:w="1686"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报告程序</w:t>
            </w:r>
          </w:p>
        </w:tc>
        <w:tc>
          <w:tcPr>
            <w:tcW w:w="6321"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现场人员通过手机或者对讲机向现场负责人汇报，负责人向指挥部汇报，事态紧急时现场工作人员直接向指挥部汇报</w:t>
            </w:r>
          </w:p>
        </w:tc>
        <w:tc>
          <w:tcPr>
            <w:tcW w:w="1833" w:type="dxa"/>
            <w:vMerge w:val="restart"/>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rPr>
              <w:t>曾治国18207241006</w:t>
            </w:r>
            <w:r>
              <w:rPr>
                <w:rFonts w:ascii="Times New Roman" w:hAnsi="Times New Roman" w:eastAsia="宋体" w:cs="Times New Roman"/>
                <w:sz w:val="18"/>
                <w:szCs w:val="18"/>
              </w:rPr>
              <w:t>/</w:t>
            </w:r>
            <w:r>
              <w:rPr>
                <w:rFonts w:ascii="Times New Roman" w:hAnsi="Times New Roman" w:cs="Times New Roman"/>
                <w:sz w:val="18"/>
                <w:szCs w:val="18"/>
              </w:rPr>
              <w:t>孙成斌13886500551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6"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上报内容</w:t>
            </w:r>
          </w:p>
        </w:tc>
        <w:tc>
          <w:tcPr>
            <w:tcW w:w="6321"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火灾现场情况，初步判断造成原因，已采用的应急措施、紧急处理后进展情况</w:t>
            </w:r>
          </w:p>
        </w:tc>
        <w:tc>
          <w:tcPr>
            <w:tcW w:w="1833"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6"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预案启动</w:t>
            </w:r>
          </w:p>
        </w:tc>
        <w:tc>
          <w:tcPr>
            <w:tcW w:w="6321"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应急总指挥启动相应级别的应急预案</w:t>
            </w:r>
          </w:p>
        </w:tc>
        <w:tc>
          <w:tcPr>
            <w:tcW w:w="1833"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6"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排查</w:t>
            </w:r>
          </w:p>
        </w:tc>
        <w:tc>
          <w:tcPr>
            <w:tcW w:w="6321"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说明事件原因排查情况</w:t>
            </w:r>
          </w:p>
        </w:tc>
        <w:tc>
          <w:tcPr>
            <w:tcW w:w="1833"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7" w:hRule="atLeast"/>
        </w:trPr>
        <w:tc>
          <w:tcPr>
            <w:tcW w:w="1686"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先期处置</w:t>
            </w:r>
          </w:p>
        </w:tc>
        <w:tc>
          <w:tcPr>
            <w:tcW w:w="6321" w:type="dxa"/>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（1）发生火灾时，现场人员立即消防队报警；同时使用现场配备的灭火器材进行初期火灾的补救，判断起火原因，通过在安全位置停运设备、停电、关门等措施，控制明火蔓延。</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（2）消防队赶到现场后立即向现场指挥汇报，在专业人员的陪同下进行火情侦察，下达灭火作战指令；</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（3）保卫人员应设置警戒线，禁止人员进入危险区域；</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（4）在当值值长的指挥下，现场抢险队员应分为两组，一组配合消防队灭火（向消防人员提供专业知识）；另一组负责转运周围易燃物品到安全地带，不可转移的易燃设备旁，要采取降温、隔离等措施。</w:t>
            </w:r>
          </w:p>
        </w:tc>
        <w:tc>
          <w:tcPr>
            <w:tcW w:w="1833" w:type="dxa"/>
            <w:vMerge w:val="restart"/>
            <w:vAlign w:val="center"/>
          </w:tcPr>
          <w:p>
            <w:pPr>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吴汉平13797232799</w:t>
            </w:r>
          </w:p>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1686"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消防措施</w:t>
            </w:r>
          </w:p>
        </w:tc>
        <w:tc>
          <w:tcPr>
            <w:tcW w:w="6321" w:type="dxa"/>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灭火使用泡沫、二氧化碳、干粉、砂土。用水灭火无效。</w:t>
            </w:r>
          </w:p>
        </w:tc>
        <w:tc>
          <w:tcPr>
            <w:tcW w:w="1833" w:type="dxa"/>
            <w:vMerge w:val="continue"/>
            <w:vAlign w:val="center"/>
          </w:tcPr>
          <w:p>
            <w:pPr>
              <w:spacing w:line="240" w:lineRule="auto"/>
              <w:ind w:firstLine="0" w:firstLineChars="0"/>
              <w:jc w:val="center"/>
              <w:rPr>
                <w:rFonts w:ascii="Times New Roman" w:hAnsi="Times New Roman" w:eastAsia="宋体" w:cs="Times New Roman"/>
                <w:sz w:val="18"/>
                <w:szCs w:val="18"/>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1686"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应急监测</w:t>
            </w:r>
          </w:p>
        </w:tc>
        <w:tc>
          <w:tcPr>
            <w:tcW w:w="6321" w:type="dxa"/>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1.负责联系应急检测组，协助应急检测；</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2.监测下风向受污染程度以及敏感目标受污染程度。</w:t>
            </w:r>
          </w:p>
        </w:tc>
        <w:tc>
          <w:tcPr>
            <w:tcW w:w="1833" w:type="dxa"/>
            <w:vAlign w:val="center"/>
          </w:tcPr>
          <w:p>
            <w:pPr>
              <w:spacing w:line="240" w:lineRule="auto"/>
              <w:ind w:firstLine="0" w:firstLineChars="0"/>
              <w:jc w:val="center"/>
              <w:rPr>
                <w:rFonts w:ascii="Times New Roman" w:hAnsi="Times New Roman" w:eastAsia="宋体" w:cs="Times New Roman"/>
                <w:sz w:val="18"/>
                <w:szCs w:val="18"/>
                <w:highlight w:val="yellow"/>
              </w:rPr>
            </w:pPr>
            <w:r>
              <w:rPr>
                <w:rFonts w:hint="eastAsia" w:ascii="Times New Roman" w:hAnsi="Times New Roman" w:cs="Times New Roman"/>
                <w:sz w:val="18"/>
                <w:szCs w:val="18"/>
              </w:rPr>
              <w:t>刘志勇15207244545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6"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后勤保障</w:t>
            </w:r>
          </w:p>
        </w:tc>
        <w:tc>
          <w:tcPr>
            <w:tcW w:w="6321" w:type="dxa"/>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确保其它工艺设备运行正常、电力供应正常，消防设施充足。</w:t>
            </w:r>
          </w:p>
        </w:tc>
        <w:tc>
          <w:tcPr>
            <w:tcW w:w="1833" w:type="dxa"/>
            <w:vAlign w:val="center"/>
          </w:tcPr>
          <w:p>
            <w:pPr>
              <w:spacing w:line="240" w:lineRule="auto"/>
              <w:ind w:firstLine="0" w:firstLineChars="0"/>
              <w:jc w:val="center"/>
              <w:rPr>
                <w:rFonts w:ascii="Times New Roman" w:hAnsi="Times New Roman" w:eastAsia="宋体" w:cs="Times New Roman"/>
                <w:sz w:val="18"/>
                <w:szCs w:val="18"/>
                <w:highlight w:val="yellow"/>
              </w:rPr>
            </w:pPr>
            <w:r>
              <w:rPr>
                <w:rFonts w:hint="eastAsia" w:ascii="Times New Roman" w:hAnsi="Times New Roman" w:eastAsia="宋体" w:cs="Times New Roman"/>
                <w:sz w:val="18"/>
                <w:szCs w:val="18"/>
              </w:rPr>
              <w:t>宋明舟13617156133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6"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恢复处置</w:t>
            </w:r>
          </w:p>
        </w:tc>
        <w:tc>
          <w:tcPr>
            <w:tcW w:w="6321" w:type="dxa"/>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抢险人员清点完毕，受伤人员全部已送医院救治。</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现场已清理完毕，达到恢复生产的条件。</w:t>
            </w:r>
          </w:p>
        </w:tc>
        <w:tc>
          <w:tcPr>
            <w:tcW w:w="1833" w:type="dxa"/>
            <w:vAlign w:val="center"/>
          </w:tcPr>
          <w:p>
            <w:pPr>
              <w:spacing w:line="240" w:lineRule="auto"/>
              <w:ind w:firstLine="0" w:firstLineChars="0"/>
              <w:jc w:val="center"/>
              <w:rPr>
                <w:rFonts w:ascii="Times New Roman" w:hAnsi="Times New Roman" w:eastAsia="宋体" w:cs="Times New Roman"/>
                <w:sz w:val="18"/>
                <w:szCs w:val="18"/>
                <w:highlight w:val="yellow"/>
              </w:rPr>
            </w:pPr>
            <w:r>
              <w:rPr>
                <w:rFonts w:hint="eastAsia" w:ascii="Times New Roman" w:hAnsi="Times New Roman" w:eastAsia="宋体" w:cs="Times New Roman"/>
                <w:sz w:val="18"/>
                <w:szCs w:val="18"/>
              </w:rPr>
              <w:t>胡朝东15997988598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6"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注意事项</w:t>
            </w:r>
          </w:p>
        </w:tc>
        <w:tc>
          <w:tcPr>
            <w:tcW w:w="8154" w:type="dxa"/>
            <w:gridSpan w:val="2"/>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（1）应急处置时注意防止中毒、窒息、烧烫伤；</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（2）及时将着火部位进行隔离，防止火灾进一步扩大；</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（3）不熟悉现场情况和灭火方法的人员不得进入危险区域 ;</w:t>
            </w:r>
          </w:p>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（4）应急救援结束后要全面检查，确认现场无火灾隐患</w:t>
            </w:r>
          </w:p>
        </w:tc>
      </w:tr>
    </w:tbl>
    <w:p>
      <w:pPr>
        <w:pStyle w:val="32"/>
        <w:spacing w:line="240" w:lineRule="auto"/>
        <w:ind w:firstLine="0" w:firstLineChars="0"/>
        <w:jc w:val="center"/>
        <w:rPr>
          <w:rFonts w:ascii="Times New Roman" w:eastAsia="宋体"/>
          <w:b/>
          <w:sz w:val="21"/>
          <w:szCs w:val="21"/>
        </w:rPr>
      </w:pPr>
      <w:r>
        <w:rPr>
          <w:rFonts w:ascii="Times New Roman" w:eastAsia="宋体"/>
          <w:b/>
          <w:sz w:val="21"/>
          <w:szCs w:val="21"/>
        </w:rPr>
        <w:t>危险废物泄漏、中毒和火灾伴生事故现场应急处置卡</w:t>
      </w:r>
    </w:p>
    <w:tbl>
      <w:tblPr>
        <w:tblStyle w:val="37"/>
        <w:tblW w:w="985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67"/>
        <w:gridCol w:w="6238"/>
        <w:gridCol w:w="194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7"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类别</w:t>
            </w:r>
          </w:p>
        </w:tc>
        <w:tc>
          <w:tcPr>
            <w:tcW w:w="8187" w:type="dxa"/>
            <w:gridSpan w:val="2"/>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内容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54" w:type="dxa"/>
            <w:gridSpan w:val="3"/>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风险描述：厂区内产生或储存的危险废物可能引发的泄漏、中毒和火灾伴生事故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7"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应急程序</w:t>
            </w:r>
          </w:p>
        </w:tc>
        <w:tc>
          <w:tcPr>
            <w:tcW w:w="6238"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应急处置操作</w:t>
            </w:r>
          </w:p>
        </w:tc>
        <w:tc>
          <w:tcPr>
            <w:tcW w:w="1949"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责任岗位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9" w:hRule="atLeast"/>
        </w:trPr>
        <w:tc>
          <w:tcPr>
            <w:tcW w:w="1667"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报告程序</w:t>
            </w:r>
          </w:p>
        </w:tc>
        <w:tc>
          <w:tcPr>
            <w:tcW w:w="6238"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现场人员通过手机或者对讲机向现场负责人汇报，负责人向指挥部汇报，事态紧急时现场工作人员直接向指挥部汇报</w:t>
            </w:r>
          </w:p>
        </w:tc>
        <w:tc>
          <w:tcPr>
            <w:tcW w:w="1949" w:type="dxa"/>
            <w:vMerge w:val="restart"/>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rPr>
              <w:t>曾治国18207241006</w:t>
            </w:r>
            <w:r>
              <w:rPr>
                <w:rFonts w:ascii="Times New Roman" w:hAnsi="Times New Roman" w:eastAsia="宋体" w:cs="Times New Roman"/>
                <w:sz w:val="18"/>
                <w:szCs w:val="18"/>
              </w:rPr>
              <w:t>/</w:t>
            </w:r>
            <w:r>
              <w:rPr>
                <w:rFonts w:ascii="Times New Roman" w:hAnsi="Times New Roman" w:cs="Times New Roman"/>
                <w:sz w:val="18"/>
                <w:szCs w:val="18"/>
              </w:rPr>
              <w:t>孙成斌13886500551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7"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上报内容</w:t>
            </w:r>
          </w:p>
        </w:tc>
        <w:tc>
          <w:tcPr>
            <w:tcW w:w="6238"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单位发生事故概况、事故发生时间、部门以及事故现场情况；事故简要经过；事故已造成的伤亡人数和初步统计的直接经济损失；已采取的措施等。</w:t>
            </w:r>
          </w:p>
        </w:tc>
        <w:tc>
          <w:tcPr>
            <w:tcW w:w="1949"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7"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预案启动</w:t>
            </w:r>
          </w:p>
        </w:tc>
        <w:tc>
          <w:tcPr>
            <w:tcW w:w="6238"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应急总指挥启动相应级别的应急预案</w:t>
            </w:r>
          </w:p>
        </w:tc>
        <w:tc>
          <w:tcPr>
            <w:tcW w:w="1949"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7"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排查</w:t>
            </w:r>
          </w:p>
        </w:tc>
        <w:tc>
          <w:tcPr>
            <w:tcW w:w="6238"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说明事件原因排查情况</w:t>
            </w:r>
          </w:p>
        </w:tc>
        <w:tc>
          <w:tcPr>
            <w:tcW w:w="1949" w:type="dxa"/>
            <w:vMerge w:val="continue"/>
            <w:vAlign w:val="center"/>
          </w:tcPr>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42" w:hRule="atLeast"/>
        </w:trPr>
        <w:tc>
          <w:tcPr>
            <w:tcW w:w="1667"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控源截污</w:t>
            </w:r>
          </w:p>
        </w:tc>
        <w:tc>
          <w:tcPr>
            <w:tcW w:w="6238" w:type="dxa"/>
            <w:vAlign w:val="center"/>
          </w:tcPr>
          <w:p>
            <w:pPr>
              <w:spacing w:line="276"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1.切断火源，小量泄漏：用吸油毡或黄沙以及其它惰性材料吸收。大量泄漏：构筑围堤或挖坑收容；用沙覆盖，降低蒸气灾害。回收或运至废物处理场所处置。流出时使用砂土围阻隔，防止进入下水道、排洪沟等限制空间，并避免造成更大范围的污染。</w:t>
            </w:r>
          </w:p>
          <w:p>
            <w:pPr>
              <w:spacing w:line="276"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2.截断中毒源：消除泄漏的源头，堵漏，避免毒害范围的扩大。</w:t>
            </w:r>
          </w:p>
          <w:p>
            <w:pPr>
              <w:spacing w:line="276"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3.迅速关闭流向火点的可燃液体开关，用土砂盖住地面流淌的可燃液体，或挖沟导流将流淌的可燃液体导向安全地点。另外，用毛毡堵住下水井、窨井口等处，防止火焰蔓延。</w:t>
            </w:r>
          </w:p>
        </w:tc>
        <w:tc>
          <w:tcPr>
            <w:tcW w:w="1949" w:type="dxa"/>
            <w:vAlign w:val="center"/>
          </w:tcPr>
          <w:p>
            <w:pPr>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吴汉平13797232799</w:t>
            </w:r>
          </w:p>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1" w:hRule="atLeast"/>
        </w:trPr>
        <w:tc>
          <w:tcPr>
            <w:tcW w:w="1667"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监测</w:t>
            </w:r>
          </w:p>
        </w:tc>
        <w:tc>
          <w:tcPr>
            <w:tcW w:w="6238" w:type="dxa"/>
            <w:vAlign w:val="center"/>
          </w:tcPr>
          <w:p>
            <w:pPr>
              <w:pStyle w:val="57"/>
              <w:spacing w:after="0"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当突发环境事件发生后，立即拨打赤壁市环境监测中心电话，由环保部门确定监测方案，现场监测，企业应全力配合。</w:t>
            </w:r>
          </w:p>
        </w:tc>
        <w:tc>
          <w:tcPr>
            <w:tcW w:w="1949" w:type="dxa"/>
            <w:vAlign w:val="center"/>
          </w:tcPr>
          <w:p>
            <w:pPr>
              <w:spacing w:line="240" w:lineRule="auto"/>
              <w:ind w:firstLine="0" w:firstLineChars="0"/>
              <w:jc w:val="center"/>
              <w:rPr>
                <w:rFonts w:ascii="Times New Roman" w:hAnsi="Times New Roman" w:eastAsia="宋体" w:cs="Times New Roman"/>
                <w:sz w:val="18"/>
                <w:szCs w:val="18"/>
                <w:highlight w:val="yellow"/>
              </w:rPr>
            </w:pPr>
            <w:r>
              <w:rPr>
                <w:rFonts w:hint="eastAsia" w:ascii="Times New Roman" w:hAnsi="Times New Roman" w:cs="Times New Roman"/>
                <w:sz w:val="18"/>
                <w:szCs w:val="18"/>
              </w:rPr>
              <w:t>刘志勇15207244545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7"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后勤保障</w:t>
            </w:r>
          </w:p>
        </w:tc>
        <w:tc>
          <w:tcPr>
            <w:tcW w:w="6238"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危险废物暂存间配有消防栓、灭火器等一系列事故必要的安全工具。</w:t>
            </w:r>
          </w:p>
        </w:tc>
        <w:tc>
          <w:tcPr>
            <w:tcW w:w="1949" w:type="dxa"/>
            <w:vAlign w:val="center"/>
          </w:tcPr>
          <w:p>
            <w:pPr>
              <w:spacing w:line="240" w:lineRule="auto"/>
              <w:ind w:firstLine="0" w:firstLineChars="0"/>
              <w:jc w:val="center"/>
              <w:rPr>
                <w:rFonts w:ascii="Times New Roman" w:hAnsi="Times New Roman" w:eastAsia="宋体" w:cs="Times New Roman"/>
                <w:sz w:val="18"/>
                <w:szCs w:val="18"/>
                <w:highlight w:val="yellow"/>
              </w:rPr>
            </w:pPr>
            <w:r>
              <w:rPr>
                <w:rFonts w:hint="eastAsia" w:ascii="Times New Roman" w:hAnsi="Times New Roman" w:eastAsia="宋体" w:cs="Times New Roman"/>
                <w:sz w:val="18"/>
                <w:szCs w:val="18"/>
              </w:rPr>
              <w:t>宋明舟13617156133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7"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恢复处置</w:t>
            </w:r>
          </w:p>
        </w:tc>
        <w:tc>
          <w:tcPr>
            <w:tcW w:w="6238" w:type="dxa"/>
            <w:vAlign w:val="center"/>
          </w:tcPr>
          <w:p>
            <w:pPr>
              <w:pStyle w:val="57"/>
              <w:spacing w:after="0" w:line="240" w:lineRule="auto"/>
              <w:ind w:firstLine="360"/>
              <w:rPr>
                <w:rFonts w:ascii="Times New Roman" w:hAnsi="Times New Roman" w:eastAsia="宋体" w:cs="Times New Roman"/>
                <w:sz w:val="18"/>
                <w:szCs w:val="18"/>
              </w:rPr>
            </w:pPr>
            <w:r>
              <w:rPr>
                <w:rFonts w:ascii="Times New Roman" w:hAnsi="Times New Roman" w:eastAsia="宋体" w:cs="Times New Roman"/>
                <w:sz w:val="18"/>
                <w:szCs w:val="18"/>
              </w:rPr>
              <w:t>（1）根据险情分析，消除险情后果的影响，恢复生产。</w:t>
            </w:r>
          </w:p>
          <w:p>
            <w:pPr>
              <w:pStyle w:val="57"/>
              <w:spacing w:after="0" w:line="240" w:lineRule="auto"/>
              <w:ind w:firstLine="360"/>
              <w:rPr>
                <w:rFonts w:ascii="Times New Roman" w:hAnsi="Times New Roman" w:eastAsia="宋体" w:cs="Times New Roman"/>
                <w:sz w:val="18"/>
                <w:szCs w:val="18"/>
              </w:rPr>
            </w:pPr>
            <w:r>
              <w:rPr>
                <w:rFonts w:ascii="Times New Roman" w:hAnsi="Times New Roman" w:eastAsia="宋体" w:cs="Times New Roman"/>
                <w:sz w:val="18"/>
                <w:szCs w:val="18"/>
              </w:rPr>
              <w:t>（2）及时补充消耗的应急抢险器材。</w:t>
            </w:r>
          </w:p>
          <w:p>
            <w:pPr>
              <w:pStyle w:val="57"/>
              <w:spacing w:after="0" w:line="240" w:lineRule="auto"/>
              <w:ind w:firstLine="360"/>
              <w:rPr>
                <w:rFonts w:ascii="Times New Roman" w:hAnsi="Times New Roman" w:eastAsia="宋体" w:cs="Times New Roman"/>
                <w:sz w:val="18"/>
                <w:szCs w:val="18"/>
              </w:rPr>
            </w:pPr>
            <w:r>
              <w:rPr>
                <w:rFonts w:ascii="Times New Roman" w:hAnsi="Times New Roman" w:eastAsia="宋体" w:cs="Times New Roman"/>
                <w:sz w:val="18"/>
                <w:szCs w:val="18"/>
              </w:rPr>
              <w:t>（3）配合主管部门根据险情情况做好善后工作。</w:t>
            </w:r>
          </w:p>
          <w:p>
            <w:pPr>
              <w:pStyle w:val="57"/>
              <w:spacing w:after="0" w:line="240" w:lineRule="auto"/>
              <w:ind w:firstLine="360"/>
              <w:rPr>
                <w:rFonts w:ascii="Times New Roman" w:hAnsi="Times New Roman" w:eastAsia="宋体" w:cs="Times New Roman"/>
                <w:sz w:val="18"/>
                <w:szCs w:val="18"/>
              </w:rPr>
            </w:pPr>
            <w:r>
              <w:rPr>
                <w:rFonts w:ascii="Times New Roman" w:hAnsi="Times New Roman" w:eastAsia="宋体" w:cs="Times New Roman"/>
                <w:sz w:val="18"/>
                <w:szCs w:val="18"/>
              </w:rPr>
              <w:t>（4）根据险情应急抢险情况完善公司的应急救援能力和应急预案。</w:t>
            </w:r>
          </w:p>
        </w:tc>
        <w:tc>
          <w:tcPr>
            <w:tcW w:w="1949" w:type="dxa"/>
            <w:vAlign w:val="center"/>
          </w:tcPr>
          <w:p>
            <w:pPr>
              <w:spacing w:line="240" w:lineRule="auto"/>
              <w:ind w:firstLine="0" w:firstLineChars="0"/>
              <w:jc w:val="center"/>
              <w:rPr>
                <w:rFonts w:ascii="Times New Roman" w:hAnsi="Times New Roman" w:eastAsia="宋体" w:cs="Times New Roman"/>
                <w:sz w:val="18"/>
                <w:szCs w:val="18"/>
                <w:highlight w:val="yellow"/>
              </w:rPr>
            </w:pPr>
            <w:r>
              <w:rPr>
                <w:rFonts w:hint="eastAsia" w:ascii="Times New Roman" w:hAnsi="Times New Roman" w:eastAsia="宋体" w:cs="Times New Roman"/>
                <w:sz w:val="18"/>
                <w:szCs w:val="18"/>
              </w:rPr>
              <w:t>胡朝东15997988598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7" w:type="dxa"/>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后续处理</w:t>
            </w:r>
          </w:p>
        </w:tc>
        <w:tc>
          <w:tcPr>
            <w:tcW w:w="8187" w:type="dxa"/>
            <w:gridSpan w:val="2"/>
            <w:vAlign w:val="center"/>
          </w:tcPr>
          <w:p>
            <w:pPr>
              <w:spacing w:line="240" w:lineRule="auto"/>
              <w:ind w:firstLine="0" w:firstLineChars="0"/>
              <w:jc w:val="center"/>
              <w:rPr>
                <w:rFonts w:ascii="Times New Roman" w:hAnsi="Times New Roman" w:eastAsia="宋体" w:cs="Times New Roman"/>
                <w:b/>
                <w:bCs/>
                <w:sz w:val="18"/>
                <w:szCs w:val="18"/>
              </w:rPr>
            </w:pPr>
            <w:r>
              <w:rPr>
                <w:rFonts w:ascii="Times New Roman" w:hAnsi="Times New Roman" w:eastAsia="宋体" w:cs="Times New Roman"/>
                <w:sz w:val="18"/>
                <w:szCs w:val="18"/>
              </w:rPr>
              <w:t>现场应急救援指挥部认真分析总结事故经验教训，提出改进应急救援工作的建议。根据调查所获得数据，以及事件发生的原因、过程、进展情况及采取的应急措施等基本情况，填写突发环境事件报告单，以书面形式报告处理事件的措施、过程和结果，事件潜在或间接的危害、社会影响、处理后的遗留问题，参加处理工作的有关部门和工作内容，最终形成应急救援总结报告及时上报上级有关部门备案。</w:t>
            </w:r>
          </w:p>
        </w:tc>
      </w:tr>
    </w:tbl>
    <w:p>
      <w:pPr>
        <w:pStyle w:val="32"/>
        <w:spacing w:line="240" w:lineRule="auto"/>
        <w:ind w:firstLine="398"/>
        <w:jc w:val="center"/>
        <w:rPr>
          <w:rFonts w:ascii="Times New Roman" w:eastAsia="宋体"/>
          <w:b/>
          <w:sz w:val="21"/>
          <w:szCs w:val="21"/>
        </w:rPr>
      </w:pPr>
      <w:r>
        <w:rPr>
          <w:rFonts w:ascii="Times New Roman" w:eastAsia="宋体"/>
          <w:b/>
          <w:sz w:val="21"/>
          <w:szCs w:val="21"/>
        </w:rPr>
        <w:t>汛期现场应急处置卡</w:t>
      </w:r>
    </w:p>
    <w:tbl>
      <w:tblPr>
        <w:tblStyle w:val="37"/>
        <w:tblW w:w="996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99"/>
        <w:gridCol w:w="6734"/>
        <w:gridCol w:w="182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1399" w:type="dxa"/>
            <w:vAlign w:val="center"/>
          </w:tcPr>
          <w:p>
            <w:pPr>
              <w:spacing w:line="276" w:lineRule="auto"/>
              <w:ind w:firstLine="0" w:firstLineChars="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类别</w:t>
            </w:r>
          </w:p>
        </w:tc>
        <w:tc>
          <w:tcPr>
            <w:tcW w:w="8563" w:type="dxa"/>
            <w:gridSpan w:val="2"/>
            <w:vAlign w:val="center"/>
          </w:tcPr>
          <w:p>
            <w:pPr>
              <w:spacing w:line="276" w:lineRule="auto"/>
              <w:ind w:firstLine="0" w:firstLineChars="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内容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62" w:type="dxa"/>
            <w:gridSpan w:val="3"/>
            <w:vAlign w:val="center"/>
          </w:tcPr>
          <w:p>
            <w:pPr>
              <w:spacing w:line="276"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风险描述：汛期造成雨水倒灌，设备被淹，或厂区污水外溢，影响厂外水环境。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99" w:type="dxa"/>
            <w:vAlign w:val="center"/>
          </w:tcPr>
          <w:p>
            <w:pPr>
              <w:spacing w:line="276" w:lineRule="auto"/>
              <w:ind w:firstLine="0" w:firstLineChars="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应急程序</w:t>
            </w:r>
          </w:p>
        </w:tc>
        <w:tc>
          <w:tcPr>
            <w:tcW w:w="6734" w:type="dxa"/>
            <w:vAlign w:val="center"/>
          </w:tcPr>
          <w:p>
            <w:pPr>
              <w:spacing w:line="276" w:lineRule="auto"/>
              <w:ind w:firstLine="0" w:firstLineChars="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应急处置操作</w:t>
            </w:r>
          </w:p>
        </w:tc>
        <w:tc>
          <w:tcPr>
            <w:tcW w:w="1829" w:type="dxa"/>
            <w:vAlign w:val="center"/>
          </w:tcPr>
          <w:p>
            <w:pPr>
              <w:spacing w:line="276" w:lineRule="auto"/>
              <w:ind w:firstLine="0" w:firstLineChars="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责任岗位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99" w:type="dxa"/>
            <w:vAlign w:val="center"/>
          </w:tcPr>
          <w:p>
            <w:pPr>
              <w:spacing w:line="276"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报告程序</w:t>
            </w:r>
          </w:p>
        </w:tc>
        <w:tc>
          <w:tcPr>
            <w:tcW w:w="6734" w:type="dxa"/>
            <w:vAlign w:val="center"/>
          </w:tcPr>
          <w:p>
            <w:pPr>
              <w:spacing w:line="276"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应急总指挥或副总指挥组织主持召开灾害性天气会商，各部门主要负责人参加，做出相应的工作部署并将有关情况上报上级</w:t>
            </w:r>
          </w:p>
        </w:tc>
        <w:tc>
          <w:tcPr>
            <w:tcW w:w="1829" w:type="dxa"/>
            <w:vMerge w:val="restart"/>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rPr>
              <w:t>曾治国18207241006</w:t>
            </w:r>
            <w:r>
              <w:rPr>
                <w:rFonts w:ascii="Times New Roman" w:hAnsi="Times New Roman" w:eastAsia="宋体" w:cs="Times New Roman"/>
                <w:sz w:val="18"/>
                <w:szCs w:val="18"/>
              </w:rPr>
              <w:t>/</w:t>
            </w:r>
            <w:r>
              <w:rPr>
                <w:rFonts w:ascii="Times New Roman" w:hAnsi="Times New Roman" w:cs="Times New Roman"/>
                <w:sz w:val="18"/>
                <w:szCs w:val="18"/>
              </w:rPr>
              <w:t>孙成斌13886500551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99" w:type="dxa"/>
            <w:vAlign w:val="center"/>
          </w:tcPr>
          <w:p>
            <w:pPr>
              <w:spacing w:line="276"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上报内容</w:t>
            </w:r>
          </w:p>
        </w:tc>
        <w:tc>
          <w:tcPr>
            <w:tcW w:w="6734" w:type="dxa"/>
            <w:vAlign w:val="center"/>
          </w:tcPr>
          <w:p>
            <w:pPr>
              <w:spacing w:line="276"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暴雨程度，雨水管道出现雨水外涌情况，厂区积水程度，工艺运行状况，已采用的应急措施、紧急处理后进展情况</w:t>
            </w:r>
          </w:p>
        </w:tc>
        <w:tc>
          <w:tcPr>
            <w:tcW w:w="1829" w:type="dxa"/>
            <w:vMerge w:val="continue"/>
            <w:vAlign w:val="center"/>
          </w:tcPr>
          <w:p>
            <w:pPr>
              <w:spacing w:line="276" w:lineRule="auto"/>
              <w:ind w:firstLine="360"/>
              <w:jc w:val="center"/>
              <w:rPr>
                <w:rFonts w:ascii="Times New Roman" w:hAnsi="Times New Roman" w:eastAsia="宋体"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99" w:type="dxa"/>
            <w:vAlign w:val="center"/>
          </w:tcPr>
          <w:p>
            <w:pPr>
              <w:spacing w:line="276"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预案启动</w:t>
            </w:r>
          </w:p>
        </w:tc>
        <w:tc>
          <w:tcPr>
            <w:tcW w:w="6734" w:type="dxa"/>
            <w:vAlign w:val="center"/>
          </w:tcPr>
          <w:p>
            <w:pPr>
              <w:spacing w:line="276"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应急总指挥启动相应级别的应急预案</w:t>
            </w:r>
          </w:p>
        </w:tc>
        <w:tc>
          <w:tcPr>
            <w:tcW w:w="1829" w:type="dxa"/>
            <w:vMerge w:val="continue"/>
            <w:vAlign w:val="center"/>
          </w:tcPr>
          <w:p>
            <w:pPr>
              <w:spacing w:line="276" w:lineRule="auto"/>
              <w:ind w:firstLine="0" w:firstLineChars="0"/>
              <w:jc w:val="center"/>
              <w:rPr>
                <w:rFonts w:ascii="Times New Roman" w:hAnsi="Times New Roman" w:eastAsia="宋体"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9" w:hRule="atLeast"/>
        </w:trPr>
        <w:tc>
          <w:tcPr>
            <w:tcW w:w="1399" w:type="dxa"/>
            <w:vAlign w:val="center"/>
          </w:tcPr>
          <w:p>
            <w:pPr>
              <w:spacing w:line="276"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控源截污</w:t>
            </w:r>
          </w:p>
        </w:tc>
        <w:tc>
          <w:tcPr>
            <w:tcW w:w="6734" w:type="dxa"/>
            <w:vAlign w:val="center"/>
          </w:tcPr>
          <w:p>
            <w:pPr>
              <w:spacing w:line="276"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1一般情况：在保证厂内正常生产同时加强监控，戒备重点为排放口，防止河水倒灌；检查电缆沟，发现电缆沟有积水时，及时抽掉，保持电缆沟无积水。</w:t>
            </w:r>
          </w:p>
          <w:p>
            <w:pPr>
              <w:spacing w:line="276"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2.局部停产：关闭出水排放口自排闸门并开启出水排放泵。对于已出现险情及易发生险情地段部位进行局部停产，对重点危险投放砂包围堵，如总配电间、事故池排口，防止污水进入污水处理系统。</w:t>
            </w:r>
          </w:p>
          <w:p>
            <w:pPr>
              <w:spacing w:line="276"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3.完全停产：车间、仓库、总配电间并切断电源。加强巡查与抢险；危险区域、地段人员避险转移；做好洪水灾害防范。</w:t>
            </w:r>
          </w:p>
          <w:p>
            <w:pPr>
              <w:spacing w:line="276"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4.撤离：人员撤出前做好防护措施，在危险设备、设施处悬挂警示牌，危险区域拉起警示链；关闭并锁好各个部门门窗及文件柜。</w:t>
            </w:r>
          </w:p>
        </w:tc>
        <w:tc>
          <w:tcPr>
            <w:tcW w:w="1829" w:type="dxa"/>
            <w:vAlign w:val="center"/>
          </w:tcPr>
          <w:p>
            <w:pPr>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吴汉平13797232799</w:t>
            </w:r>
          </w:p>
          <w:p>
            <w:pPr>
              <w:spacing w:line="240" w:lineRule="auto"/>
              <w:ind w:firstLine="0" w:firstLineChars="0"/>
              <w:jc w:val="center"/>
              <w:rPr>
                <w:rFonts w:ascii="Times New Roman" w:hAnsi="Times New Roman" w:eastAsia="宋体"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1" w:hRule="atLeast"/>
        </w:trPr>
        <w:tc>
          <w:tcPr>
            <w:tcW w:w="1399" w:type="dxa"/>
            <w:vAlign w:val="center"/>
          </w:tcPr>
          <w:p>
            <w:pPr>
              <w:spacing w:line="276"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监测</w:t>
            </w:r>
          </w:p>
        </w:tc>
        <w:tc>
          <w:tcPr>
            <w:tcW w:w="6734" w:type="dxa"/>
            <w:vAlign w:val="center"/>
          </w:tcPr>
          <w:p>
            <w:pPr>
              <w:spacing w:line="276"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应急监测组持续监测进出水水质情况，了解浓度变化</w:t>
            </w:r>
          </w:p>
        </w:tc>
        <w:tc>
          <w:tcPr>
            <w:tcW w:w="1829" w:type="dxa"/>
            <w:vAlign w:val="center"/>
          </w:tcPr>
          <w:p>
            <w:pPr>
              <w:spacing w:line="240" w:lineRule="auto"/>
              <w:ind w:firstLine="0" w:firstLineChars="0"/>
              <w:jc w:val="center"/>
              <w:rPr>
                <w:rFonts w:ascii="Times New Roman" w:hAnsi="Times New Roman" w:eastAsia="宋体" w:cs="Times New Roman"/>
                <w:sz w:val="18"/>
                <w:szCs w:val="18"/>
                <w:highlight w:val="yellow"/>
              </w:rPr>
            </w:pPr>
            <w:r>
              <w:rPr>
                <w:rFonts w:hint="eastAsia" w:ascii="Times New Roman" w:hAnsi="Times New Roman" w:cs="Times New Roman"/>
                <w:sz w:val="18"/>
                <w:szCs w:val="18"/>
              </w:rPr>
              <w:t>刘志勇15207244545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99" w:type="dxa"/>
            <w:vAlign w:val="center"/>
          </w:tcPr>
          <w:p>
            <w:pPr>
              <w:spacing w:line="276"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后勤保障</w:t>
            </w:r>
          </w:p>
        </w:tc>
        <w:tc>
          <w:tcPr>
            <w:tcW w:w="6734" w:type="dxa"/>
            <w:vAlign w:val="center"/>
          </w:tcPr>
          <w:p>
            <w:pPr>
              <w:spacing w:line="276"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确保设备运行正常、电力供应正常，防汛物资补充正常</w:t>
            </w:r>
          </w:p>
        </w:tc>
        <w:tc>
          <w:tcPr>
            <w:tcW w:w="1829" w:type="dxa"/>
            <w:vAlign w:val="center"/>
          </w:tcPr>
          <w:p>
            <w:pPr>
              <w:spacing w:line="240" w:lineRule="auto"/>
              <w:ind w:firstLine="0" w:firstLineChars="0"/>
              <w:jc w:val="center"/>
              <w:rPr>
                <w:rFonts w:ascii="Times New Roman" w:hAnsi="Times New Roman" w:eastAsia="宋体" w:cs="Times New Roman"/>
                <w:sz w:val="18"/>
                <w:szCs w:val="18"/>
                <w:highlight w:val="yellow"/>
              </w:rPr>
            </w:pPr>
            <w:r>
              <w:rPr>
                <w:rFonts w:hint="eastAsia" w:ascii="Times New Roman" w:hAnsi="Times New Roman" w:eastAsia="宋体" w:cs="Times New Roman"/>
                <w:sz w:val="18"/>
                <w:szCs w:val="18"/>
              </w:rPr>
              <w:t>宋明舟13617156133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99" w:type="dxa"/>
            <w:vAlign w:val="center"/>
          </w:tcPr>
          <w:p>
            <w:pPr>
              <w:spacing w:line="276"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恢复处置</w:t>
            </w:r>
          </w:p>
        </w:tc>
        <w:tc>
          <w:tcPr>
            <w:tcW w:w="6734" w:type="dxa"/>
            <w:vAlign w:val="center"/>
          </w:tcPr>
          <w:p>
            <w:pPr>
              <w:spacing w:line="276"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检查检修电气及机械设备、恢复供水、供电、修复道路，恢复生产。</w:t>
            </w:r>
          </w:p>
        </w:tc>
        <w:tc>
          <w:tcPr>
            <w:tcW w:w="1829" w:type="dxa"/>
            <w:vAlign w:val="center"/>
          </w:tcPr>
          <w:p>
            <w:pPr>
              <w:spacing w:line="240" w:lineRule="auto"/>
              <w:ind w:firstLine="0" w:firstLineChars="0"/>
              <w:jc w:val="center"/>
              <w:rPr>
                <w:rFonts w:ascii="Times New Roman" w:hAnsi="Times New Roman" w:eastAsia="宋体" w:cs="Times New Roman"/>
                <w:sz w:val="18"/>
                <w:szCs w:val="18"/>
                <w:highlight w:val="yellow"/>
              </w:rPr>
            </w:pPr>
            <w:r>
              <w:rPr>
                <w:rFonts w:hint="eastAsia" w:ascii="Times New Roman" w:hAnsi="Times New Roman" w:eastAsia="宋体" w:cs="Times New Roman"/>
                <w:sz w:val="18"/>
                <w:szCs w:val="18"/>
              </w:rPr>
              <w:t>胡朝东15997988598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86" w:hRule="atLeast"/>
        </w:trPr>
        <w:tc>
          <w:tcPr>
            <w:tcW w:w="1399" w:type="dxa"/>
            <w:vAlign w:val="center"/>
          </w:tcPr>
          <w:p>
            <w:pPr>
              <w:spacing w:line="276"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注意事项</w:t>
            </w:r>
          </w:p>
        </w:tc>
        <w:tc>
          <w:tcPr>
            <w:tcW w:w="8563" w:type="dxa"/>
            <w:gridSpan w:val="2"/>
            <w:vAlign w:val="center"/>
          </w:tcPr>
          <w:p>
            <w:pPr>
              <w:spacing w:line="276"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1.检查加固防洪设施、水沟等排水设施，对受灾地段进行消毒处理，防止疫情发生；</w:t>
            </w:r>
          </w:p>
          <w:p>
            <w:pPr>
              <w:spacing w:line="276"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2.若出现超出企业应急能力的情况，及时向外部请求支援，并根据当地环保部门的要求及专家的意见对事态进行控制，在外部救援力量抵达现场时，全力配合应急抢险工作。</w:t>
            </w:r>
          </w:p>
        </w:tc>
      </w:tr>
    </w:tbl>
    <w:p>
      <w:pPr>
        <w:pStyle w:val="57"/>
        <w:adjustRightInd w:val="0"/>
        <w:snapToGrid w:val="0"/>
        <w:spacing w:after="0"/>
        <w:ind w:firstLine="0" w:firstLineChars="0"/>
        <w:rPr>
          <w:rFonts w:ascii="Times New Roman" w:hAnsi="Times New Roman" w:eastAsia="宋体" w:cs="Times New Roman"/>
          <w:b/>
          <w:sz w:val="32"/>
          <w:szCs w:val="32"/>
        </w:rPr>
      </w:pPr>
      <w:r>
        <w:rPr>
          <w:rFonts w:ascii="Times New Roman" w:hAnsi="Times New Roman" w:eastAsia="宋体" w:cs="Times New Roman"/>
          <w:b/>
          <w:sz w:val="32"/>
          <w:szCs w:val="32"/>
        </w:rPr>
        <w:t>5、注意事项</w:t>
      </w:r>
    </w:p>
    <w:p>
      <w:pPr>
        <w:autoSpaceDE w:val="0"/>
        <w:autoSpaceDN w:val="0"/>
        <w:adjustRightInd w:val="0"/>
        <w:snapToGri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1）严禁未经专门培训、未佩戴防护用品的人员参与现场抢险。防毒面具只能在短时间、轻微泄漏或处置残存氨的情况下使用。当发生大量泄漏时，抢险人员（包括消防队员）必须使用正压式空气呼吸器、全封闭防化服。</w:t>
      </w:r>
    </w:p>
    <w:p>
      <w:pPr>
        <w:autoSpaceDE w:val="0"/>
        <w:autoSpaceDN w:val="0"/>
        <w:adjustRightInd w:val="0"/>
        <w:snapToGri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2）进入事故现场必须看清风向，人员保持在上风口范围，并应注意人员的着装、用具必须符合防爆要求，避免产生静电和火花。在火场中或在有烟的室内行走，应尽量低身弯腰经降低高度，防止窒息；自救时切忌乱跑，不要用手扑打火焰，以免引起面部、呼吸道和双手烧伤。</w:t>
      </w:r>
    </w:p>
    <w:p>
      <w:pPr>
        <w:autoSpaceDE w:val="0"/>
        <w:autoSpaceDN w:val="0"/>
        <w:adjustRightInd w:val="0"/>
        <w:snapToGrid w:val="0"/>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（3）发生火灾事故及时疏散无关人员，尽量减少前方作战人员数量，注意抢救人员自身安全，做好自身防护措施，遵循一下原则：</w:t>
      </w:r>
    </w:p>
    <w:p>
      <w:pPr>
        <w:autoSpaceDE w:val="0"/>
        <w:autoSpaceDN w:val="0"/>
        <w:adjustRightInd w:val="0"/>
        <w:snapToGrid w:val="0"/>
        <w:ind w:firstLine="480"/>
        <w:jc w:val="left"/>
        <w:rPr>
          <w:rFonts w:cs="Times New Roman" w:asciiTheme="minorEastAsia" w:hAnsiTheme="minorEastAsia"/>
          <w:kern w:val="0"/>
          <w:szCs w:val="24"/>
        </w:rPr>
      </w:pPr>
      <w:r>
        <w:rPr>
          <w:rFonts w:cs="Times New Roman" w:asciiTheme="minorEastAsia" w:hAnsiTheme="minorEastAsia"/>
          <w:kern w:val="0"/>
          <w:szCs w:val="24"/>
        </w:rPr>
        <w:t>①先救人，后灭火：火场上如果有人受到火势威胁，首要任务是把被火围困的人员抢救出来。</w:t>
      </w:r>
    </w:p>
    <w:p>
      <w:pPr>
        <w:autoSpaceDE w:val="0"/>
        <w:autoSpaceDN w:val="0"/>
        <w:adjustRightInd w:val="0"/>
        <w:snapToGrid w:val="0"/>
        <w:ind w:firstLine="480"/>
        <w:jc w:val="left"/>
        <w:rPr>
          <w:rFonts w:cs="Times New Roman" w:asciiTheme="minorEastAsia" w:hAnsiTheme="minorEastAsia"/>
          <w:kern w:val="0"/>
          <w:szCs w:val="24"/>
        </w:rPr>
      </w:pPr>
      <w:r>
        <w:rPr>
          <w:rFonts w:cs="Times New Roman" w:asciiTheme="minorEastAsia" w:hAnsiTheme="minorEastAsia"/>
          <w:kern w:val="0"/>
          <w:szCs w:val="24"/>
        </w:rPr>
        <w:t>②先控制，后消灭：对于不可能立即扑灭的火灾，要首先控制火势的继续蔓延扩大，在具备了扑灭火灾的条件时，展开攻势，扑灭火灾。</w:t>
      </w:r>
    </w:p>
    <w:p>
      <w:pPr>
        <w:autoSpaceDE w:val="0"/>
        <w:autoSpaceDN w:val="0"/>
        <w:adjustRightInd w:val="0"/>
        <w:snapToGrid w:val="0"/>
        <w:ind w:firstLine="480"/>
        <w:jc w:val="left"/>
        <w:rPr>
          <w:rFonts w:ascii="Times New Roman" w:hAnsi="Times New Roman" w:eastAsia="宋体" w:cs="Times New Roman"/>
          <w:kern w:val="0"/>
          <w:szCs w:val="24"/>
        </w:rPr>
      </w:pPr>
      <w:r>
        <w:rPr>
          <w:rFonts w:cs="Times New Roman" w:asciiTheme="minorEastAsia" w:hAnsiTheme="minorEastAsia"/>
          <w:kern w:val="0"/>
          <w:szCs w:val="24"/>
        </w:rPr>
        <w:t>③先重</w:t>
      </w:r>
      <w:r>
        <w:rPr>
          <w:rFonts w:ascii="Times New Roman" w:hAnsi="Times New Roman" w:eastAsia="宋体" w:cs="Times New Roman"/>
          <w:kern w:val="0"/>
          <w:szCs w:val="24"/>
        </w:rPr>
        <w:t>点，后一般：在全面了解并认真分析整个火场的情况后，要分清轻、重、缓、急。</w:t>
      </w:r>
    </w:p>
    <w:p>
      <w:pPr>
        <w:pStyle w:val="2"/>
        <w:rPr>
          <w:rFonts w:ascii="Times New Roman" w:hAnsi="Times New Roman" w:eastAsia="宋体" w:cs="Times New Roman"/>
          <w:color w:val="auto"/>
        </w:rPr>
        <w:sectPr>
          <w:pgSz w:w="11906" w:h="16838"/>
          <w:pgMar w:top="1440" w:right="1080" w:bottom="1440" w:left="1080" w:header="851" w:footer="992" w:gutter="0"/>
          <w:pgNumType w:fmt="numberInDash"/>
          <w:cols w:space="425" w:num="1"/>
          <w:docGrid w:type="lines" w:linePitch="326" w:charSpace="0"/>
        </w:sectPr>
      </w:pPr>
    </w:p>
    <w:p>
      <w:pPr>
        <w:pStyle w:val="6"/>
        <w:rPr>
          <w:rFonts w:ascii="Times New Roman" w:hAnsi="Times New Roman" w:eastAsia="宋体" w:cs="Times New Roman"/>
          <w:kern w:val="0"/>
          <w:szCs w:val="24"/>
        </w:rPr>
      </w:pPr>
      <w:bookmarkStart w:id="1215" w:name="_Toc529542678"/>
      <w:bookmarkStart w:id="1216" w:name="_Toc132468890"/>
      <w:bookmarkStart w:id="1217" w:name="_Toc8493"/>
      <w:bookmarkStart w:id="1218" w:name="_Toc11983"/>
      <w:r>
        <w:rPr>
          <w:rFonts w:ascii="Times New Roman" w:hAnsi="Times New Roman" w:eastAsia="宋体" w:cs="Times New Roman"/>
        </w:rPr>
        <w:t>附图附件</w:t>
      </w:r>
      <w:bookmarkEnd w:id="1206"/>
      <w:bookmarkEnd w:id="1207"/>
      <w:bookmarkEnd w:id="1215"/>
      <w:bookmarkEnd w:id="1216"/>
      <w:bookmarkEnd w:id="1217"/>
      <w:bookmarkEnd w:id="1218"/>
    </w:p>
    <w:p>
      <w:pPr>
        <w:pStyle w:val="13"/>
        <w:ind w:firstLine="562"/>
        <w:rPr>
          <w:rFonts w:ascii="Times New Roman" w:hAnsi="Times New Roman" w:cs="Times New Roman"/>
          <w:b/>
          <w:bCs/>
          <w:sz w:val="28"/>
          <w:szCs w:val="28"/>
        </w:rPr>
      </w:pPr>
      <w:r>
        <w:rPr>
          <w:rFonts w:ascii="Times New Roman" w:hAnsi="Times New Roman" w:cs="Times New Roman"/>
          <w:b/>
          <w:bCs/>
          <w:sz w:val="28"/>
          <w:szCs w:val="28"/>
        </w:rPr>
        <w:t>附图：</w:t>
      </w:r>
    </w:p>
    <w:p>
      <w:pPr>
        <w:pStyle w:val="13"/>
        <w:numPr>
          <w:ilvl w:val="0"/>
          <w:numId w:val="6"/>
        </w:numPr>
        <w:ind w:firstLine="480"/>
        <w:rPr>
          <w:rFonts w:ascii="Times New Roman" w:hAnsi="Times New Roman" w:cs="Times New Roman"/>
        </w:rPr>
      </w:pPr>
      <w:r>
        <w:rPr>
          <w:rFonts w:ascii="Times New Roman" w:hAnsi="Times New Roman" w:cs="Times New Roman"/>
        </w:rPr>
        <w:t>企业地理位置图；</w:t>
      </w:r>
    </w:p>
    <w:p>
      <w:pPr>
        <w:pStyle w:val="13"/>
        <w:numPr>
          <w:ilvl w:val="0"/>
          <w:numId w:val="6"/>
        </w:numPr>
        <w:ind w:firstLine="480"/>
        <w:rPr>
          <w:rFonts w:ascii="Times New Roman" w:hAnsi="Times New Roman" w:cs="Times New Roman"/>
        </w:rPr>
      </w:pPr>
      <w:r>
        <w:rPr>
          <w:rFonts w:ascii="Times New Roman" w:hAnsi="Times New Roman" w:cs="Times New Roman"/>
        </w:rPr>
        <w:t>厂区平面图及应急资源分布图；</w:t>
      </w:r>
    </w:p>
    <w:p>
      <w:pPr>
        <w:pStyle w:val="13"/>
        <w:numPr>
          <w:ilvl w:val="0"/>
          <w:numId w:val="6"/>
        </w:numPr>
        <w:ind w:firstLine="480"/>
        <w:rPr>
          <w:rFonts w:ascii="Times New Roman" w:hAnsi="Times New Roman" w:cs="Times New Roman"/>
        </w:rPr>
      </w:pPr>
      <w:r>
        <w:rPr>
          <w:rFonts w:ascii="Times New Roman" w:hAnsi="Times New Roman" w:cs="Times New Roman"/>
        </w:rPr>
        <w:t>周边环境关系图；</w:t>
      </w:r>
    </w:p>
    <w:p>
      <w:pPr>
        <w:pStyle w:val="13"/>
        <w:numPr>
          <w:ilvl w:val="0"/>
          <w:numId w:val="6"/>
        </w:numPr>
        <w:ind w:firstLine="480"/>
        <w:rPr>
          <w:rFonts w:ascii="Times New Roman" w:hAnsi="Times New Roman" w:cs="Times New Roman"/>
        </w:rPr>
      </w:pPr>
      <w:r>
        <w:rPr>
          <w:rFonts w:ascii="Times New Roman" w:hAnsi="Times New Roman" w:cs="Times New Roman"/>
        </w:rPr>
        <w:t>厂区</w:t>
      </w:r>
      <w:r>
        <w:rPr>
          <w:rFonts w:hint="eastAsia" w:ascii="Times New Roman" w:hAnsi="Times New Roman" w:cs="Times New Roman"/>
        </w:rPr>
        <w:t>雨污管网</w:t>
      </w:r>
      <w:r>
        <w:rPr>
          <w:rFonts w:ascii="Times New Roman" w:hAnsi="Times New Roman" w:cs="Times New Roman"/>
        </w:rPr>
        <w:t>图；</w:t>
      </w:r>
    </w:p>
    <w:p>
      <w:pPr>
        <w:pStyle w:val="13"/>
        <w:numPr>
          <w:ilvl w:val="0"/>
          <w:numId w:val="6"/>
        </w:numPr>
        <w:ind w:firstLine="480"/>
        <w:rPr>
          <w:rFonts w:ascii="Times New Roman" w:hAnsi="Times New Roman" w:cs="Times New Roman"/>
        </w:rPr>
      </w:pPr>
      <w:r>
        <w:rPr>
          <w:rFonts w:ascii="Times New Roman" w:hAnsi="Times New Roman" w:cs="Times New Roman"/>
        </w:rPr>
        <w:t>厂区</w:t>
      </w:r>
      <w:r>
        <w:rPr>
          <w:rFonts w:hint="eastAsia" w:ascii="Times New Roman" w:hAnsi="Times New Roman" w:cs="Times New Roman"/>
        </w:rPr>
        <w:t>燃气管道图</w:t>
      </w:r>
      <w:r>
        <w:rPr>
          <w:rFonts w:ascii="Times New Roman" w:hAnsi="Times New Roman" w:cs="Times New Roman"/>
        </w:rPr>
        <w:t>；</w:t>
      </w:r>
    </w:p>
    <w:p>
      <w:pPr>
        <w:pStyle w:val="13"/>
        <w:numPr>
          <w:ilvl w:val="0"/>
          <w:numId w:val="6"/>
        </w:numPr>
        <w:ind w:firstLine="480"/>
        <w:rPr>
          <w:rFonts w:ascii="Times New Roman" w:hAnsi="Times New Roman" w:cs="Times New Roman"/>
        </w:rPr>
      </w:pPr>
      <w:r>
        <w:rPr>
          <w:rFonts w:ascii="Times New Roman" w:hAnsi="Times New Roman" w:cs="Times New Roman"/>
        </w:rPr>
        <w:t>厂区应急疏散路线图；</w:t>
      </w:r>
    </w:p>
    <w:p>
      <w:pPr>
        <w:pStyle w:val="13"/>
        <w:ind w:firstLine="562"/>
        <w:rPr>
          <w:rFonts w:ascii="Times New Roman" w:hAnsi="Times New Roman" w:cs="Times New Roman"/>
          <w:b/>
          <w:bCs/>
          <w:sz w:val="28"/>
          <w:szCs w:val="28"/>
        </w:rPr>
      </w:pPr>
      <w:r>
        <w:rPr>
          <w:rFonts w:ascii="Times New Roman" w:hAnsi="Times New Roman" w:cs="Times New Roman"/>
          <w:b/>
          <w:bCs/>
          <w:sz w:val="28"/>
          <w:szCs w:val="28"/>
        </w:rPr>
        <w:t>附件：</w:t>
      </w:r>
    </w:p>
    <w:p>
      <w:pPr>
        <w:pStyle w:val="13"/>
        <w:numPr>
          <w:ilvl w:val="0"/>
          <w:numId w:val="7"/>
        </w:numPr>
        <w:ind w:firstLine="480"/>
        <w:rPr>
          <w:rFonts w:ascii="Times New Roman" w:hAnsi="Times New Roman" w:cs="Times New Roman"/>
        </w:rPr>
      </w:pPr>
      <w:r>
        <w:rPr>
          <w:rFonts w:hint="eastAsia" w:ascii="Times New Roman" w:hAnsi="Times New Roman" w:cs="Times New Roman"/>
        </w:rPr>
        <w:t>营业执照；</w:t>
      </w:r>
    </w:p>
    <w:p>
      <w:pPr>
        <w:pStyle w:val="13"/>
        <w:numPr>
          <w:ilvl w:val="0"/>
          <w:numId w:val="7"/>
        </w:numPr>
        <w:ind w:firstLine="480"/>
        <w:rPr>
          <w:rFonts w:ascii="Times New Roman" w:hAnsi="Times New Roman" w:cs="Times New Roman"/>
        </w:rPr>
      </w:pPr>
      <w:r>
        <w:rPr>
          <w:rFonts w:ascii="Times New Roman" w:hAnsi="Times New Roman" w:cs="Times New Roman"/>
        </w:rPr>
        <w:t>突发环境事故应急组织领导及各抢险队员名单；</w:t>
      </w:r>
    </w:p>
    <w:p>
      <w:pPr>
        <w:pStyle w:val="13"/>
        <w:numPr>
          <w:ilvl w:val="0"/>
          <w:numId w:val="7"/>
        </w:numPr>
        <w:ind w:firstLine="480"/>
        <w:rPr>
          <w:rFonts w:ascii="Times New Roman" w:hAnsi="Times New Roman" w:cs="Times New Roman"/>
        </w:rPr>
      </w:pPr>
      <w:r>
        <w:rPr>
          <w:rFonts w:ascii="Times New Roman" w:hAnsi="Times New Roman" w:cs="Times New Roman"/>
        </w:rPr>
        <w:t>外部应急救援通讯录；</w:t>
      </w:r>
    </w:p>
    <w:p>
      <w:pPr>
        <w:pStyle w:val="13"/>
        <w:numPr>
          <w:ilvl w:val="0"/>
          <w:numId w:val="7"/>
        </w:numPr>
        <w:ind w:firstLine="480"/>
        <w:rPr>
          <w:rFonts w:ascii="Times New Roman" w:hAnsi="Times New Roman" w:cs="Times New Roman"/>
        </w:rPr>
      </w:pPr>
      <w:r>
        <w:rPr>
          <w:rFonts w:ascii="Times New Roman" w:hAnsi="Times New Roman" w:cs="Times New Roman"/>
        </w:rPr>
        <w:t>咸宁市环境应急管理专家库成员名单</w:t>
      </w:r>
    </w:p>
    <w:p>
      <w:pPr>
        <w:pStyle w:val="13"/>
        <w:numPr>
          <w:ilvl w:val="0"/>
          <w:numId w:val="7"/>
        </w:numPr>
        <w:ind w:firstLine="480"/>
        <w:rPr>
          <w:rFonts w:ascii="Times New Roman" w:hAnsi="Times New Roman" w:cs="Times New Roman"/>
        </w:rPr>
      </w:pPr>
      <w:r>
        <w:rPr>
          <w:rFonts w:ascii="Times New Roman" w:hAnsi="Times New Roman" w:cs="Times New Roman"/>
        </w:rPr>
        <w:t>企业应急物资储备表；</w:t>
      </w:r>
    </w:p>
    <w:p>
      <w:pPr>
        <w:pStyle w:val="13"/>
        <w:numPr>
          <w:ilvl w:val="0"/>
          <w:numId w:val="7"/>
        </w:numPr>
        <w:ind w:firstLine="480"/>
        <w:rPr>
          <w:rFonts w:ascii="Times New Roman" w:hAnsi="Times New Roman" w:cs="Times New Roman"/>
        </w:rPr>
      </w:pPr>
      <w:r>
        <w:rPr>
          <w:rFonts w:ascii="Times New Roman" w:hAnsi="Times New Roman" w:cs="Times New Roman"/>
        </w:rPr>
        <w:t>突发环境事件报告单；</w:t>
      </w:r>
    </w:p>
    <w:p>
      <w:pPr>
        <w:pStyle w:val="13"/>
        <w:numPr>
          <w:ilvl w:val="0"/>
          <w:numId w:val="7"/>
        </w:numPr>
        <w:ind w:firstLine="480"/>
        <w:rPr>
          <w:rFonts w:ascii="Times New Roman" w:hAnsi="Times New Roman" w:cs="Times New Roman"/>
        </w:rPr>
      </w:pPr>
      <w:r>
        <w:rPr>
          <w:rFonts w:ascii="Times New Roman" w:hAnsi="Times New Roman" w:cs="Times New Roman"/>
          <w:kern w:val="0"/>
        </w:rPr>
        <w:t>赤壁恒瑞非织造材料有限公司灭火应急预案脚本；</w:t>
      </w:r>
    </w:p>
    <w:p>
      <w:pPr>
        <w:pStyle w:val="13"/>
        <w:numPr>
          <w:ilvl w:val="0"/>
          <w:numId w:val="7"/>
        </w:numPr>
        <w:ind w:firstLine="480"/>
        <w:rPr>
          <w:rFonts w:ascii="Times New Roman" w:hAnsi="Times New Roman" w:cs="Times New Roman"/>
        </w:rPr>
      </w:pPr>
      <w:r>
        <w:rPr>
          <w:rFonts w:ascii="Times New Roman" w:hAnsi="Times New Roman" w:cs="Times New Roman"/>
          <w:kern w:val="0"/>
        </w:rPr>
        <w:t>赤壁恒瑞非织造材料有限公司</w:t>
      </w:r>
      <w:r>
        <w:rPr>
          <w:rFonts w:ascii="Times New Roman" w:hAnsi="Times New Roman" w:cs="Times New Roman"/>
        </w:rPr>
        <w:t>突发环境事故应急预案演习记录；</w:t>
      </w:r>
    </w:p>
    <w:p>
      <w:pPr>
        <w:pStyle w:val="13"/>
        <w:numPr>
          <w:ilvl w:val="0"/>
          <w:numId w:val="7"/>
        </w:numPr>
        <w:ind w:firstLine="480"/>
        <w:rPr>
          <w:rFonts w:ascii="Times New Roman" w:hAnsi="Times New Roman" w:cs="Times New Roman"/>
        </w:rPr>
      </w:pPr>
      <w:r>
        <w:rPr>
          <w:rFonts w:ascii="Times New Roman" w:hAnsi="Times New Roman" w:cs="Times New Roman"/>
          <w:kern w:val="0"/>
        </w:rPr>
        <w:t>赤壁恒瑞非织造材料有限公司</w:t>
      </w:r>
      <w:r>
        <w:rPr>
          <w:rFonts w:ascii="Times New Roman" w:hAnsi="Times New Roman" w:cs="Times New Roman"/>
        </w:rPr>
        <w:t>突发环境事故应急预案演习考核。</w:t>
      </w:r>
    </w:p>
    <w:p>
      <w:pPr>
        <w:ind w:firstLine="480"/>
        <w:rPr>
          <w:rFonts w:ascii="Times New Roman" w:hAnsi="Times New Roman" w:eastAsia="宋体" w:cs="Times New Roman"/>
          <w:szCs w:val="24"/>
        </w:rPr>
      </w:pPr>
    </w:p>
    <w:p>
      <w:pPr>
        <w:ind w:firstLine="0" w:firstLineChars="0"/>
        <w:rPr>
          <w:rFonts w:ascii="Times New Roman" w:hAnsi="Times New Roman" w:eastAsia="宋体" w:cs="Times New Roman"/>
          <w:sz w:val="28"/>
        </w:rPr>
      </w:pPr>
    </w:p>
    <w:p>
      <w:pPr>
        <w:ind w:firstLine="0" w:firstLineChars="0"/>
        <w:jc w:val="left"/>
        <w:rPr>
          <w:rFonts w:ascii="Times New Roman" w:hAnsi="Times New Roman" w:eastAsia="宋体" w:cs="Times New Roman"/>
          <w:b/>
          <w:bCs/>
          <w:sz w:val="28"/>
          <w:szCs w:val="28"/>
        </w:rPr>
      </w:pPr>
      <w:r>
        <w:rPr>
          <w:rFonts w:ascii="Times New Roman" w:hAnsi="Times New Roman" w:eastAsia="宋体" w:cs="Times New Roman"/>
          <w:b/>
          <w:bCs/>
          <w:sz w:val="28"/>
          <w:szCs w:val="28"/>
        </w:rPr>
        <w:t xml:space="preserve">附件2 </w:t>
      </w:r>
    </w:p>
    <w:p>
      <w:pPr>
        <w:spacing w:line="240" w:lineRule="auto"/>
        <w:ind w:firstLine="422"/>
        <w:jc w:val="center"/>
        <w:rPr>
          <w:rFonts w:ascii="Times New Roman" w:hAnsi="Times New Roman" w:eastAsia="宋体" w:cs="Times New Roman"/>
          <w:b/>
          <w:sz w:val="21"/>
          <w:szCs w:val="21"/>
        </w:rPr>
      </w:pPr>
      <w:r>
        <w:rPr>
          <w:rFonts w:ascii="Times New Roman" w:hAnsi="Times New Roman" w:eastAsia="宋体" w:cs="Times New Roman"/>
          <w:b/>
          <w:sz w:val="21"/>
          <w:szCs w:val="21"/>
        </w:rPr>
        <w:t>赤壁恒瑞非织造材料有限公司突发环境事故应急组织领导及各抢险队员名单</w:t>
      </w:r>
    </w:p>
    <w:tbl>
      <w:tblPr>
        <w:tblStyle w:val="36"/>
        <w:tblW w:w="9962"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50"/>
        <w:gridCol w:w="2732"/>
        <w:gridCol w:w="4023"/>
        <w:gridCol w:w="245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vMerge w:val="restart"/>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序号</w:t>
            </w:r>
          </w:p>
        </w:tc>
        <w:tc>
          <w:tcPr>
            <w:tcW w:w="2732" w:type="dxa"/>
            <w:vMerge w:val="restart"/>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应急职责</w:t>
            </w:r>
          </w:p>
        </w:tc>
        <w:tc>
          <w:tcPr>
            <w:tcW w:w="6480" w:type="dxa"/>
            <w:gridSpan w:val="2"/>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现有应急人员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vMerge w:val="continue"/>
            <w:tcBorders>
              <w:tl2br w:val="nil"/>
              <w:tr2bl w:val="nil"/>
            </w:tcBorders>
            <w:vAlign w:val="center"/>
          </w:tcPr>
          <w:p>
            <w:pPr>
              <w:ind w:firstLine="360"/>
              <w:jc w:val="center"/>
              <w:rPr>
                <w:rFonts w:ascii="Times New Roman" w:hAnsi="Times New Roman" w:cs="Times New Roman"/>
                <w:sz w:val="18"/>
                <w:szCs w:val="18"/>
              </w:rPr>
            </w:pPr>
          </w:p>
        </w:tc>
        <w:tc>
          <w:tcPr>
            <w:tcW w:w="2732" w:type="dxa"/>
            <w:vMerge w:val="continue"/>
            <w:tcBorders>
              <w:tl2br w:val="nil"/>
              <w:tr2bl w:val="nil"/>
            </w:tcBorders>
            <w:vAlign w:val="center"/>
          </w:tcPr>
          <w:p>
            <w:pPr>
              <w:ind w:firstLine="360"/>
              <w:jc w:val="center"/>
              <w:rPr>
                <w:rFonts w:ascii="Times New Roman" w:hAnsi="Times New Roman" w:cs="Times New Roman"/>
                <w:sz w:val="18"/>
                <w:szCs w:val="18"/>
              </w:rPr>
            </w:pPr>
          </w:p>
        </w:tc>
        <w:tc>
          <w:tcPr>
            <w:tcW w:w="4023"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姓名</w:t>
            </w:r>
          </w:p>
        </w:tc>
        <w:tc>
          <w:tcPr>
            <w:tcW w:w="2457"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联系电话</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1</w:t>
            </w:r>
          </w:p>
        </w:tc>
        <w:tc>
          <w:tcPr>
            <w:tcW w:w="2732"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总指挥</w:t>
            </w:r>
          </w:p>
        </w:tc>
        <w:tc>
          <w:tcPr>
            <w:tcW w:w="4023"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曾治国</w:t>
            </w:r>
          </w:p>
        </w:tc>
        <w:tc>
          <w:tcPr>
            <w:tcW w:w="2457"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18207241006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2</w:t>
            </w:r>
          </w:p>
        </w:tc>
        <w:tc>
          <w:tcPr>
            <w:tcW w:w="2732"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副总指挥</w:t>
            </w:r>
          </w:p>
        </w:tc>
        <w:tc>
          <w:tcPr>
            <w:tcW w:w="4023"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孙成斌</w:t>
            </w:r>
          </w:p>
        </w:tc>
        <w:tc>
          <w:tcPr>
            <w:tcW w:w="2457"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13886500551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3</w:t>
            </w:r>
          </w:p>
        </w:tc>
        <w:tc>
          <w:tcPr>
            <w:tcW w:w="2732"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综合协调组</w:t>
            </w:r>
          </w:p>
        </w:tc>
        <w:tc>
          <w:tcPr>
            <w:tcW w:w="4023"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胡正益</w:t>
            </w:r>
          </w:p>
        </w:tc>
        <w:tc>
          <w:tcPr>
            <w:tcW w:w="2457"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18727840446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vMerge w:val="restart"/>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2732" w:type="dxa"/>
            <w:vMerge w:val="restart"/>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现场处置组</w:t>
            </w:r>
          </w:p>
        </w:tc>
        <w:tc>
          <w:tcPr>
            <w:tcW w:w="4023"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吴汉平</w:t>
            </w:r>
          </w:p>
        </w:tc>
        <w:tc>
          <w:tcPr>
            <w:tcW w:w="2457"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13797232799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vMerge w:val="continue"/>
            <w:tcBorders>
              <w:tl2br w:val="nil"/>
              <w:tr2bl w:val="nil"/>
            </w:tcBorders>
            <w:vAlign w:val="center"/>
          </w:tcPr>
          <w:p>
            <w:pPr>
              <w:ind w:firstLine="0" w:firstLineChars="0"/>
              <w:jc w:val="center"/>
              <w:rPr>
                <w:rFonts w:ascii="Times New Roman" w:hAnsi="Times New Roman" w:cs="Times New Roman"/>
                <w:sz w:val="18"/>
                <w:szCs w:val="18"/>
              </w:rPr>
            </w:pPr>
          </w:p>
        </w:tc>
        <w:tc>
          <w:tcPr>
            <w:tcW w:w="2732" w:type="dxa"/>
            <w:vMerge w:val="continue"/>
            <w:tcBorders>
              <w:tl2br w:val="nil"/>
              <w:tr2bl w:val="nil"/>
            </w:tcBorders>
            <w:vAlign w:val="center"/>
          </w:tcPr>
          <w:p>
            <w:pPr>
              <w:ind w:firstLine="0" w:firstLineChars="0"/>
              <w:jc w:val="center"/>
              <w:rPr>
                <w:rFonts w:ascii="Times New Roman" w:hAnsi="Times New Roman" w:cs="Times New Roman"/>
                <w:sz w:val="18"/>
                <w:szCs w:val="18"/>
              </w:rPr>
            </w:pPr>
          </w:p>
        </w:tc>
        <w:tc>
          <w:tcPr>
            <w:tcW w:w="4023"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胡朝东</w:t>
            </w:r>
          </w:p>
        </w:tc>
        <w:tc>
          <w:tcPr>
            <w:tcW w:w="2457"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15997988598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2732"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后勤保障组</w:t>
            </w:r>
          </w:p>
        </w:tc>
        <w:tc>
          <w:tcPr>
            <w:tcW w:w="4023"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宋明舟</w:t>
            </w:r>
          </w:p>
        </w:tc>
        <w:tc>
          <w:tcPr>
            <w:tcW w:w="2457"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13617156133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2732"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善后处理组</w:t>
            </w:r>
          </w:p>
        </w:tc>
        <w:tc>
          <w:tcPr>
            <w:tcW w:w="4023"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胡朝东</w:t>
            </w:r>
          </w:p>
        </w:tc>
        <w:tc>
          <w:tcPr>
            <w:tcW w:w="2457"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15997988598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750"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7</w:t>
            </w:r>
          </w:p>
        </w:tc>
        <w:tc>
          <w:tcPr>
            <w:tcW w:w="2732"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应急监测组</w:t>
            </w:r>
          </w:p>
        </w:tc>
        <w:tc>
          <w:tcPr>
            <w:tcW w:w="4023"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刘志勇</w:t>
            </w:r>
          </w:p>
        </w:tc>
        <w:tc>
          <w:tcPr>
            <w:tcW w:w="2457"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15207244545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66" w:hRule="atLeast"/>
        </w:trPr>
        <w:tc>
          <w:tcPr>
            <w:tcW w:w="750" w:type="dxa"/>
            <w:tcBorders>
              <w:tl2br w:val="nil"/>
              <w:tr2bl w:val="nil"/>
            </w:tcBorders>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8</w:t>
            </w:r>
          </w:p>
        </w:tc>
        <w:tc>
          <w:tcPr>
            <w:tcW w:w="2732" w:type="dxa"/>
            <w:tcBorders>
              <w:tl2br w:val="nil"/>
              <w:tr2bl w:val="nil"/>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应急专家</w:t>
            </w:r>
          </w:p>
        </w:tc>
        <w:tc>
          <w:tcPr>
            <w:tcW w:w="6480" w:type="dxa"/>
            <w:gridSpan w:val="2"/>
            <w:tcBorders>
              <w:tl2br w:val="nil"/>
              <w:tr2bl w:val="nil"/>
            </w:tcBorders>
            <w:vAlign w:val="center"/>
          </w:tcPr>
          <w:p>
            <w:pPr>
              <w:ind w:firstLine="361"/>
              <w:jc w:val="center"/>
              <w:rPr>
                <w:rFonts w:ascii="Times New Roman" w:hAnsi="Times New Roman" w:cs="Times New Roman"/>
                <w:sz w:val="18"/>
                <w:szCs w:val="18"/>
              </w:rPr>
            </w:pPr>
            <w:r>
              <w:rPr>
                <w:rFonts w:ascii="Times New Roman" w:hAnsi="Times New Roman" w:cs="Times New Roman"/>
                <w:b/>
                <w:bCs/>
                <w:sz w:val="18"/>
                <w:szCs w:val="18"/>
              </w:rPr>
              <w:t>求助环境管理部门及专家库成员进行指导支持</w:t>
            </w:r>
          </w:p>
        </w:tc>
      </w:tr>
    </w:tbl>
    <w:p>
      <w:pPr>
        <w:ind w:firstLine="0" w:firstLineChars="0"/>
        <w:jc w:val="left"/>
        <w:rPr>
          <w:rFonts w:ascii="Times New Roman" w:hAnsi="Times New Roman" w:eastAsia="宋体" w:cs="Times New Roman"/>
          <w:sz w:val="28"/>
          <w:szCs w:val="28"/>
        </w:rPr>
      </w:pPr>
      <w:r>
        <w:rPr>
          <w:rFonts w:ascii="Times New Roman" w:hAnsi="Times New Roman" w:eastAsia="宋体" w:cs="Times New Roman"/>
          <w:sz w:val="28"/>
          <w:szCs w:val="28"/>
        </w:rPr>
        <w:br w:type="page"/>
      </w:r>
    </w:p>
    <w:p>
      <w:pPr>
        <w:ind w:firstLine="0" w:firstLineChars="0"/>
        <w:jc w:val="left"/>
        <w:rPr>
          <w:rFonts w:ascii="Times New Roman" w:hAnsi="Times New Roman" w:eastAsia="宋体" w:cs="Times New Roman"/>
          <w:b/>
          <w:bCs/>
          <w:sz w:val="28"/>
          <w:szCs w:val="28"/>
        </w:rPr>
      </w:pPr>
      <w:r>
        <w:rPr>
          <w:rFonts w:ascii="Times New Roman" w:hAnsi="Times New Roman" w:eastAsia="宋体" w:cs="Times New Roman"/>
          <w:b/>
          <w:bCs/>
          <w:sz w:val="28"/>
          <w:szCs w:val="28"/>
        </w:rPr>
        <w:t>附件3</w:t>
      </w:r>
    </w:p>
    <w:p>
      <w:pPr>
        <w:spacing w:line="240" w:lineRule="auto"/>
        <w:ind w:firstLine="422"/>
        <w:jc w:val="center"/>
        <w:rPr>
          <w:rFonts w:ascii="Times New Roman" w:hAnsi="Times New Roman" w:eastAsia="宋体" w:cs="Times New Roman"/>
          <w:b/>
          <w:sz w:val="21"/>
          <w:szCs w:val="21"/>
        </w:rPr>
      </w:pPr>
      <w:r>
        <w:rPr>
          <w:rFonts w:ascii="Times New Roman" w:hAnsi="Times New Roman" w:eastAsia="宋体" w:cs="Times New Roman"/>
          <w:b/>
          <w:sz w:val="21"/>
          <w:szCs w:val="21"/>
        </w:rPr>
        <w:t>赤壁恒瑞非织造材料有限公司外部应急救援、告知通讯录</w:t>
      </w:r>
    </w:p>
    <w:tbl>
      <w:tblPr>
        <w:tblStyle w:val="36"/>
        <w:tblW w:w="9924"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63"/>
        <w:gridCol w:w="810"/>
        <w:gridCol w:w="4302"/>
        <w:gridCol w:w="374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063" w:type="dxa"/>
            <w:tcBorders>
              <w:bottom w:val="single" w:color="auto" w:sz="12" w:space="0"/>
            </w:tcBorders>
            <w:vAlign w:val="center"/>
          </w:tcPr>
          <w:p>
            <w:pPr>
              <w:ind w:firstLine="0" w:firstLineChars="0"/>
              <w:jc w:val="center"/>
              <w:rPr>
                <w:rFonts w:ascii="Times New Roman" w:hAnsi="Times New Roman" w:cs="Times New Roman"/>
                <w:b/>
                <w:bCs/>
                <w:sz w:val="18"/>
                <w:szCs w:val="18"/>
              </w:rPr>
            </w:pPr>
            <w:r>
              <w:rPr>
                <w:rFonts w:ascii="Times New Roman" w:hAnsi="Times New Roman" w:cs="Times New Roman"/>
                <w:b/>
                <w:bCs/>
                <w:sz w:val="18"/>
                <w:szCs w:val="18"/>
              </w:rPr>
              <w:t>类别</w:t>
            </w:r>
          </w:p>
        </w:tc>
        <w:tc>
          <w:tcPr>
            <w:tcW w:w="810" w:type="dxa"/>
            <w:tcBorders>
              <w:bottom w:val="single" w:color="auto" w:sz="12" w:space="0"/>
            </w:tcBorders>
            <w:vAlign w:val="center"/>
          </w:tcPr>
          <w:p>
            <w:pPr>
              <w:ind w:firstLine="0" w:firstLineChars="0"/>
              <w:jc w:val="center"/>
              <w:rPr>
                <w:rFonts w:ascii="Times New Roman" w:hAnsi="Times New Roman" w:cs="Times New Roman"/>
                <w:b/>
                <w:bCs/>
                <w:sz w:val="18"/>
                <w:szCs w:val="18"/>
              </w:rPr>
            </w:pPr>
            <w:r>
              <w:rPr>
                <w:rFonts w:ascii="Times New Roman" w:hAnsi="Times New Roman" w:cs="Times New Roman"/>
                <w:b/>
                <w:bCs/>
                <w:sz w:val="18"/>
                <w:szCs w:val="18"/>
              </w:rPr>
              <w:t>序号</w:t>
            </w:r>
          </w:p>
        </w:tc>
        <w:tc>
          <w:tcPr>
            <w:tcW w:w="4302" w:type="dxa"/>
            <w:tcBorders>
              <w:bottom w:val="single" w:color="auto" w:sz="12" w:space="0"/>
            </w:tcBorders>
            <w:vAlign w:val="center"/>
          </w:tcPr>
          <w:p>
            <w:pPr>
              <w:ind w:firstLine="0" w:firstLineChars="0"/>
              <w:jc w:val="center"/>
              <w:rPr>
                <w:rFonts w:ascii="Times New Roman" w:hAnsi="Times New Roman" w:cs="Times New Roman"/>
                <w:b/>
                <w:bCs/>
                <w:sz w:val="18"/>
                <w:szCs w:val="18"/>
              </w:rPr>
            </w:pPr>
            <w:r>
              <w:rPr>
                <w:rFonts w:ascii="Times New Roman" w:hAnsi="Times New Roman" w:cs="Times New Roman"/>
                <w:b/>
                <w:bCs/>
                <w:sz w:val="18"/>
                <w:szCs w:val="18"/>
              </w:rPr>
              <w:t>部门</w:t>
            </w:r>
          </w:p>
        </w:tc>
        <w:tc>
          <w:tcPr>
            <w:tcW w:w="3749" w:type="dxa"/>
            <w:tcBorders>
              <w:bottom w:val="single" w:color="auto" w:sz="12" w:space="0"/>
            </w:tcBorders>
            <w:vAlign w:val="center"/>
          </w:tcPr>
          <w:p>
            <w:pPr>
              <w:ind w:firstLine="0" w:firstLineChars="0"/>
              <w:jc w:val="center"/>
              <w:rPr>
                <w:rFonts w:ascii="Times New Roman" w:hAnsi="Times New Roman" w:cs="Times New Roman"/>
                <w:b/>
                <w:bCs/>
                <w:sz w:val="18"/>
                <w:szCs w:val="18"/>
              </w:rPr>
            </w:pPr>
            <w:r>
              <w:rPr>
                <w:rFonts w:ascii="Times New Roman" w:hAnsi="Times New Roman" w:cs="Times New Roman"/>
                <w:b/>
                <w:bCs/>
                <w:sz w:val="18"/>
                <w:szCs w:val="18"/>
              </w:rPr>
              <w:t>联系电话</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063" w:type="dxa"/>
            <w:vMerge w:val="restart"/>
            <w:tcBorders>
              <w:top w:val="single" w:color="auto" w:sz="12" w:space="0"/>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外部救援力量</w:t>
            </w:r>
          </w:p>
        </w:tc>
        <w:tc>
          <w:tcPr>
            <w:tcW w:w="810" w:type="dxa"/>
            <w:tcBorders>
              <w:top w:val="single" w:color="auto" w:sz="12" w:space="0"/>
            </w:tcBorders>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1</w:t>
            </w:r>
          </w:p>
        </w:tc>
        <w:tc>
          <w:tcPr>
            <w:tcW w:w="4302" w:type="dxa"/>
            <w:tcBorders>
              <w:top w:val="single" w:color="auto" w:sz="12" w:space="0"/>
            </w:tcBorders>
            <w:vAlign w:val="center"/>
          </w:tcPr>
          <w:p>
            <w:pPr>
              <w:pStyle w:val="86"/>
              <w:rPr>
                <w:szCs w:val="18"/>
              </w:rPr>
            </w:pPr>
            <w:r>
              <w:rPr>
                <w:szCs w:val="18"/>
              </w:rPr>
              <w:t>急救、公安、消防、交通事故、气象</w:t>
            </w:r>
          </w:p>
        </w:tc>
        <w:tc>
          <w:tcPr>
            <w:tcW w:w="3749" w:type="dxa"/>
            <w:tcBorders>
              <w:top w:val="single" w:color="auto" w:sz="12" w:space="0"/>
            </w:tcBorders>
            <w:vAlign w:val="center"/>
          </w:tcPr>
          <w:p>
            <w:pPr>
              <w:pStyle w:val="86"/>
              <w:rPr>
                <w:szCs w:val="18"/>
              </w:rPr>
            </w:pPr>
            <w:r>
              <w:rPr>
                <w:szCs w:val="18"/>
              </w:rPr>
              <w:t>120/110/119/122/12121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063" w:type="dxa"/>
            <w:vMerge w:val="continue"/>
            <w:vAlign w:val="center"/>
          </w:tcPr>
          <w:p>
            <w:pPr>
              <w:ind w:firstLine="360"/>
              <w:jc w:val="center"/>
              <w:rPr>
                <w:rFonts w:ascii="Times New Roman" w:hAnsi="Times New Roman" w:cs="Times New Roman"/>
                <w:sz w:val="18"/>
                <w:szCs w:val="18"/>
              </w:rPr>
            </w:pPr>
          </w:p>
        </w:tc>
        <w:tc>
          <w:tcPr>
            <w:tcW w:w="810"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2</w:t>
            </w:r>
          </w:p>
        </w:tc>
        <w:tc>
          <w:tcPr>
            <w:tcW w:w="4302" w:type="dxa"/>
            <w:vAlign w:val="center"/>
          </w:tcPr>
          <w:p>
            <w:pPr>
              <w:pStyle w:val="86"/>
              <w:rPr>
                <w:szCs w:val="18"/>
              </w:rPr>
            </w:pPr>
            <w:r>
              <w:rPr>
                <w:szCs w:val="18"/>
              </w:rPr>
              <w:t>赤壁市突发环境事件报警电话</w:t>
            </w:r>
          </w:p>
        </w:tc>
        <w:tc>
          <w:tcPr>
            <w:tcW w:w="3749" w:type="dxa"/>
            <w:vAlign w:val="center"/>
          </w:tcPr>
          <w:p>
            <w:pPr>
              <w:pStyle w:val="86"/>
              <w:rPr>
                <w:szCs w:val="18"/>
              </w:rPr>
            </w:pPr>
            <w:r>
              <w:rPr>
                <w:szCs w:val="18"/>
              </w:rPr>
              <w:t>0715-12369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063" w:type="dxa"/>
            <w:vMerge w:val="continue"/>
            <w:vAlign w:val="center"/>
          </w:tcPr>
          <w:p>
            <w:pPr>
              <w:ind w:firstLine="360"/>
              <w:jc w:val="center"/>
              <w:rPr>
                <w:rFonts w:ascii="Times New Roman" w:hAnsi="Times New Roman" w:cs="Times New Roman"/>
                <w:sz w:val="18"/>
                <w:szCs w:val="18"/>
              </w:rPr>
            </w:pPr>
          </w:p>
        </w:tc>
        <w:tc>
          <w:tcPr>
            <w:tcW w:w="810"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3</w:t>
            </w:r>
          </w:p>
        </w:tc>
        <w:tc>
          <w:tcPr>
            <w:tcW w:w="4302" w:type="dxa"/>
            <w:vAlign w:val="center"/>
          </w:tcPr>
          <w:p>
            <w:pPr>
              <w:pStyle w:val="86"/>
              <w:rPr>
                <w:szCs w:val="18"/>
              </w:rPr>
            </w:pPr>
            <w:r>
              <w:rPr>
                <w:szCs w:val="18"/>
              </w:rPr>
              <w:t>赤壁市环境监测中心</w:t>
            </w:r>
          </w:p>
        </w:tc>
        <w:tc>
          <w:tcPr>
            <w:tcW w:w="3749" w:type="dxa"/>
            <w:vAlign w:val="center"/>
          </w:tcPr>
          <w:p>
            <w:pPr>
              <w:pStyle w:val="86"/>
              <w:rPr>
                <w:szCs w:val="18"/>
              </w:rPr>
            </w:pPr>
            <w:r>
              <w:rPr>
                <w:szCs w:val="18"/>
              </w:rPr>
              <w:t>0715-5234312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063" w:type="dxa"/>
            <w:vMerge w:val="continue"/>
            <w:vAlign w:val="center"/>
          </w:tcPr>
          <w:p>
            <w:pPr>
              <w:ind w:firstLine="360"/>
              <w:jc w:val="center"/>
              <w:rPr>
                <w:rFonts w:ascii="Times New Roman" w:hAnsi="Times New Roman" w:cs="Times New Roman"/>
                <w:sz w:val="18"/>
                <w:szCs w:val="18"/>
              </w:rPr>
            </w:pPr>
          </w:p>
        </w:tc>
        <w:tc>
          <w:tcPr>
            <w:tcW w:w="810"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4</w:t>
            </w:r>
          </w:p>
        </w:tc>
        <w:tc>
          <w:tcPr>
            <w:tcW w:w="4302" w:type="dxa"/>
            <w:vAlign w:val="center"/>
          </w:tcPr>
          <w:p>
            <w:pPr>
              <w:ind w:firstLine="0" w:firstLineChars="0"/>
              <w:jc w:val="center"/>
              <w:rPr>
                <w:rFonts w:ascii="Times New Roman" w:hAnsi="Times New Roman" w:cs="Times New Roman"/>
                <w:kern w:val="0"/>
                <w:sz w:val="18"/>
                <w:szCs w:val="18"/>
              </w:rPr>
            </w:pPr>
            <w:r>
              <w:rPr>
                <w:rFonts w:ascii="Times New Roman" w:hAnsi="Times New Roman" w:eastAsia="宋体" w:cs="Times New Roman"/>
                <w:sz w:val="18"/>
                <w:szCs w:val="18"/>
              </w:rPr>
              <w:t>赤壁市供水公司</w:t>
            </w:r>
          </w:p>
        </w:tc>
        <w:tc>
          <w:tcPr>
            <w:tcW w:w="3749" w:type="dxa"/>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0715-5220777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063" w:type="dxa"/>
            <w:vMerge w:val="continue"/>
            <w:vAlign w:val="center"/>
          </w:tcPr>
          <w:p>
            <w:pPr>
              <w:ind w:firstLine="360"/>
              <w:jc w:val="center"/>
              <w:rPr>
                <w:rFonts w:ascii="Times New Roman" w:hAnsi="Times New Roman" w:cs="Times New Roman"/>
                <w:sz w:val="18"/>
                <w:szCs w:val="18"/>
              </w:rPr>
            </w:pPr>
          </w:p>
        </w:tc>
        <w:tc>
          <w:tcPr>
            <w:tcW w:w="810"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5</w:t>
            </w:r>
          </w:p>
        </w:tc>
        <w:tc>
          <w:tcPr>
            <w:tcW w:w="4302" w:type="dxa"/>
            <w:vAlign w:val="center"/>
          </w:tcPr>
          <w:p>
            <w:pPr>
              <w:ind w:firstLine="0" w:firstLineChars="0"/>
              <w:jc w:val="center"/>
              <w:rPr>
                <w:rFonts w:ascii="Times New Roman" w:hAnsi="Times New Roman" w:cs="Times New Roman"/>
                <w:kern w:val="0"/>
                <w:sz w:val="18"/>
                <w:szCs w:val="18"/>
              </w:rPr>
            </w:pPr>
            <w:r>
              <w:rPr>
                <w:rFonts w:ascii="Times New Roman" w:hAnsi="Times New Roman" w:eastAsia="宋体" w:cs="Times New Roman"/>
                <w:sz w:val="18"/>
                <w:szCs w:val="18"/>
              </w:rPr>
              <w:t>赤壁市供电公司</w:t>
            </w:r>
          </w:p>
        </w:tc>
        <w:tc>
          <w:tcPr>
            <w:tcW w:w="3749" w:type="dxa"/>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0715-5353630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063" w:type="dxa"/>
            <w:vMerge w:val="continue"/>
            <w:vAlign w:val="center"/>
          </w:tcPr>
          <w:p>
            <w:pPr>
              <w:ind w:firstLine="360"/>
              <w:jc w:val="center"/>
              <w:rPr>
                <w:rFonts w:ascii="Times New Roman" w:hAnsi="Times New Roman" w:cs="Times New Roman"/>
                <w:sz w:val="18"/>
                <w:szCs w:val="18"/>
              </w:rPr>
            </w:pPr>
          </w:p>
        </w:tc>
        <w:tc>
          <w:tcPr>
            <w:tcW w:w="810"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6</w:t>
            </w:r>
          </w:p>
        </w:tc>
        <w:tc>
          <w:tcPr>
            <w:tcW w:w="4302" w:type="dxa"/>
            <w:vAlign w:val="center"/>
          </w:tcPr>
          <w:p>
            <w:pPr>
              <w:pStyle w:val="86"/>
              <w:rPr>
                <w:szCs w:val="18"/>
              </w:rPr>
            </w:pPr>
            <w:r>
              <w:rPr>
                <w:szCs w:val="18"/>
              </w:rPr>
              <w:t>赤壁市应急管理局</w:t>
            </w:r>
          </w:p>
        </w:tc>
        <w:tc>
          <w:tcPr>
            <w:tcW w:w="3749" w:type="dxa"/>
            <w:vAlign w:val="center"/>
          </w:tcPr>
          <w:p>
            <w:pPr>
              <w:pStyle w:val="86"/>
              <w:rPr>
                <w:szCs w:val="18"/>
              </w:rPr>
            </w:pPr>
            <w:r>
              <w:rPr>
                <w:rFonts w:hint="eastAsia"/>
                <w:szCs w:val="18"/>
              </w:rPr>
              <w:t>0715-5353630 或0715-5042090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063" w:type="dxa"/>
            <w:vMerge w:val="continue"/>
            <w:vAlign w:val="center"/>
          </w:tcPr>
          <w:p>
            <w:pPr>
              <w:ind w:firstLine="360"/>
              <w:jc w:val="center"/>
              <w:rPr>
                <w:rFonts w:ascii="Times New Roman" w:hAnsi="Times New Roman" w:cs="Times New Roman"/>
                <w:sz w:val="18"/>
                <w:szCs w:val="18"/>
              </w:rPr>
            </w:pPr>
          </w:p>
        </w:tc>
        <w:tc>
          <w:tcPr>
            <w:tcW w:w="810"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7</w:t>
            </w:r>
          </w:p>
        </w:tc>
        <w:tc>
          <w:tcPr>
            <w:tcW w:w="4302" w:type="dxa"/>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赤壁市人民医院</w:t>
            </w:r>
          </w:p>
        </w:tc>
        <w:tc>
          <w:tcPr>
            <w:tcW w:w="3749" w:type="dxa"/>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0715-5369000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063" w:type="dxa"/>
            <w:vMerge w:val="continue"/>
            <w:vAlign w:val="center"/>
          </w:tcPr>
          <w:p>
            <w:pPr>
              <w:ind w:firstLine="360"/>
              <w:jc w:val="center"/>
              <w:rPr>
                <w:rFonts w:ascii="Times New Roman" w:hAnsi="Times New Roman" w:cs="Times New Roman"/>
                <w:sz w:val="18"/>
                <w:szCs w:val="18"/>
              </w:rPr>
            </w:pPr>
          </w:p>
        </w:tc>
        <w:tc>
          <w:tcPr>
            <w:tcW w:w="810"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8</w:t>
            </w:r>
          </w:p>
        </w:tc>
        <w:tc>
          <w:tcPr>
            <w:tcW w:w="4302" w:type="dxa"/>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赤壁市红十字会医院</w:t>
            </w:r>
          </w:p>
        </w:tc>
        <w:tc>
          <w:tcPr>
            <w:tcW w:w="3749" w:type="dxa"/>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0715-5230337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063" w:type="dxa"/>
            <w:vMerge w:val="continue"/>
            <w:vAlign w:val="center"/>
          </w:tcPr>
          <w:p>
            <w:pPr>
              <w:ind w:firstLine="360"/>
              <w:jc w:val="center"/>
              <w:rPr>
                <w:rFonts w:ascii="Times New Roman" w:hAnsi="Times New Roman" w:cs="Times New Roman"/>
                <w:sz w:val="18"/>
                <w:szCs w:val="18"/>
              </w:rPr>
            </w:pPr>
          </w:p>
        </w:tc>
        <w:tc>
          <w:tcPr>
            <w:tcW w:w="810"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9</w:t>
            </w:r>
          </w:p>
        </w:tc>
        <w:tc>
          <w:tcPr>
            <w:tcW w:w="4302" w:type="dxa"/>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车埠镇卫生院</w:t>
            </w:r>
          </w:p>
        </w:tc>
        <w:tc>
          <w:tcPr>
            <w:tcW w:w="3749" w:type="dxa"/>
            <w:vAlign w:val="center"/>
          </w:tcPr>
          <w:p>
            <w:pPr>
              <w:ind w:firstLine="0" w:firstLineChars="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0715-5742031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063" w:type="dxa"/>
            <w:vMerge w:val="continue"/>
            <w:vAlign w:val="center"/>
          </w:tcPr>
          <w:p>
            <w:pPr>
              <w:ind w:firstLine="360"/>
              <w:jc w:val="center"/>
              <w:rPr>
                <w:rFonts w:ascii="Times New Roman" w:hAnsi="Times New Roman" w:cs="Times New Roman"/>
                <w:sz w:val="18"/>
                <w:szCs w:val="18"/>
              </w:rPr>
            </w:pPr>
          </w:p>
        </w:tc>
        <w:tc>
          <w:tcPr>
            <w:tcW w:w="810" w:type="dxa"/>
            <w:vAlign w:val="center"/>
          </w:tcPr>
          <w:p>
            <w:pPr>
              <w:ind w:firstLine="0" w:firstLineChars="0"/>
              <w:jc w:val="center"/>
              <w:rPr>
                <w:rFonts w:ascii="Times New Roman" w:hAnsi="Times New Roman" w:eastAsia="宋体" w:cs="Times New Roman"/>
                <w:sz w:val="18"/>
                <w:szCs w:val="18"/>
              </w:rPr>
            </w:pPr>
            <w:r>
              <w:rPr>
                <w:rFonts w:ascii="Times New Roman" w:hAnsi="Times New Roman" w:cs="Times New Roman"/>
                <w:sz w:val="18"/>
                <w:szCs w:val="18"/>
              </w:rPr>
              <w:t>10</w:t>
            </w:r>
          </w:p>
        </w:tc>
        <w:tc>
          <w:tcPr>
            <w:tcW w:w="4302" w:type="dxa"/>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赤壁市水利和湖泊局</w:t>
            </w:r>
          </w:p>
        </w:tc>
        <w:tc>
          <w:tcPr>
            <w:tcW w:w="3749" w:type="dxa"/>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0715-5351315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063" w:type="dxa"/>
            <w:vMerge w:val="restart"/>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管理部门</w:t>
            </w:r>
          </w:p>
        </w:tc>
        <w:tc>
          <w:tcPr>
            <w:tcW w:w="810"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1</w:t>
            </w:r>
          </w:p>
        </w:tc>
        <w:tc>
          <w:tcPr>
            <w:tcW w:w="4302" w:type="dxa"/>
            <w:vAlign w:val="center"/>
          </w:tcPr>
          <w:p>
            <w:pPr>
              <w:pStyle w:val="86"/>
              <w:rPr>
                <w:szCs w:val="18"/>
              </w:rPr>
            </w:pPr>
            <w:r>
              <w:rPr>
                <w:szCs w:val="18"/>
              </w:rPr>
              <w:t>咸宁市生态环境局赤壁市分局</w:t>
            </w:r>
          </w:p>
        </w:tc>
        <w:tc>
          <w:tcPr>
            <w:tcW w:w="3749" w:type="dxa"/>
            <w:vAlign w:val="center"/>
          </w:tcPr>
          <w:p>
            <w:pPr>
              <w:pStyle w:val="86"/>
              <w:rPr>
                <w:szCs w:val="18"/>
              </w:rPr>
            </w:pPr>
            <w:r>
              <w:rPr>
                <w:szCs w:val="18"/>
              </w:rPr>
              <w:t>0715-</w:t>
            </w:r>
            <w:r>
              <w:t xml:space="preserve"> </w:t>
            </w:r>
            <w:r>
              <w:rPr>
                <w:szCs w:val="18"/>
              </w:rPr>
              <w:t>5882548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063" w:type="dxa"/>
            <w:vMerge w:val="continue"/>
            <w:vAlign w:val="center"/>
          </w:tcPr>
          <w:p>
            <w:pPr>
              <w:ind w:firstLine="360"/>
              <w:jc w:val="center"/>
              <w:rPr>
                <w:rFonts w:ascii="Times New Roman" w:hAnsi="Times New Roman" w:cs="Times New Roman"/>
                <w:sz w:val="18"/>
                <w:szCs w:val="18"/>
              </w:rPr>
            </w:pPr>
          </w:p>
        </w:tc>
        <w:tc>
          <w:tcPr>
            <w:tcW w:w="810"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2</w:t>
            </w:r>
          </w:p>
        </w:tc>
        <w:tc>
          <w:tcPr>
            <w:tcW w:w="4302" w:type="dxa"/>
            <w:vAlign w:val="center"/>
          </w:tcPr>
          <w:p>
            <w:pPr>
              <w:pStyle w:val="86"/>
              <w:rPr>
                <w:szCs w:val="18"/>
              </w:rPr>
            </w:pPr>
            <w:r>
              <w:rPr>
                <w:szCs w:val="18"/>
              </w:rPr>
              <w:t>赤壁市人民政府</w:t>
            </w:r>
          </w:p>
        </w:tc>
        <w:tc>
          <w:tcPr>
            <w:tcW w:w="3749" w:type="dxa"/>
            <w:vAlign w:val="center"/>
          </w:tcPr>
          <w:p>
            <w:pPr>
              <w:pStyle w:val="86"/>
              <w:rPr>
                <w:szCs w:val="18"/>
              </w:rPr>
            </w:pPr>
            <w:r>
              <w:rPr>
                <w:szCs w:val="18"/>
              </w:rPr>
              <w:t>0715-5353105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063"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周边单位</w:t>
            </w:r>
          </w:p>
        </w:tc>
        <w:tc>
          <w:tcPr>
            <w:tcW w:w="810"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1</w:t>
            </w:r>
          </w:p>
        </w:tc>
        <w:tc>
          <w:tcPr>
            <w:tcW w:w="4302" w:type="dxa"/>
            <w:vAlign w:val="center"/>
          </w:tcPr>
          <w:p>
            <w:pPr>
              <w:pStyle w:val="86"/>
              <w:rPr>
                <w:szCs w:val="18"/>
              </w:rPr>
            </w:pPr>
            <w:r>
              <w:rPr>
                <w:szCs w:val="18"/>
              </w:rPr>
              <w:t>湖北</w:t>
            </w:r>
            <w:r>
              <w:rPr>
                <w:rFonts w:hint="eastAsia"/>
                <w:szCs w:val="18"/>
              </w:rPr>
              <w:t>龙兴</w:t>
            </w:r>
            <w:r>
              <w:rPr>
                <w:szCs w:val="18"/>
              </w:rPr>
              <w:t>无纺科技有限公司（</w:t>
            </w:r>
            <w:r>
              <w:rPr>
                <w:rFonts w:hint="eastAsia"/>
                <w:szCs w:val="18"/>
              </w:rPr>
              <w:t>刘俊材）</w:t>
            </w:r>
          </w:p>
        </w:tc>
        <w:tc>
          <w:tcPr>
            <w:tcW w:w="3749" w:type="dxa"/>
            <w:vAlign w:val="center"/>
          </w:tcPr>
          <w:p>
            <w:pPr>
              <w:pStyle w:val="86"/>
              <w:rPr>
                <w:szCs w:val="18"/>
              </w:rPr>
            </w:pPr>
            <w:r>
              <w:rPr>
                <w:rFonts w:hint="eastAsia"/>
                <w:szCs w:val="18"/>
              </w:rPr>
              <w:t>18872828636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063"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周边居民</w:t>
            </w:r>
          </w:p>
        </w:tc>
        <w:tc>
          <w:tcPr>
            <w:tcW w:w="810"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1</w:t>
            </w:r>
          </w:p>
        </w:tc>
        <w:tc>
          <w:tcPr>
            <w:tcW w:w="4302" w:type="dxa"/>
            <w:vAlign w:val="center"/>
          </w:tcPr>
          <w:p>
            <w:pPr>
              <w:ind w:firstLine="0" w:firstLineChars="0"/>
              <w:jc w:val="center"/>
              <w:rPr>
                <w:rFonts w:ascii="Times New Roman" w:hAnsi="Times New Roman" w:cs="Times New Roman"/>
                <w:sz w:val="18"/>
                <w:szCs w:val="18"/>
              </w:rPr>
            </w:pPr>
            <w:r>
              <w:rPr>
                <w:rFonts w:ascii="Times New Roman" w:hAnsi="Times New Roman" w:cs="Times New Roman"/>
                <w:sz w:val="18"/>
                <w:szCs w:val="18"/>
              </w:rPr>
              <w:t>车埠镇人民政府</w:t>
            </w:r>
          </w:p>
        </w:tc>
        <w:tc>
          <w:tcPr>
            <w:tcW w:w="3749" w:type="dxa"/>
            <w:vAlign w:val="center"/>
          </w:tcPr>
          <w:p>
            <w:pPr>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0715-5742213</w:t>
            </w:r>
          </w:p>
        </w:tc>
      </w:tr>
    </w:tbl>
    <w:p>
      <w:pPr>
        <w:ind w:firstLine="0" w:firstLineChars="0"/>
        <w:rPr>
          <w:rFonts w:ascii="Times New Roman" w:hAnsi="Times New Roman" w:eastAsia="宋体" w:cs="Times New Roman"/>
          <w:sz w:val="21"/>
          <w:szCs w:val="21"/>
        </w:rPr>
      </w:pPr>
    </w:p>
    <w:p>
      <w:pPr>
        <w:ind w:firstLine="482"/>
        <w:rPr>
          <w:rFonts w:ascii="Times New Roman" w:hAnsi="Times New Roman" w:eastAsia="宋体" w:cs="Times New Roman"/>
          <w:b/>
        </w:rPr>
        <w:sectPr>
          <w:headerReference r:id="rId20" w:type="default"/>
          <w:pgSz w:w="11906" w:h="16838"/>
          <w:pgMar w:top="1134" w:right="1134" w:bottom="1134" w:left="1134" w:header="851" w:footer="992" w:gutter="0"/>
          <w:pgNumType w:fmt="numberInDash"/>
          <w:cols w:space="425" w:num="1"/>
          <w:titlePg/>
          <w:docGrid w:type="lines" w:linePitch="312" w:charSpace="0"/>
        </w:sectPr>
      </w:pPr>
      <w:r>
        <w:rPr>
          <w:rFonts w:ascii="Times New Roman" w:hAnsi="Times New Roman" w:eastAsia="宋体" w:cs="Times New Roman"/>
          <w:b/>
        </w:rPr>
        <w:br w:type="page"/>
      </w:r>
    </w:p>
    <w:p>
      <w:pPr>
        <w:ind w:firstLine="0" w:firstLineChars="0"/>
        <w:jc w:val="left"/>
        <w:rPr>
          <w:rFonts w:ascii="Times New Roman" w:hAnsi="Times New Roman" w:eastAsia="宋体" w:cs="Times New Roman"/>
          <w:b/>
          <w:bCs/>
          <w:sz w:val="28"/>
          <w:szCs w:val="28"/>
        </w:rPr>
      </w:pPr>
      <w:r>
        <w:rPr>
          <w:rFonts w:ascii="Times New Roman" w:hAnsi="Times New Roman" w:eastAsia="宋体" w:cs="Times New Roman"/>
          <w:b/>
          <w:bCs/>
          <w:sz w:val="28"/>
          <w:szCs w:val="28"/>
        </w:rPr>
        <w:t>附件4</w:t>
      </w:r>
    </w:p>
    <w:p>
      <w:pPr>
        <w:pStyle w:val="17"/>
        <w:ind w:firstLine="0" w:firstLineChars="0"/>
        <w:jc w:val="both"/>
        <w:rPr>
          <w:rFonts w:ascii="Times New Roman" w:hAnsi="Times New Roman" w:eastAsia="宋体" w:cs="Times New Roman"/>
        </w:rPr>
      </w:pPr>
      <w:r>
        <w:rPr>
          <w:rFonts w:ascii="Times New Roman" w:hAnsi="Times New Roman" w:eastAsia="宋体" w:cs="Times New Roman"/>
        </w:rPr>
        <w:drawing>
          <wp:inline distT="0" distB="0" distL="114300" distR="114300">
            <wp:extent cx="6113780" cy="8254365"/>
            <wp:effectExtent l="0" t="0" r="1270" b="13335"/>
            <wp:docPr id="40" name="图片 40" descr="P02021032532230400094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P020210325322304000941_01"/>
                    <pic:cNvPicPr>
                      <a:picLocks noChangeAspect="1"/>
                    </pic:cNvPicPr>
                  </pic:nvPicPr>
                  <pic:blipFill>
                    <a:blip r:embed="rId39"/>
                    <a:stretch>
                      <a:fillRect/>
                    </a:stretch>
                  </pic:blipFill>
                  <pic:spPr>
                    <a:xfrm>
                      <a:off x="0" y="0"/>
                      <a:ext cx="6113780" cy="8254365"/>
                    </a:xfrm>
                    <a:prstGeom prst="rect">
                      <a:avLst/>
                    </a:prstGeom>
                  </pic:spPr>
                </pic:pic>
              </a:graphicData>
            </a:graphic>
          </wp:inline>
        </w:drawing>
      </w:r>
      <w:r>
        <w:rPr>
          <w:rFonts w:ascii="Times New Roman" w:hAnsi="Times New Roman" w:eastAsia="宋体" w:cs="Times New Roman"/>
        </w:rPr>
        <w:br w:type="page"/>
      </w:r>
    </w:p>
    <w:p>
      <w:pPr>
        <w:ind w:firstLine="0" w:firstLineChars="0"/>
        <w:jc w:val="left"/>
        <w:rPr>
          <w:rFonts w:ascii="Times New Roman" w:hAnsi="Times New Roman" w:eastAsia="宋体" w:cs="Times New Roman"/>
          <w:b/>
          <w:bCs/>
          <w:sz w:val="28"/>
          <w:szCs w:val="28"/>
        </w:rPr>
      </w:pPr>
      <w:r>
        <w:rPr>
          <w:rFonts w:ascii="Times New Roman" w:hAnsi="Times New Roman" w:eastAsia="宋体" w:cs="Times New Roman"/>
          <w:b/>
          <w:bCs/>
          <w:sz w:val="28"/>
          <w:szCs w:val="28"/>
        </w:rPr>
        <w:t>附件5</w:t>
      </w:r>
    </w:p>
    <w:p>
      <w:pPr>
        <w:spacing w:line="240" w:lineRule="auto"/>
        <w:ind w:firstLine="422"/>
        <w:jc w:val="center"/>
        <w:rPr>
          <w:rFonts w:ascii="Times New Roman" w:hAnsi="Times New Roman" w:eastAsia="宋体" w:cs="Times New Roman"/>
          <w:b/>
          <w:sz w:val="21"/>
          <w:szCs w:val="21"/>
        </w:rPr>
      </w:pPr>
      <w:r>
        <w:rPr>
          <w:rFonts w:ascii="Times New Roman" w:hAnsi="Times New Roman" w:eastAsia="宋体" w:cs="Times New Roman"/>
          <w:b/>
          <w:sz w:val="21"/>
          <w:szCs w:val="21"/>
        </w:rPr>
        <w:t>赤壁恒瑞非织造材料有限公司应急物资装备一览表</w:t>
      </w:r>
    </w:p>
    <w:tbl>
      <w:tblPr>
        <w:tblStyle w:val="36"/>
        <w:tblW w:w="976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43"/>
        <w:gridCol w:w="147"/>
        <w:gridCol w:w="328"/>
        <w:gridCol w:w="1191"/>
        <w:gridCol w:w="98"/>
        <w:gridCol w:w="1154"/>
        <w:gridCol w:w="1221"/>
        <w:gridCol w:w="1221"/>
        <w:gridCol w:w="610"/>
        <w:gridCol w:w="611"/>
        <w:gridCol w:w="178"/>
        <w:gridCol w:w="431"/>
        <w:gridCol w:w="441"/>
        <w:gridCol w:w="13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9766" w:type="dxa"/>
            <w:gridSpan w:val="14"/>
            <w:tcBorders>
              <w:top w:val="single" w:color="auto" w:sz="8" w:space="0"/>
              <w:left w:val="single" w:color="auto" w:sz="8" w:space="0"/>
              <w:bottom w:val="single" w:color="auto" w:sz="4" w:space="0"/>
              <w:right w:val="single" w:color="auto" w:sz="8"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企事业单位基本信息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218" w:type="dxa"/>
            <w:gridSpan w:val="3"/>
            <w:tcBorders>
              <w:top w:val="single" w:color="auto" w:sz="4" w:space="0"/>
              <w:left w:val="single" w:color="auto" w:sz="8"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单位名称</w:t>
            </w:r>
          </w:p>
        </w:tc>
        <w:tc>
          <w:tcPr>
            <w:tcW w:w="8548" w:type="dxa"/>
            <w:gridSpan w:val="11"/>
            <w:tcBorders>
              <w:top w:val="single" w:color="auto" w:sz="4" w:space="0"/>
              <w:left w:val="single" w:color="auto" w:sz="4" w:space="0"/>
              <w:bottom w:val="single" w:color="auto" w:sz="4" w:space="0"/>
              <w:right w:val="single" w:color="auto" w:sz="8"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赤壁恒瑞非织造材料有限公司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218" w:type="dxa"/>
            <w:gridSpan w:val="3"/>
            <w:tcBorders>
              <w:top w:val="single" w:color="auto" w:sz="4" w:space="0"/>
              <w:left w:val="single" w:color="auto" w:sz="8"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物资库位置</w:t>
            </w:r>
          </w:p>
        </w:tc>
        <w:tc>
          <w:tcPr>
            <w:tcW w:w="3664"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kern w:val="0"/>
                <w:sz w:val="18"/>
                <w:szCs w:val="18"/>
              </w:rPr>
              <w:t>公司中部厂房</w:t>
            </w:r>
            <w:r>
              <w:rPr>
                <w:rFonts w:hint="eastAsia" w:ascii="Times New Roman" w:hAnsi="Times New Roman" w:eastAsia="宋体" w:cs="Times New Roman"/>
                <w:kern w:val="0"/>
                <w:sz w:val="18"/>
                <w:szCs w:val="18"/>
              </w:rPr>
              <w:t>办公区域</w:t>
            </w:r>
          </w:p>
        </w:tc>
        <w:tc>
          <w:tcPr>
            <w:tcW w:w="183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sz w:val="18"/>
                <w:szCs w:val="18"/>
              </w:rPr>
              <w:t>经纬度</w:t>
            </w:r>
          </w:p>
        </w:tc>
        <w:tc>
          <w:tcPr>
            <w:tcW w:w="3053" w:type="dxa"/>
            <w:gridSpan w:val="5"/>
            <w:tcBorders>
              <w:top w:val="single" w:color="auto" w:sz="4" w:space="0"/>
              <w:left w:val="single" w:color="auto" w:sz="4" w:space="0"/>
              <w:bottom w:val="single" w:color="auto" w:sz="4" w:space="0"/>
              <w:right w:val="single" w:color="auto" w:sz="8"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113°</w:t>
            </w:r>
            <w:r>
              <w:rPr>
                <w:rFonts w:hint="eastAsia" w:ascii="Times New Roman" w:hAnsi="Times New Roman" w:eastAsia="宋体" w:cs="Times New Roman"/>
                <w:sz w:val="18"/>
                <w:szCs w:val="18"/>
              </w:rPr>
              <w:t>44</w:t>
            </w:r>
            <w:r>
              <w:rPr>
                <w:rFonts w:ascii="Times New Roman" w:hAnsi="Times New Roman" w:eastAsia="宋体" w:cs="Times New Roman"/>
                <w:sz w:val="18"/>
                <w:szCs w:val="18"/>
              </w:rPr>
              <w:t>′</w:t>
            </w:r>
            <w:r>
              <w:rPr>
                <w:rFonts w:hint="eastAsia" w:ascii="Times New Roman" w:hAnsi="Times New Roman" w:eastAsia="宋体" w:cs="Times New Roman"/>
                <w:sz w:val="18"/>
                <w:szCs w:val="18"/>
              </w:rPr>
              <w:t>12.97</w:t>
            </w:r>
            <w:r>
              <w:rPr>
                <w:rFonts w:ascii="Times New Roman" w:hAnsi="Times New Roman" w:eastAsia="宋体" w:cs="Times New Roman"/>
                <w:sz w:val="18"/>
                <w:szCs w:val="18"/>
              </w:rPr>
              <w:t>″，29°4</w:t>
            </w:r>
            <w:r>
              <w:rPr>
                <w:rFonts w:hint="eastAsia" w:ascii="Times New Roman" w:hAnsi="Times New Roman" w:eastAsia="宋体" w:cs="Times New Roman"/>
                <w:sz w:val="18"/>
                <w:szCs w:val="18"/>
              </w:rPr>
              <w:t>6</w:t>
            </w:r>
            <w:r>
              <w:rPr>
                <w:rFonts w:ascii="Times New Roman" w:hAnsi="Times New Roman" w:eastAsia="宋体" w:cs="Times New Roman"/>
                <w:sz w:val="18"/>
                <w:szCs w:val="18"/>
              </w:rPr>
              <w:t>′1</w:t>
            </w:r>
            <w:r>
              <w:rPr>
                <w:rFonts w:hint="eastAsia" w:ascii="Times New Roman" w:hAnsi="Times New Roman" w:eastAsia="宋体" w:cs="Times New Roman"/>
                <w:sz w:val="18"/>
                <w:szCs w:val="18"/>
              </w:rPr>
              <w:t>8.4</w:t>
            </w:r>
            <w:r>
              <w:rPr>
                <w:rFonts w:ascii="Times New Roman" w:hAnsi="Times New Roman" w:eastAsia="宋体" w:cs="Times New Roman"/>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218" w:type="dxa"/>
            <w:gridSpan w:val="3"/>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负责人</w:t>
            </w:r>
          </w:p>
        </w:tc>
        <w:tc>
          <w:tcPr>
            <w:tcW w:w="1289"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姓名</w:t>
            </w:r>
          </w:p>
        </w:tc>
        <w:tc>
          <w:tcPr>
            <w:tcW w:w="237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曾治国</w:t>
            </w:r>
          </w:p>
        </w:tc>
        <w:tc>
          <w:tcPr>
            <w:tcW w:w="122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联系人</w:t>
            </w:r>
          </w:p>
        </w:tc>
        <w:tc>
          <w:tcPr>
            <w:tcW w:w="1830"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姓名</w:t>
            </w:r>
          </w:p>
        </w:tc>
        <w:tc>
          <w:tcPr>
            <w:tcW w:w="1833" w:type="dxa"/>
            <w:gridSpan w:val="2"/>
            <w:tcBorders>
              <w:top w:val="single" w:color="auto" w:sz="4" w:space="0"/>
              <w:left w:val="single" w:color="auto" w:sz="4" w:space="0"/>
              <w:bottom w:val="single" w:color="auto" w:sz="4" w:space="0"/>
              <w:right w:val="single" w:color="auto" w:sz="8"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宋明舟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1218" w:type="dxa"/>
            <w:gridSpan w:val="3"/>
            <w:vMerge w:val="continue"/>
            <w:tcBorders>
              <w:top w:val="single" w:color="auto" w:sz="4" w:space="0"/>
              <w:left w:val="single" w:color="auto" w:sz="8"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cs="Times New Roman"/>
                <w:sz w:val="18"/>
                <w:szCs w:val="18"/>
              </w:rPr>
            </w:pPr>
          </w:p>
        </w:tc>
        <w:tc>
          <w:tcPr>
            <w:tcW w:w="1289"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联系方式</w:t>
            </w:r>
          </w:p>
        </w:tc>
        <w:tc>
          <w:tcPr>
            <w:tcW w:w="237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18207241006</w:t>
            </w:r>
          </w:p>
        </w:tc>
        <w:tc>
          <w:tcPr>
            <w:tcW w:w="122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cs="Times New Roman"/>
                <w:sz w:val="18"/>
                <w:szCs w:val="18"/>
              </w:rPr>
            </w:pPr>
          </w:p>
        </w:tc>
        <w:tc>
          <w:tcPr>
            <w:tcW w:w="1830"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联系方式</w:t>
            </w:r>
          </w:p>
        </w:tc>
        <w:tc>
          <w:tcPr>
            <w:tcW w:w="1833" w:type="dxa"/>
            <w:gridSpan w:val="2"/>
            <w:tcBorders>
              <w:top w:val="single" w:color="auto" w:sz="4" w:space="0"/>
              <w:left w:val="single" w:color="auto" w:sz="4" w:space="0"/>
              <w:bottom w:val="single" w:color="auto" w:sz="4" w:space="0"/>
              <w:right w:val="single" w:color="auto" w:sz="8"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3617156133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9766" w:type="dxa"/>
            <w:gridSpan w:val="14"/>
            <w:tcBorders>
              <w:top w:val="single" w:color="auto" w:sz="4" w:space="0"/>
              <w:left w:val="single" w:color="auto" w:sz="8" w:space="0"/>
              <w:bottom w:val="single" w:color="auto" w:sz="4" w:space="0"/>
              <w:right w:val="single" w:color="auto" w:sz="8"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环境应急资源信息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序号</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名称</w:t>
            </w:r>
          </w:p>
        </w:tc>
        <w:tc>
          <w:tcPr>
            <w:tcW w:w="11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品牌</w:t>
            </w:r>
          </w:p>
        </w:tc>
        <w:tc>
          <w:tcPr>
            <w:tcW w:w="12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型号/规格</w:t>
            </w:r>
          </w:p>
        </w:tc>
        <w:tc>
          <w:tcPr>
            <w:tcW w:w="12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储备量</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报废日期</w:t>
            </w:r>
          </w:p>
        </w:tc>
        <w:tc>
          <w:tcPr>
            <w:tcW w:w="1050"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主要功能</w:t>
            </w:r>
          </w:p>
        </w:tc>
        <w:tc>
          <w:tcPr>
            <w:tcW w:w="1392"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防毒面具</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10</w:t>
            </w:r>
            <w:r>
              <w:rPr>
                <w:rFonts w:ascii="Times New Roman" w:hAnsi="Times New Roman" w:eastAsia="宋体" w:cs="Times New Roman"/>
                <w:kern w:val="0"/>
                <w:sz w:val="18"/>
                <w:szCs w:val="18"/>
              </w:rPr>
              <w:t>个</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050" w:type="dxa"/>
            <w:gridSpan w:val="3"/>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安全防护</w:t>
            </w:r>
          </w:p>
        </w:tc>
        <w:tc>
          <w:tcPr>
            <w:tcW w:w="1392" w:type="dxa"/>
            <w:tcBorders>
              <w:top w:val="single" w:color="auto" w:sz="4" w:space="0"/>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需补充物资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防化服</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2套</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050" w:type="dxa"/>
            <w:gridSpan w:val="3"/>
            <w:vMerge w:val="continue"/>
            <w:tcBorders>
              <w:left w:val="single" w:color="auto" w:sz="4" w:space="0"/>
              <w:right w:val="single" w:color="auto" w:sz="4" w:space="0"/>
            </w:tcBorders>
          </w:tcPr>
          <w:p>
            <w:pPr>
              <w:spacing w:line="240" w:lineRule="auto"/>
              <w:ind w:firstLine="0" w:firstLineChars="0"/>
              <w:jc w:val="center"/>
              <w:rPr>
                <w:rFonts w:ascii="Times New Roman" w:hAnsi="Times New Roman" w:eastAsia="宋体" w:cs="Times New Roman"/>
                <w:sz w:val="18"/>
                <w:szCs w:val="18"/>
              </w:rPr>
            </w:pPr>
          </w:p>
        </w:tc>
        <w:tc>
          <w:tcPr>
            <w:tcW w:w="1392" w:type="dxa"/>
            <w:vMerge w:val="restart"/>
            <w:tcBorders>
              <w:top w:val="single" w:color="auto" w:sz="4" w:space="0"/>
              <w:left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需补充物资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防化靴</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2双</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050" w:type="dxa"/>
            <w:gridSpan w:val="3"/>
            <w:vMerge w:val="continue"/>
            <w:tcBorders>
              <w:left w:val="single" w:color="auto" w:sz="4" w:space="0"/>
              <w:right w:val="single" w:color="auto" w:sz="4" w:space="0"/>
            </w:tcBorders>
          </w:tcPr>
          <w:p>
            <w:pPr>
              <w:spacing w:line="240" w:lineRule="auto"/>
              <w:ind w:firstLine="0" w:firstLineChars="0"/>
              <w:jc w:val="center"/>
              <w:rPr>
                <w:rFonts w:ascii="Times New Roman" w:hAnsi="Times New Roman" w:eastAsia="宋体" w:cs="Times New Roman"/>
                <w:sz w:val="18"/>
                <w:szCs w:val="18"/>
              </w:rPr>
            </w:pPr>
          </w:p>
        </w:tc>
        <w:tc>
          <w:tcPr>
            <w:tcW w:w="1392" w:type="dxa"/>
            <w:vMerge w:val="continue"/>
            <w:tcBorders>
              <w:left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防化手套</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2副</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050" w:type="dxa"/>
            <w:gridSpan w:val="3"/>
            <w:vMerge w:val="continue"/>
            <w:tcBorders>
              <w:left w:val="single" w:color="auto" w:sz="4" w:space="0"/>
              <w:right w:val="single" w:color="auto" w:sz="4" w:space="0"/>
            </w:tcBorders>
          </w:tcPr>
          <w:p>
            <w:pPr>
              <w:spacing w:line="240" w:lineRule="auto"/>
              <w:ind w:firstLine="0" w:firstLineChars="0"/>
              <w:jc w:val="center"/>
              <w:rPr>
                <w:rFonts w:ascii="Times New Roman" w:hAnsi="Times New Roman" w:eastAsia="宋体" w:cs="Times New Roman"/>
                <w:sz w:val="18"/>
                <w:szCs w:val="18"/>
              </w:rPr>
            </w:pPr>
          </w:p>
        </w:tc>
        <w:tc>
          <w:tcPr>
            <w:tcW w:w="1392" w:type="dxa"/>
            <w:vMerge w:val="continue"/>
            <w:tcBorders>
              <w:left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防化护目镜</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2个</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损坏更换</w:t>
            </w:r>
          </w:p>
        </w:tc>
        <w:tc>
          <w:tcPr>
            <w:tcW w:w="1050" w:type="dxa"/>
            <w:gridSpan w:val="3"/>
            <w:vMerge w:val="continue"/>
            <w:tcBorders>
              <w:left w:val="single" w:color="auto" w:sz="4" w:space="0"/>
              <w:right w:val="single" w:color="auto" w:sz="4" w:space="0"/>
            </w:tcBorders>
          </w:tcPr>
          <w:p>
            <w:pPr>
              <w:spacing w:line="240" w:lineRule="auto"/>
              <w:ind w:firstLine="0" w:firstLineChars="0"/>
              <w:jc w:val="center"/>
              <w:rPr>
                <w:rFonts w:ascii="Times New Roman" w:hAnsi="Times New Roman" w:eastAsia="宋体" w:cs="Times New Roman"/>
                <w:sz w:val="18"/>
                <w:szCs w:val="18"/>
              </w:rPr>
            </w:pPr>
          </w:p>
        </w:tc>
        <w:tc>
          <w:tcPr>
            <w:tcW w:w="1392" w:type="dxa"/>
            <w:vMerge w:val="continue"/>
            <w:tcBorders>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呼吸面具</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6</w:t>
            </w:r>
            <w:r>
              <w:rPr>
                <w:rFonts w:ascii="Times New Roman" w:hAnsi="Times New Roman" w:eastAsia="宋体" w:cs="Times New Roman"/>
                <w:kern w:val="0"/>
                <w:sz w:val="18"/>
                <w:szCs w:val="18"/>
              </w:rPr>
              <w:t>个</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损坏更换</w:t>
            </w:r>
          </w:p>
        </w:tc>
        <w:tc>
          <w:tcPr>
            <w:tcW w:w="1050" w:type="dxa"/>
            <w:gridSpan w:val="3"/>
            <w:vMerge w:val="continue"/>
            <w:tcBorders>
              <w:left w:val="single" w:color="auto" w:sz="4" w:space="0"/>
              <w:right w:val="single" w:color="auto" w:sz="4" w:space="0"/>
            </w:tcBorders>
          </w:tcPr>
          <w:p>
            <w:pPr>
              <w:spacing w:line="240" w:lineRule="auto"/>
              <w:ind w:firstLine="0" w:firstLineChars="0"/>
              <w:jc w:val="center"/>
              <w:rPr>
                <w:rFonts w:ascii="Times New Roman" w:hAnsi="Times New Roman" w:eastAsia="宋体" w:cs="Times New Roman"/>
                <w:sz w:val="18"/>
                <w:szCs w:val="18"/>
              </w:rPr>
            </w:pPr>
          </w:p>
        </w:tc>
        <w:tc>
          <w:tcPr>
            <w:tcW w:w="1392" w:type="dxa"/>
            <w:tcBorders>
              <w:top w:val="single" w:color="auto" w:sz="4" w:space="0"/>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需补充物资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安全帽</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50顶</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损坏更换</w:t>
            </w:r>
          </w:p>
        </w:tc>
        <w:tc>
          <w:tcPr>
            <w:tcW w:w="1050" w:type="dxa"/>
            <w:gridSpan w:val="3"/>
            <w:vMerge w:val="continue"/>
            <w:tcBorders>
              <w:left w:val="single" w:color="auto" w:sz="4" w:space="0"/>
              <w:right w:val="single" w:color="auto" w:sz="4" w:space="0"/>
            </w:tcBorders>
          </w:tcPr>
          <w:p>
            <w:pPr>
              <w:spacing w:line="240" w:lineRule="auto"/>
              <w:ind w:firstLine="0" w:firstLineChars="0"/>
              <w:jc w:val="center"/>
              <w:rPr>
                <w:rFonts w:ascii="Times New Roman" w:hAnsi="Times New Roman" w:eastAsia="宋体" w:cs="Times New Roman"/>
                <w:sz w:val="18"/>
                <w:szCs w:val="18"/>
              </w:rPr>
            </w:pPr>
          </w:p>
        </w:tc>
        <w:tc>
          <w:tcPr>
            <w:tcW w:w="1392" w:type="dxa"/>
            <w:tcBorders>
              <w:top w:val="single" w:color="auto" w:sz="4" w:space="0"/>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生产车间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安全鞋</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6双</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损坏更换</w:t>
            </w:r>
          </w:p>
        </w:tc>
        <w:tc>
          <w:tcPr>
            <w:tcW w:w="1050" w:type="dxa"/>
            <w:gridSpan w:val="3"/>
            <w:vMerge w:val="continue"/>
            <w:tcBorders>
              <w:left w:val="single" w:color="auto" w:sz="4" w:space="0"/>
              <w:right w:val="single" w:color="auto" w:sz="4" w:space="0"/>
            </w:tcBorders>
          </w:tcPr>
          <w:p>
            <w:pPr>
              <w:spacing w:line="240" w:lineRule="auto"/>
              <w:ind w:firstLine="0" w:firstLineChars="0"/>
              <w:jc w:val="center"/>
              <w:rPr>
                <w:rFonts w:ascii="Times New Roman" w:hAnsi="Times New Roman" w:eastAsia="宋体" w:cs="Times New Roman"/>
                <w:sz w:val="18"/>
                <w:szCs w:val="18"/>
              </w:rPr>
            </w:pPr>
          </w:p>
        </w:tc>
        <w:tc>
          <w:tcPr>
            <w:tcW w:w="1392" w:type="dxa"/>
            <w:tcBorders>
              <w:top w:val="single" w:color="auto" w:sz="4" w:space="0"/>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生产车间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安全绳</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6副</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破损更换</w:t>
            </w:r>
          </w:p>
        </w:tc>
        <w:tc>
          <w:tcPr>
            <w:tcW w:w="1050" w:type="dxa"/>
            <w:gridSpan w:val="3"/>
            <w:vMerge w:val="continue"/>
            <w:tcBorders>
              <w:left w:val="single" w:color="auto" w:sz="4" w:space="0"/>
              <w:right w:val="single" w:color="auto" w:sz="4" w:space="0"/>
            </w:tcBorders>
          </w:tcPr>
          <w:p>
            <w:pPr>
              <w:spacing w:line="240" w:lineRule="auto"/>
              <w:ind w:firstLine="0" w:firstLineChars="0"/>
              <w:jc w:val="center"/>
              <w:rPr>
                <w:rFonts w:ascii="Times New Roman" w:hAnsi="Times New Roman" w:eastAsia="宋体" w:cs="Times New Roman"/>
                <w:sz w:val="18"/>
                <w:szCs w:val="18"/>
              </w:rPr>
            </w:pPr>
          </w:p>
        </w:tc>
        <w:tc>
          <w:tcPr>
            <w:tcW w:w="1392" w:type="dxa"/>
            <w:tcBorders>
              <w:top w:val="single" w:color="auto" w:sz="4" w:space="0"/>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生产车间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耳塞</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20副</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p>
        </w:tc>
        <w:tc>
          <w:tcPr>
            <w:tcW w:w="1050" w:type="dxa"/>
            <w:gridSpan w:val="3"/>
            <w:vMerge w:val="continue"/>
            <w:tcBorders>
              <w:left w:val="single" w:color="auto" w:sz="4" w:space="0"/>
              <w:bottom w:val="single" w:color="auto" w:sz="4" w:space="0"/>
              <w:right w:val="single" w:color="auto" w:sz="4" w:space="0"/>
            </w:tcBorders>
          </w:tcPr>
          <w:p>
            <w:pPr>
              <w:spacing w:line="240" w:lineRule="auto"/>
              <w:ind w:firstLine="0" w:firstLineChars="0"/>
              <w:jc w:val="center"/>
              <w:rPr>
                <w:rFonts w:ascii="Times New Roman" w:hAnsi="Times New Roman" w:eastAsia="宋体" w:cs="Times New Roman"/>
                <w:sz w:val="18"/>
                <w:szCs w:val="18"/>
              </w:rPr>
            </w:pPr>
          </w:p>
        </w:tc>
        <w:tc>
          <w:tcPr>
            <w:tcW w:w="1392" w:type="dxa"/>
            <w:tcBorders>
              <w:top w:val="single" w:color="auto" w:sz="4" w:space="0"/>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生产车间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12</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担架</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1个</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损坏更换</w:t>
            </w:r>
          </w:p>
        </w:tc>
        <w:tc>
          <w:tcPr>
            <w:tcW w:w="1050" w:type="dxa"/>
            <w:gridSpan w:val="3"/>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紧急医疗救护</w:t>
            </w:r>
          </w:p>
        </w:tc>
        <w:tc>
          <w:tcPr>
            <w:tcW w:w="1392" w:type="dxa"/>
            <w:tcBorders>
              <w:top w:val="single" w:color="auto" w:sz="4" w:space="0"/>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需补充物资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急救箱</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1个</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过期更换</w:t>
            </w:r>
          </w:p>
        </w:tc>
        <w:tc>
          <w:tcPr>
            <w:tcW w:w="1050" w:type="dxa"/>
            <w:gridSpan w:val="3"/>
            <w:vMerge w:val="continue"/>
            <w:tcBorders>
              <w:left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p>
        </w:tc>
        <w:tc>
          <w:tcPr>
            <w:tcW w:w="1392" w:type="dxa"/>
            <w:tcBorders>
              <w:top w:val="single" w:color="auto" w:sz="4" w:space="0"/>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办公室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14</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各类常用药（抗生素、解毒等）</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若干</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过期更换</w:t>
            </w:r>
          </w:p>
        </w:tc>
        <w:tc>
          <w:tcPr>
            <w:tcW w:w="1050" w:type="dxa"/>
            <w:gridSpan w:val="3"/>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p>
        </w:tc>
        <w:tc>
          <w:tcPr>
            <w:tcW w:w="1392" w:type="dxa"/>
            <w:tcBorders>
              <w:top w:val="single" w:color="auto" w:sz="4" w:space="0"/>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需补充物资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15</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应急灯</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w:t>
            </w:r>
            <w:r>
              <w:rPr>
                <w:rFonts w:ascii="Times New Roman" w:hAnsi="Times New Roman" w:eastAsia="宋体" w:cs="Times New Roman"/>
                <w:kern w:val="0"/>
                <w:sz w:val="18"/>
                <w:szCs w:val="18"/>
              </w:rPr>
              <w:t>0个</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损坏更换</w:t>
            </w:r>
          </w:p>
        </w:tc>
        <w:tc>
          <w:tcPr>
            <w:tcW w:w="1050" w:type="dxa"/>
            <w:gridSpan w:val="3"/>
            <w:tcBorders>
              <w:top w:val="single" w:color="auto" w:sz="4" w:space="0"/>
              <w:left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现场照明</w:t>
            </w:r>
          </w:p>
        </w:tc>
        <w:tc>
          <w:tcPr>
            <w:tcW w:w="1392" w:type="dxa"/>
            <w:tcBorders>
              <w:top w:val="single" w:color="auto" w:sz="4" w:space="0"/>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生产车间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16</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安全警戒带</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3条</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损坏更换</w:t>
            </w:r>
          </w:p>
        </w:tc>
        <w:tc>
          <w:tcPr>
            <w:tcW w:w="1050" w:type="dxa"/>
            <w:gridSpan w:val="3"/>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现场警戒</w:t>
            </w:r>
          </w:p>
        </w:tc>
        <w:tc>
          <w:tcPr>
            <w:tcW w:w="1392" w:type="dxa"/>
            <w:tcBorders>
              <w:top w:val="single" w:color="auto" w:sz="4" w:space="0"/>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需补充物资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17</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警示灯</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2个</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损坏更换</w:t>
            </w:r>
          </w:p>
        </w:tc>
        <w:tc>
          <w:tcPr>
            <w:tcW w:w="1050" w:type="dxa"/>
            <w:gridSpan w:val="3"/>
            <w:vMerge w:val="continue"/>
            <w:tcBorders>
              <w:left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p>
        </w:tc>
        <w:tc>
          <w:tcPr>
            <w:tcW w:w="1392" w:type="dxa"/>
            <w:tcBorders>
              <w:top w:val="single" w:color="auto" w:sz="4" w:space="0"/>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需补充物资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18</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警报器（电动、手动）</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1个</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损坏更换</w:t>
            </w:r>
          </w:p>
        </w:tc>
        <w:tc>
          <w:tcPr>
            <w:tcW w:w="1050" w:type="dxa"/>
            <w:gridSpan w:val="3"/>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p>
        </w:tc>
        <w:tc>
          <w:tcPr>
            <w:tcW w:w="1392" w:type="dxa"/>
            <w:tcBorders>
              <w:top w:val="single" w:color="auto" w:sz="4" w:space="0"/>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需补充物资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19</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沙包沙袋</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3包</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损坏更换</w:t>
            </w:r>
          </w:p>
        </w:tc>
        <w:tc>
          <w:tcPr>
            <w:tcW w:w="1050" w:type="dxa"/>
            <w:gridSpan w:val="3"/>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污染源切断</w:t>
            </w:r>
          </w:p>
        </w:tc>
        <w:tc>
          <w:tcPr>
            <w:tcW w:w="1392" w:type="dxa"/>
            <w:tcBorders>
              <w:top w:val="single" w:color="auto" w:sz="4" w:space="0"/>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生产车间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20</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沟渠密封袋</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2个</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损坏更换</w:t>
            </w:r>
          </w:p>
        </w:tc>
        <w:tc>
          <w:tcPr>
            <w:tcW w:w="1050" w:type="dxa"/>
            <w:gridSpan w:val="3"/>
            <w:vMerge w:val="continue"/>
            <w:tcBorders>
              <w:left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p>
        </w:tc>
        <w:tc>
          <w:tcPr>
            <w:tcW w:w="1392" w:type="dxa"/>
            <w:tcBorders>
              <w:top w:val="single" w:color="auto" w:sz="4" w:space="0"/>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需补充物资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21</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吨桶</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1个</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损坏更换</w:t>
            </w:r>
          </w:p>
        </w:tc>
        <w:tc>
          <w:tcPr>
            <w:tcW w:w="1050" w:type="dxa"/>
            <w:gridSpan w:val="3"/>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污染物收集</w:t>
            </w:r>
          </w:p>
        </w:tc>
        <w:tc>
          <w:tcPr>
            <w:tcW w:w="1392" w:type="dxa"/>
            <w:vMerge w:val="restart"/>
            <w:tcBorders>
              <w:top w:val="single" w:color="auto" w:sz="4" w:space="0"/>
              <w:left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需补充物资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22</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潜水泵</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1个</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损坏更换</w:t>
            </w:r>
          </w:p>
        </w:tc>
        <w:tc>
          <w:tcPr>
            <w:tcW w:w="1050" w:type="dxa"/>
            <w:gridSpan w:val="3"/>
            <w:vMerge w:val="continue"/>
            <w:tcBorders>
              <w:left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p>
        </w:tc>
        <w:tc>
          <w:tcPr>
            <w:tcW w:w="1392" w:type="dxa"/>
            <w:vMerge w:val="continue"/>
            <w:tcBorders>
              <w:left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23</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吸油毡</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2张</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损坏更换</w:t>
            </w:r>
          </w:p>
        </w:tc>
        <w:tc>
          <w:tcPr>
            <w:tcW w:w="1050" w:type="dxa"/>
            <w:gridSpan w:val="3"/>
            <w:vMerge w:val="continue"/>
            <w:tcBorders>
              <w:left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p>
        </w:tc>
        <w:tc>
          <w:tcPr>
            <w:tcW w:w="1392" w:type="dxa"/>
            <w:vMerge w:val="continue"/>
            <w:tcBorders>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24</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围油栏</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1个</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损坏更换</w:t>
            </w:r>
          </w:p>
        </w:tc>
        <w:tc>
          <w:tcPr>
            <w:tcW w:w="1050" w:type="dxa"/>
            <w:gridSpan w:val="3"/>
            <w:tcBorders>
              <w:top w:val="single" w:color="auto" w:sz="4" w:space="0"/>
              <w:left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污染物控制</w:t>
            </w:r>
          </w:p>
        </w:tc>
        <w:tc>
          <w:tcPr>
            <w:tcW w:w="1392" w:type="dxa"/>
            <w:tcBorders>
              <w:top w:val="single" w:color="auto" w:sz="4" w:space="0"/>
              <w:left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需补充物资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25</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手持扩音器</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1个</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损坏更换</w:t>
            </w:r>
          </w:p>
        </w:tc>
        <w:tc>
          <w:tcPr>
            <w:tcW w:w="1050" w:type="dxa"/>
            <w:gridSpan w:val="3"/>
            <w:vMerge w:val="restart"/>
            <w:tcBorders>
              <w:left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p>
        </w:tc>
        <w:tc>
          <w:tcPr>
            <w:tcW w:w="1392" w:type="dxa"/>
            <w:tcBorders>
              <w:top w:val="single" w:color="auto" w:sz="4" w:space="0"/>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需补充物资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26</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疏散指示标志</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30个</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损坏更换</w:t>
            </w:r>
          </w:p>
        </w:tc>
        <w:tc>
          <w:tcPr>
            <w:tcW w:w="1050" w:type="dxa"/>
            <w:gridSpan w:val="3"/>
            <w:vMerge w:val="continue"/>
            <w:tcBorders>
              <w:left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p>
        </w:tc>
        <w:tc>
          <w:tcPr>
            <w:tcW w:w="1392" w:type="dxa"/>
            <w:tcBorders>
              <w:top w:val="single" w:color="auto" w:sz="4" w:space="0"/>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厂区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90" w:type="dxa"/>
            <w:gridSpan w:val="2"/>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27</w:t>
            </w:r>
          </w:p>
        </w:tc>
        <w:tc>
          <w:tcPr>
            <w:tcW w:w="161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风向标</w:t>
            </w:r>
          </w:p>
        </w:tc>
        <w:tc>
          <w:tcPr>
            <w:tcW w:w="11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1个</w:t>
            </w:r>
          </w:p>
        </w:tc>
        <w:tc>
          <w:tcPr>
            <w:tcW w:w="122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损坏更换</w:t>
            </w:r>
          </w:p>
        </w:tc>
        <w:tc>
          <w:tcPr>
            <w:tcW w:w="1050"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气象监测</w:t>
            </w:r>
          </w:p>
        </w:tc>
        <w:tc>
          <w:tcPr>
            <w:tcW w:w="1392" w:type="dxa"/>
            <w:tcBorders>
              <w:top w:val="single" w:color="auto" w:sz="4" w:space="0"/>
              <w:left w:val="single" w:color="auto" w:sz="4" w:space="0"/>
              <w:bottom w:val="single" w:color="auto" w:sz="4" w:space="0"/>
              <w:right w:val="single" w:color="auto" w:sz="8" w:space="0"/>
            </w:tcBorders>
            <w:vAlign w:val="center"/>
          </w:tcPr>
          <w:p>
            <w:pPr>
              <w:spacing w:line="240" w:lineRule="auto"/>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需补充物资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9766" w:type="dxa"/>
            <w:gridSpan w:val="14"/>
            <w:tcBorders>
              <w:top w:val="single" w:color="auto" w:sz="4" w:space="0"/>
              <w:left w:val="single" w:color="auto" w:sz="8" w:space="0"/>
              <w:bottom w:val="single" w:color="auto" w:sz="4" w:space="0"/>
              <w:right w:val="single" w:color="auto" w:sz="8" w:space="0"/>
            </w:tcBorders>
            <w:vAlign w:val="center"/>
          </w:tcPr>
          <w:p>
            <w:pPr>
              <w:pStyle w:val="86"/>
              <w:spacing w:line="240" w:lineRule="auto"/>
              <w:rPr>
                <w:kern w:val="0"/>
                <w:szCs w:val="18"/>
              </w:rPr>
            </w:pPr>
            <w:r>
              <w:rPr>
                <w:b/>
                <w:bCs/>
                <w:szCs w:val="18"/>
              </w:rPr>
              <w:t>环境应急支持单位信息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743" w:type="dxa"/>
            <w:tcBorders>
              <w:top w:val="single" w:color="auto" w:sz="4" w:space="0"/>
              <w:left w:val="single" w:color="auto" w:sz="8" w:space="0"/>
              <w:bottom w:val="single" w:color="auto" w:sz="4" w:space="0"/>
              <w:right w:val="single" w:color="auto" w:sz="4" w:space="0"/>
            </w:tcBorders>
            <w:vAlign w:val="center"/>
          </w:tcPr>
          <w:p>
            <w:pPr>
              <w:pStyle w:val="86"/>
              <w:spacing w:line="240" w:lineRule="auto"/>
              <w:rPr>
                <w:kern w:val="0"/>
                <w:szCs w:val="18"/>
              </w:rPr>
            </w:pPr>
            <w:r>
              <w:rPr>
                <w:b/>
                <w:bCs/>
                <w:szCs w:val="18"/>
              </w:rPr>
              <w:t>序号</w:t>
            </w:r>
          </w:p>
        </w:tc>
        <w:tc>
          <w:tcPr>
            <w:tcW w:w="1666" w:type="dxa"/>
            <w:gridSpan w:val="3"/>
            <w:tcBorders>
              <w:top w:val="single" w:color="auto" w:sz="4" w:space="0"/>
              <w:left w:val="single" w:color="auto" w:sz="4" w:space="0"/>
              <w:bottom w:val="single" w:color="auto" w:sz="4" w:space="0"/>
              <w:right w:val="single" w:color="auto" w:sz="4" w:space="0"/>
            </w:tcBorders>
            <w:vAlign w:val="center"/>
          </w:tcPr>
          <w:p>
            <w:pPr>
              <w:pStyle w:val="86"/>
              <w:spacing w:line="240" w:lineRule="auto"/>
              <w:rPr>
                <w:kern w:val="0"/>
                <w:szCs w:val="18"/>
              </w:rPr>
            </w:pPr>
            <w:r>
              <w:rPr>
                <w:b/>
                <w:bCs/>
                <w:szCs w:val="18"/>
              </w:rPr>
              <w:t>类别</w:t>
            </w:r>
          </w:p>
        </w:tc>
        <w:tc>
          <w:tcPr>
            <w:tcW w:w="5093" w:type="dxa"/>
            <w:gridSpan w:val="7"/>
            <w:tcBorders>
              <w:top w:val="single" w:color="auto" w:sz="4" w:space="0"/>
              <w:left w:val="single" w:color="auto" w:sz="4" w:space="0"/>
              <w:bottom w:val="single" w:color="auto" w:sz="4" w:space="0"/>
              <w:right w:val="single" w:color="auto" w:sz="4" w:space="0"/>
            </w:tcBorders>
            <w:vAlign w:val="center"/>
          </w:tcPr>
          <w:p>
            <w:pPr>
              <w:pStyle w:val="86"/>
              <w:spacing w:line="240" w:lineRule="auto"/>
              <w:rPr>
                <w:kern w:val="0"/>
                <w:szCs w:val="18"/>
              </w:rPr>
            </w:pPr>
            <w:r>
              <w:rPr>
                <w:b/>
                <w:bCs/>
                <w:szCs w:val="18"/>
              </w:rPr>
              <w:t>单位名称</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pStyle w:val="86"/>
              <w:spacing w:line="240" w:lineRule="auto"/>
              <w:rPr>
                <w:kern w:val="0"/>
                <w:szCs w:val="18"/>
              </w:rPr>
            </w:pPr>
            <w:r>
              <w:rPr>
                <w:b/>
                <w:bCs/>
                <w:szCs w:val="18"/>
              </w:rPr>
              <w:t>主要能力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743" w:type="dxa"/>
            <w:tcBorders>
              <w:top w:val="single" w:color="auto" w:sz="4" w:space="0"/>
              <w:left w:val="single" w:color="auto" w:sz="8" w:space="0"/>
              <w:bottom w:val="single" w:color="auto" w:sz="4" w:space="0"/>
              <w:right w:val="single" w:color="auto" w:sz="4" w:space="0"/>
            </w:tcBorders>
            <w:vAlign w:val="center"/>
          </w:tcPr>
          <w:p>
            <w:pPr>
              <w:pStyle w:val="86"/>
              <w:spacing w:line="240" w:lineRule="auto"/>
              <w:rPr>
                <w:kern w:val="0"/>
                <w:szCs w:val="18"/>
              </w:rPr>
            </w:pPr>
            <w:r>
              <w:rPr>
                <w:szCs w:val="18"/>
              </w:rPr>
              <w:t>1</w:t>
            </w:r>
          </w:p>
        </w:tc>
        <w:tc>
          <w:tcPr>
            <w:tcW w:w="1666" w:type="dxa"/>
            <w:gridSpan w:val="3"/>
            <w:tcBorders>
              <w:top w:val="single" w:color="auto" w:sz="4" w:space="0"/>
              <w:left w:val="single" w:color="auto" w:sz="4" w:space="0"/>
              <w:bottom w:val="single" w:color="auto" w:sz="4" w:space="0"/>
              <w:right w:val="single" w:color="auto" w:sz="4" w:space="0"/>
            </w:tcBorders>
            <w:vAlign w:val="center"/>
          </w:tcPr>
          <w:p>
            <w:pPr>
              <w:pStyle w:val="86"/>
              <w:spacing w:line="240" w:lineRule="auto"/>
              <w:rPr>
                <w:kern w:val="0"/>
                <w:szCs w:val="18"/>
              </w:rPr>
            </w:pPr>
            <w:r>
              <w:rPr>
                <w:szCs w:val="18"/>
              </w:rPr>
              <w:t>应急救援单位</w:t>
            </w:r>
          </w:p>
        </w:tc>
        <w:tc>
          <w:tcPr>
            <w:tcW w:w="5093" w:type="dxa"/>
            <w:gridSpan w:val="7"/>
            <w:tcBorders>
              <w:top w:val="single" w:color="auto" w:sz="4" w:space="0"/>
              <w:left w:val="single" w:color="auto" w:sz="4" w:space="0"/>
              <w:bottom w:val="single" w:color="auto" w:sz="4" w:space="0"/>
              <w:right w:val="single" w:color="auto" w:sz="4" w:space="0"/>
            </w:tcBorders>
            <w:vAlign w:val="center"/>
          </w:tcPr>
          <w:p>
            <w:pPr>
              <w:pStyle w:val="86"/>
              <w:spacing w:line="240" w:lineRule="auto"/>
              <w:rPr>
                <w:kern w:val="0"/>
                <w:szCs w:val="18"/>
              </w:rPr>
            </w:pPr>
            <w:r>
              <w:rPr>
                <w:szCs w:val="18"/>
              </w:rPr>
              <w:t>湖北</w:t>
            </w:r>
            <w:r>
              <w:rPr>
                <w:rFonts w:hint="eastAsia"/>
                <w:szCs w:val="18"/>
              </w:rPr>
              <w:t>龙兴无纺</w:t>
            </w:r>
            <w:r>
              <w:rPr>
                <w:szCs w:val="18"/>
              </w:rPr>
              <w:t>科技有限公司</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pStyle w:val="86"/>
              <w:spacing w:line="240" w:lineRule="auto"/>
              <w:rPr>
                <w:kern w:val="0"/>
                <w:szCs w:val="18"/>
              </w:rPr>
            </w:pPr>
            <w:r>
              <w:rPr>
                <w:szCs w:val="18"/>
              </w:rPr>
              <w:t>有相应的救援物资和人员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743" w:type="dxa"/>
            <w:tcBorders>
              <w:top w:val="single" w:color="auto" w:sz="4" w:space="0"/>
              <w:left w:val="single" w:color="auto" w:sz="8" w:space="0"/>
              <w:bottom w:val="single" w:color="auto" w:sz="4" w:space="0"/>
              <w:right w:val="single" w:color="auto" w:sz="4" w:space="0"/>
            </w:tcBorders>
            <w:vAlign w:val="center"/>
          </w:tcPr>
          <w:p>
            <w:pPr>
              <w:pStyle w:val="86"/>
              <w:spacing w:line="240" w:lineRule="auto"/>
              <w:rPr>
                <w:kern w:val="0"/>
                <w:szCs w:val="18"/>
              </w:rPr>
            </w:pPr>
            <w:r>
              <w:rPr>
                <w:szCs w:val="18"/>
              </w:rPr>
              <w:t>2</w:t>
            </w:r>
          </w:p>
        </w:tc>
        <w:tc>
          <w:tcPr>
            <w:tcW w:w="1666" w:type="dxa"/>
            <w:gridSpan w:val="3"/>
            <w:tcBorders>
              <w:top w:val="single" w:color="auto" w:sz="4" w:space="0"/>
              <w:left w:val="single" w:color="auto" w:sz="4" w:space="0"/>
              <w:bottom w:val="single" w:color="auto" w:sz="4" w:space="0"/>
              <w:right w:val="single" w:color="auto" w:sz="4" w:space="0"/>
            </w:tcBorders>
            <w:vAlign w:val="center"/>
          </w:tcPr>
          <w:p>
            <w:pPr>
              <w:pStyle w:val="86"/>
              <w:spacing w:line="240" w:lineRule="auto"/>
              <w:rPr>
                <w:kern w:val="0"/>
                <w:szCs w:val="18"/>
              </w:rPr>
            </w:pPr>
            <w:r>
              <w:rPr>
                <w:szCs w:val="18"/>
              </w:rPr>
              <w:t>应急监测单位</w:t>
            </w:r>
          </w:p>
        </w:tc>
        <w:tc>
          <w:tcPr>
            <w:tcW w:w="5093" w:type="dxa"/>
            <w:gridSpan w:val="7"/>
            <w:tcBorders>
              <w:top w:val="single" w:color="auto" w:sz="4" w:space="0"/>
              <w:left w:val="single" w:color="auto" w:sz="4" w:space="0"/>
              <w:bottom w:val="single" w:color="auto" w:sz="4" w:space="0"/>
              <w:right w:val="single" w:color="auto" w:sz="4" w:space="0"/>
            </w:tcBorders>
            <w:vAlign w:val="center"/>
          </w:tcPr>
          <w:p>
            <w:pPr>
              <w:pStyle w:val="86"/>
              <w:spacing w:line="240" w:lineRule="auto"/>
              <w:rPr>
                <w:kern w:val="0"/>
                <w:szCs w:val="18"/>
              </w:rPr>
            </w:pPr>
            <w:r>
              <w:rPr>
                <w:szCs w:val="18"/>
              </w:rPr>
              <w:t>赤壁市环境监测站、第三方检测机构</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pStyle w:val="86"/>
              <w:spacing w:line="240" w:lineRule="auto"/>
              <w:rPr>
                <w:kern w:val="0"/>
                <w:szCs w:val="18"/>
              </w:rPr>
            </w:pPr>
            <w:r>
              <w:rPr>
                <w:szCs w:val="18"/>
              </w:rPr>
              <w:t>具有环境应急监测能力</w:t>
            </w:r>
          </w:p>
        </w:tc>
      </w:tr>
    </w:tbl>
    <w:p>
      <w:pPr>
        <w:pStyle w:val="17"/>
        <w:ind w:firstLine="482"/>
        <w:rPr>
          <w:rFonts w:ascii="Times New Roman" w:hAnsi="Times New Roman" w:eastAsia="宋体" w:cs="Times New Roman"/>
          <w:b/>
          <w:szCs w:val="24"/>
        </w:rPr>
      </w:pPr>
    </w:p>
    <w:p>
      <w:pPr>
        <w:pStyle w:val="2"/>
        <w:rPr>
          <w:rFonts w:ascii="Times New Roman" w:hAnsi="Times New Roman" w:eastAsia="宋体" w:cs="Times New Roman"/>
          <w:color w:val="auto"/>
        </w:rPr>
      </w:pPr>
    </w:p>
    <w:p>
      <w:pPr>
        <w:ind w:firstLine="0" w:firstLineChars="0"/>
        <w:rPr>
          <w:rFonts w:ascii="Times New Roman" w:hAnsi="Times New Roman" w:eastAsia="宋体" w:cs="Times New Roman"/>
          <w:b/>
          <w:sz w:val="28"/>
          <w:szCs w:val="28"/>
        </w:rPr>
        <w:sectPr>
          <w:pgSz w:w="11906" w:h="16838"/>
          <w:pgMar w:top="1134" w:right="1134" w:bottom="1134" w:left="1134" w:header="851" w:footer="992" w:gutter="0"/>
          <w:pgNumType w:fmt="numberInDash"/>
          <w:cols w:space="425" w:num="1"/>
          <w:titlePg/>
          <w:docGrid w:type="lines" w:linePitch="312" w:charSpace="0"/>
        </w:sectPr>
      </w:pPr>
    </w:p>
    <w:p>
      <w:pPr>
        <w:ind w:firstLine="0" w:firstLineChars="0"/>
        <w:jc w:val="left"/>
        <w:rPr>
          <w:rFonts w:ascii="Times New Roman" w:hAnsi="Times New Roman" w:eastAsia="宋体" w:cs="Times New Roman"/>
          <w:b/>
          <w:bCs/>
          <w:sz w:val="28"/>
          <w:szCs w:val="28"/>
        </w:rPr>
      </w:pPr>
      <w:r>
        <w:rPr>
          <w:rFonts w:ascii="Times New Roman" w:hAnsi="Times New Roman" w:eastAsia="宋体" w:cs="Times New Roman"/>
          <w:b/>
          <w:bCs/>
          <w:sz w:val="28"/>
          <w:szCs w:val="28"/>
        </w:rPr>
        <w:t>附件6</w:t>
      </w:r>
    </w:p>
    <w:p>
      <w:pPr>
        <w:spacing w:line="240" w:lineRule="auto"/>
        <w:ind w:firstLine="422"/>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突发环境事件报告单</w:t>
      </w:r>
    </w:p>
    <w:tbl>
      <w:tblPr>
        <w:tblStyle w:val="36"/>
        <w:tblW w:w="985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33"/>
        <w:gridCol w:w="252"/>
        <w:gridCol w:w="999"/>
        <w:gridCol w:w="1004"/>
        <w:gridCol w:w="277"/>
        <w:gridCol w:w="238"/>
        <w:gridCol w:w="484"/>
        <w:gridCol w:w="529"/>
        <w:gridCol w:w="1224"/>
        <w:gridCol w:w="246"/>
        <w:gridCol w:w="2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gridSpan w:val="2"/>
            <w:vAlign w:val="center"/>
          </w:tcPr>
          <w:p>
            <w:pPr>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报告单位</w:t>
            </w:r>
          </w:p>
        </w:tc>
        <w:tc>
          <w:tcPr>
            <w:tcW w:w="2518" w:type="dxa"/>
            <w:gridSpan w:val="4"/>
            <w:vAlign w:val="center"/>
          </w:tcPr>
          <w:p>
            <w:pPr>
              <w:ind w:firstLine="360"/>
              <w:jc w:val="center"/>
              <w:rPr>
                <w:rFonts w:ascii="Times New Roman" w:hAnsi="Times New Roman" w:eastAsia="宋体" w:cs="Times New Roman"/>
                <w:kern w:val="0"/>
                <w:sz w:val="18"/>
                <w:szCs w:val="18"/>
              </w:rPr>
            </w:pPr>
          </w:p>
        </w:tc>
        <w:tc>
          <w:tcPr>
            <w:tcW w:w="2237" w:type="dxa"/>
            <w:gridSpan w:val="3"/>
            <w:vAlign w:val="center"/>
          </w:tcPr>
          <w:p>
            <w:pPr>
              <w:ind w:firstLine="36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报告人姓名</w:t>
            </w:r>
          </w:p>
        </w:tc>
        <w:tc>
          <w:tcPr>
            <w:tcW w:w="2714" w:type="dxa"/>
            <w:gridSpan w:val="2"/>
            <w:vAlign w:val="center"/>
          </w:tcPr>
          <w:p>
            <w:pPr>
              <w:ind w:firstLine="360"/>
              <w:jc w:val="center"/>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gridSpan w:val="2"/>
            <w:vAlign w:val="center"/>
          </w:tcPr>
          <w:p>
            <w:pPr>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事故发生时间</w:t>
            </w:r>
          </w:p>
        </w:tc>
        <w:tc>
          <w:tcPr>
            <w:tcW w:w="2518" w:type="dxa"/>
            <w:gridSpan w:val="4"/>
            <w:vAlign w:val="center"/>
          </w:tcPr>
          <w:p>
            <w:pPr>
              <w:ind w:firstLine="36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年 月 日 时 分</w:t>
            </w:r>
          </w:p>
        </w:tc>
        <w:tc>
          <w:tcPr>
            <w:tcW w:w="2237" w:type="dxa"/>
            <w:gridSpan w:val="3"/>
            <w:vAlign w:val="center"/>
          </w:tcPr>
          <w:p>
            <w:pPr>
              <w:ind w:firstLine="36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报告人电话</w:t>
            </w:r>
          </w:p>
        </w:tc>
        <w:tc>
          <w:tcPr>
            <w:tcW w:w="2714" w:type="dxa"/>
            <w:gridSpan w:val="2"/>
            <w:vAlign w:val="center"/>
          </w:tcPr>
          <w:p>
            <w:pPr>
              <w:ind w:firstLine="360"/>
              <w:jc w:val="center"/>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gridSpan w:val="2"/>
            <w:vAlign w:val="center"/>
          </w:tcPr>
          <w:p>
            <w:pPr>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事故持续时间</w:t>
            </w:r>
          </w:p>
        </w:tc>
        <w:tc>
          <w:tcPr>
            <w:tcW w:w="2518" w:type="dxa"/>
            <w:gridSpan w:val="4"/>
            <w:vAlign w:val="center"/>
          </w:tcPr>
          <w:p>
            <w:pPr>
              <w:ind w:firstLine="36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时分</w:t>
            </w:r>
          </w:p>
        </w:tc>
        <w:tc>
          <w:tcPr>
            <w:tcW w:w="2237" w:type="dxa"/>
            <w:gridSpan w:val="3"/>
            <w:vAlign w:val="center"/>
          </w:tcPr>
          <w:p>
            <w:pPr>
              <w:ind w:firstLine="36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报告人职务</w:t>
            </w:r>
          </w:p>
        </w:tc>
        <w:tc>
          <w:tcPr>
            <w:tcW w:w="2714" w:type="dxa"/>
            <w:gridSpan w:val="2"/>
            <w:vAlign w:val="center"/>
          </w:tcPr>
          <w:p>
            <w:pPr>
              <w:ind w:firstLine="360"/>
              <w:jc w:val="center"/>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gridSpan w:val="2"/>
            <w:vAlign w:val="center"/>
          </w:tcPr>
          <w:p>
            <w:pPr>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事故地点/部位</w:t>
            </w:r>
          </w:p>
        </w:tc>
        <w:tc>
          <w:tcPr>
            <w:tcW w:w="7469" w:type="dxa"/>
            <w:gridSpan w:val="9"/>
            <w:vAlign w:val="center"/>
          </w:tcPr>
          <w:p>
            <w:pPr>
              <w:ind w:firstLine="360"/>
              <w:jc w:val="center"/>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gridSpan w:val="2"/>
            <w:vAlign w:val="center"/>
          </w:tcPr>
          <w:p>
            <w:pPr>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泄漏物质的危害特性</w:t>
            </w:r>
          </w:p>
        </w:tc>
        <w:tc>
          <w:tcPr>
            <w:tcW w:w="7469" w:type="dxa"/>
            <w:gridSpan w:val="9"/>
            <w:vAlign w:val="center"/>
          </w:tcPr>
          <w:p>
            <w:pPr>
              <w:ind w:firstLine="360"/>
              <w:jc w:val="center"/>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gridSpan w:val="2"/>
            <w:vAlign w:val="center"/>
          </w:tcPr>
          <w:p>
            <w:pPr>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消除泄漏物质危害的物质名称</w:t>
            </w:r>
          </w:p>
        </w:tc>
        <w:tc>
          <w:tcPr>
            <w:tcW w:w="7469" w:type="dxa"/>
            <w:gridSpan w:val="9"/>
            <w:vAlign w:val="center"/>
          </w:tcPr>
          <w:p>
            <w:pPr>
              <w:ind w:firstLine="360"/>
              <w:jc w:val="center"/>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gridSpan w:val="2"/>
            <w:vMerge w:val="restart"/>
            <w:vAlign w:val="center"/>
          </w:tcPr>
          <w:p>
            <w:pPr>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危害情况</w:t>
            </w:r>
          </w:p>
        </w:tc>
        <w:tc>
          <w:tcPr>
            <w:tcW w:w="3002" w:type="dxa"/>
            <w:gridSpan w:val="5"/>
            <w:vAlign w:val="center"/>
          </w:tcPr>
          <w:p>
            <w:pPr>
              <w:ind w:firstLine="36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人员伤亡</w:t>
            </w:r>
          </w:p>
        </w:tc>
        <w:tc>
          <w:tcPr>
            <w:tcW w:w="1999" w:type="dxa"/>
            <w:gridSpan w:val="3"/>
            <w:vAlign w:val="center"/>
          </w:tcPr>
          <w:p>
            <w:pPr>
              <w:ind w:firstLine="36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设备受损</w:t>
            </w:r>
          </w:p>
        </w:tc>
        <w:tc>
          <w:tcPr>
            <w:tcW w:w="2468" w:type="dxa"/>
            <w:vAlign w:val="center"/>
          </w:tcPr>
          <w:p>
            <w:pPr>
              <w:ind w:firstLine="360"/>
              <w:jc w:val="center"/>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gridSpan w:val="2"/>
            <w:vMerge w:val="continue"/>
            <w:vAlign w:val="center"/>
          </w:tcPr>
          <w:p>
            <w:pPr>
              <w:ind w:firstLine="0" w:firstLineChars="0"/>
              <w:jc w:val="center"/>
              <w:rPr>
                <w:rFonts w:ascii="Times New Roman" w:hAnsi="Times New Roman" w:eastAsia="宋体" w:cs="Times New Roman"/>
                <w:kern w:val="0"/>
                <w:sz w:val="18"/>
                <w:szCs w:val="18"/>
              </w:rPr>
            </w:pPr>
          </w:p>
        </w:tc>
        <w:tc>
          <w:tcPr>
            <w:tcW w:w="999" w:type="dxa"/>
            <w:vAlign w:val="center"/>
          </w:tcPr>
          <w:p>
            <w:pPr>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死亡</w:t>
            </w:r>
          </w:p>
        </w:tc>
        <w:tc>
          <w:tcPr>
            <w:tcW w:w="1004" w:type="dxa"/>
            <w:vAlign w:val="center"/>
          </w:tcPr>
          <w:p>
            <w:pPr>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重伤</w:t>
            </w:r>
          </w:p>
        </w:tc>
        <w:tc>
          <w:tcPr>
            <w:tcW w:w="999" w:type="dxa"/>
            <w:gridSpan w:val="3"/>
            <w:vAlign w:val="center"/>
          </w:tcPr>
          <w:p>
            <w:pPr>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轻伤</w:t>
            </w:r>
          </w:p>
        </w:tc>
        <w:tc>
          <w:tcPr>
            <w:tcW w:w="1999" w:type="dxa"/>
            <w:gridSpan w:val="3"/>
            <w:vAlign w:val="center"/>
          </w:tcPr>
          <w:p>
            <w:pPr>
              <w:ind w:firstLine="36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建筑物受损</w:t>
            </w:r>
          </w:p>
        </w:tc>
        <w:tc>
          <w:tcPr>
            <w:tcW w:w="2468" w:type="dxa"/>
            <w:vAlign w:val="center"/>
          </w:tcPr>
          <w:p>
            <w:pPr>
              <w:ind w:firstLine="360"/>
              <w:jc w:val="center"/>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gridSpan w:val="2"/>
            <w:vMerge w:val="continue"/>
            <w:vAlign w:val="center"/>
          </w:tcPr>
          <w:p>
            <w:pPr>
              <w:ind w:firstLine="0" w:firstLineChars="0"/>
              <w:jc w:val="center"/>
              <w:rPr>
                <w:rFonts w:ascii="Times New Roman" w:hAnsi="Times New Roman" w:eastAsia="宋体" w:cs="Times New Roman"/>
                <w:kern w:val="0"/>
                <w:sz w:val="18"/>
                <w:szCs w:val="18"/>
              </w:rPr>
            </w:pPr>
          </w:p>
        </w:tc>
        <w:tc>
          <w:tcPr>
            <w:tcW w:w="999" w:type="dxa"/>
            <w:vAlign w:val="center"/>
          </w:tcPr>
          <w:p>
            <w:pPr>
              <w:ind w:firstLine="360"/>
              <w:jc w:val="center"/>
              <w:rPr>
                <w:rFonts w:ascii="Times New Roman" w:hAnsi="Times New Roman" w:eastAsia="宋体" w:cs="Times New Roman"/>
                <w:kern w:val="0"/>
                <w:sz w:val="18"/>
                <w:szCs w:val="18"/>
              </w:rPr>
            </w:pPr>
          </w:p>
        </w:tc>
        <w:tc>
          <w:tcPr>
            <w:tcW w:w="1004" w:type="dxa"/>
            <w:vAlign w:val="center"/>
          </w:tcPr>
          <w:p>
            <w:pPr>
              <w:ind w:firstLine="360"/>
              <w:jc w:val="center"/>
              <w:rPr>
                <w:rFonts w:ascii="Times New Roman" w:hAnsi="Times New Roman" w:eastAsia="宋体" w:cs="Times New Roman"/>
                <w:kern w:val="0"/>
                <w:sz w:val="18"/>
                <w:szCs w:val="18"/>
              </w:rPr>
            </w:pPr>
          </w:p>
        </w:tc>
        <w:tc>
          <w:tcPr>
            <w:tcW w:w="999" w:type="dxa"/>
            <w:gridSpan w:val="3"/>
            <w:vAlign w:val="center"/>
          </w:tcPr>
          <w:p>
            <w:pPr>
              <w:ind w:firstLine="360"/>
              <w:jc w:val="center"/>
              <w:rPr>
                <w:rFonts w:ascii="Times New Roman" w:hAnsi="Times New Roman" w:eastAsia="宋体" w:cs="Times New Roman"/>
                <w:kern w:val="0"/>
                <w:sz w:val="18"/>
                <w:szCs w:val="18"/>
              </w:rPr>
            </w:pPr>
          </w:p>
        </w:tc>
        <w:tc>
          <w:tcPr>
            <w:tcW w:w="1999" w:type="dxa"/>
            <w:gridSpan w:val="3"/>
            <w:vAlign w:val="center"/>
          </w:tcPr>
          <w:p>
            <w:pPr>
              <w:ind w:firstLine="36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财产损失</w:t>
            </w:r>
          </w:p>
        </w:tc>
        <w:tc>
          <w:tcPr>
            <w:tcW w:w="2468" w:type="dxa"/>
            <w:vAlign w:val="center"/>
          </w:tcPr>
          <w:p>
            <w:pPr>
              <w:ind w:firstLine="360"/>
              <w:jc w:val="center"/>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gridSpan w:val="2"/>
            <w:vAlign w:val="center"/>
          </w:tcPr>
          <w:p>
            <w:pPr>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波及范围</w:t>
            </w:r>
          </w:p>
        </w:tc>
        <w:tc>
          <w:tcPr>
            <w:tcW w:w="7469" w:type="dxa"/>
            <w:gridSpan w:val="9"/>
            <w:vAlign w:val="center"/>
          </w:tcPr>
          <w:p>
            <w:pPr>
              <w:ind w:firstLine="360"/>
              <w:jc w:val="center"/>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gridSpan w:val="2"/>
            <w:vAlign w:val="center"/>
          </w:tcPr>
          <w:p>
            <w:pPr>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设施损坏情况</w:t>
            </w:r>
          </w:p>
        </w:tc>
        <w:tc>
          <w:tcPr>
            <w:tcW w:w="7469" w:type="dxa"/>
            <w:gridSpan w:val="9"/>
            <w:vAlign w:val="center"/>
          </w:tcPr>
          <w:p>
            <w:pPr>
              <w:ind w:firstLine="360"/>
              <w:jc w:val="center"/>
              <w:rPr>
                <w:rFonts w:ascii="Times New Roman" w:hAnsi="Times New Roman" w:eastAsia="宋体" w:cs="Times New Roman"/>
                <w:kern w:val="0"/>
                <w:sz w:val="18"/>
                <w:szCs w:val="18"/>
              </w:rPr>
            </w:pPr>
          </w:p>
          <w:p>
            <w:pPr>
              <w:ind w:firstLine="360"/>
              <w:jc w:val="center"/>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gridSpan w:val="2"/>
            <w:vAlign w:val="center"/>
          </w:tcPr>
          <w:p>
            <w:pPr>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已采取的措施</w:t>
            </w:r>
          </w:p>
        </w:tc>
        <w:tc>
          <w:tcPr>
            <w:tcW w:w="7469" w:type="dxa"/>
            <w:gridSpan w:val="9"/>
            <w:vAlign w:val="center"/>
          </w:tcPr>
          <w:p>
            <w:pPr>
              <w:ind w:firstLine="360"/>
              <w:jc w:val="center"/>
              <w:rPr>
                <w:rFonts w:ascii="Times New Roman" w:hAnsi="Times New Roman" w:eastAsia="宋体" w:cs="Times New Roman"/>
                <w:kern w:val="0"/>
                <w:sz w:val="18"/>
                <w:szCs w:val="18"/>
              </w:rPr>
            </w:pPr>
          </w:p>
          <w:p>
            <w:pPr>
              <w:ind w:firstLine="360"/>
              <w:jc w:val="center"/>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gridSpan w:val="2"/>
            <w:vAlign w:val="center"/>
          </w:tcPr>
          <w:p>
            <w:pPr>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周边道路情况</w:t>
            </w:r>
          </w:p>
        </w:tc>
        <w:tc>
          <w:tcPr>
            <w:tcW w:w="7469" w:type="dxa"/>
            <w:gridSpan w:val="9"/>
            <w:vAlign w:val="center"/>
          </w:tcPr>
          <w:p>
            <w:pPr>
              <w:ind w:firstLine="360"/>
              <w:jc w:val="center"/>
              <w:rPr>
                <w:rFonts w:ascii="Times New Roman" w:hAnsi="Times New Roman" w:eastAsia="宋体" w:cs="Times New Roman"/>
                <w:kern w:val="0"/>
                <w:sz w:val="18"/>
                <w:szCs w:val="18"/>
              </w:rPr>
            </w:pPr>
          </w:p>
          <w:p>
            <w:pPr>
              <w:ind w:firstLine="360"/>
              <w:jc w:val="center"/>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gridSpan w:val="2"/>
            <w:vAlign w:val="center"/>
          </w:tcPr>
          <w:p>
            <w:pPr>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与有关部门协调情况</w:t>
            </w:r>
          </w:p>
        </w:tc>
        <w:tc>
          <w:tcPr>
            <w:tcW w:w="7469" w:type="dxa"/>
            <w:gridSpan w:val="9"/>
            <w:vAlign w:val="center"/>
          </w:tcPr>
          <w:p>
            <w:pPr>
              <w:ind w:firstLine="360"/>
              <w:jc w:val="center"/>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gridSpan w:val="2"/>
            <w:vAlign w:val="center"/>
          </w:tcPr>
          <w:p>
            <w:pPr>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应急人员及设施到位情况</w:t>
            </w:r>
          </w:p>
        </w:tc>
        <w:tc>
          <w:tcPr>
            <w:tcW w:w="7469" w:type="dxa"/>
            <w:gridSpan w:val="9"/>
            <w:vAlign w:val="center"/>
          </w:tcPr>
          <w:p>
            <w:pPr>
              <w:ind w:firstLine="360"/>
              <w:jc w:val="center"/>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gridSpan w:val="2"/>
            <w:vAlign w:val="center"/>
          </w:tcPr>
          <w:p>
            <w:pPr>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应急物资准备情况</w:t>
            </w:r>
          </w:p>
        </w:tc>
        <w:tc>
          <w:tcPr>
            <w:tcW w:w="7469" w:type="dxa"/>
            <w:gridSpan w:val="9"/>
            <w:vAlign w:val="center"/>
          </w:tcPr>
          <w:p>
            <w:pPr>
              <w:ind w:firstLine="360"/>
              <w:jc w:val="center"/>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854" w:type="dxa"/>
            <w:gridSpan w:val="11"/>
            <w:vAlign w:val="center"/>
          </w:tcPr>
          <w:p>
            <w:pPr>
              <w:ind w:firstLine="360"/>
              <w:rPr>
                <w:rFonts w:ascii="Times New Roman" w:hAnsi="Times New Roman" w:eastAsia="宋体" w:cs="Times New Roman"/>
                <w:kern w:val="0"/>
                <w:sz w:val="18"/>
                <w:szCs w:val="18"/>
              </w:rPr>
            </w:pPr>
            <w:r>
              <w:rPr>
                <w:rFonts w:ascii="Times New Roman" w:hAnsi="Times New Roman" w:eastAsia="宋体" w:cs="Times New Roman"/>
                <w:kern w:val="0"/>
                <w:sz w:val="18"/>
                <w:szCs w:val="18"/>
              </w:rPr>
              <w:t>事故发生原因及主要经过：</w:t>
            </w:r>
          </w:p>
          <w:p>
            <w:pPr>
              <w:ind w:firstLine="360"/>
              <w:rPr>
                <w:rFonts w:ascii="Times New Roman" w:hAnsi="Times New Roman" w:eastAsia="宋体" w:cs="Times New Roman"/>
                <w:kern w:val="0"/>
                <w:sz w:val="18"/>
                <w:szCs w:val="18"/>
              </w:rPr>
            </w:pPr>
          </w:p>
          <w:p>
            <w:pPr>
              <w:ind w:firstLine="360"/>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854" w:type="dxa"/>
            <w:gridSpan w:val="11"/>
            <w:vAlign w:val="center"/>
          </w:tcPr>
          <w:p>
            <w:pPr>
              <w:ind w:firstLine="360"/>
              <w:rPr>
                <w:rFonts w:ascii="Times New Roman" w:hAnsi="Times New Roman" w:eastAsia="宋体" w:cs="Times New Roman"/>
                <w:kern w:val="0"/>
                <w:sz w:val="18"/>
                <w:szCs w:val="18"/>
              </w:rPr>
            </w:pPr>
            <w:r>
              <w:rPr>
                <w:rFonts w:ascii="Times New Roman" w:hAnsi="Times New Roman" w:eastAsia="宋体" w:cs="Times New Roman"/>
                <w:kern w:val="0"/>
                <w:sz w:val="18"/>
                <w:szCs w:val="18"/>
              </w:rPr>
              <w:t>危险物质泄漏情况：</w:t>
            </w:r>
          </w:p>
          <w:p>
            <w:pPr>
              <w:ind w:firstLine="360"/>
              <w:rPr>
                <w:rFonts w:ascii="Times New Roman" w:hAnsi="Times New Roman" w:eastAsia="宋体" w:cs="Times New Roman"/>
                <w:kern w:val="0"/>
                <w:sz w:val="18"/>
                <w:szCs w:val="18"/>
                <w:u w:val="single"/>
              </w:rPr>
            </w:pPr>
            <w:r>
              <w:rPr>
                <w:rFonts w:ascii="Times New Roman" w:hAnsi="Times New Roman" w:eastAsia="宋体" w:cs="Times New Roman"/>
                <w:kern w:val="0"/>
                <w:sz w:val="18"/>
                <w:szCs w:val="18"/>
              </w:rPr>
              <w:t>泄漏危险化学品名称（固、液、气）：</w:t>
            </w:r>
          </w:p>
          <w:p>
            <w:pPr>
              <w:ind w:firstLine="360"/>
              <w:rPr>
                <w:rFonts w:ascii="Times New Roman" w:hAnsi="Times New Roman" w:eastAsia="宋体" w:cs="Times New Roman"/>
                <w:kern w:val="0"/>
                <w:sz w:val="18"/>
                <w:szCs w:val="18"/>
                <w:u w:val="single"/>
              </w:rPr>
            </w:pPr>
          </w:p>
          <w:p>
            <w:pPr>
              <w:ind w:firstLine="360"/>
              <w:rPr>
                <w:rFonts w:ascii="Times New Roman" w:hAnsi="Times New Roman" w:eastAsia="宋体" w:cs="Times New Roman"/>
                <w:kern w:val="0"/>
                <w:sz w:val="18"/>
                <w:szCs w:val="18"/>
                <w:u w:val="single"/>
              </w:rPr>
            </w:pPr>
            <w:r>
              <w:rPr>
                <w:rFonts w:ascii="Times New Roman" w:hAnsi="Times New Roman" w:eastAsia="宋体" w:cs="Times New Roman"/>
                <w:kern w:val="0"/>
                <w:sz w:val="18"/>
                <w:szCs w:val="18"/>
                <w:u w:val="single"/>
              </w:rPr>
              <w:t>泄漏量/泄漏率：</w:t>
            </w:r>
          </w:p>
          <w:p>
            <w:pPr>
              <w:ind w:firstLine="360"/>
              <w:rPr>
                <w:rFonts w:ascii="Times New Roman" w:hAnsi="Times New Roman" w:eastAsia="宋体" w:cs="Times New Roman"/>
                <w:kern w:val="0"/>
                <w:sz w:val="18"/>
                <w:szCs w:val="18"/>
                <w:u w:val="single"/>
              </w:rPr>
            </w:pPr>
          </w:p>
          <w:p>
            <w:pPr>
              <w:ind w:firstLine="360"/>
              <w:rPr>
                <w:rFonts w:ascii="Times New Roman" w:hAnsi="Times New Roman" w:eastAsia="宋体" w:cs="Times New Roman"/>
                <w:kern w:val="0"/>
                <w:sz w:val="18"/>
                <w:szCs w:val="18"/>
                <w:u w:val="single"/>
              </w:rPr>
            </w:pPr>
            <w:r>
              <w:rPr>
                <w:rFonts w:ascii="Times New Roman" w:hAnsi="Times New Roman" w:eastAsia="宋体" w:cs="Times New Roman"/>
                <w:kern w:val="0"/>
                <w:sz w:val="18"/>
                <w:szCs w:val="18"/>
                <w:u w:val="single"/>
              </w:rPr>
              <w:t>毒性/易燃性：</w:t>
            </w:r>
          </w:p>
          <w:p>
            <w:pPr>
              <w:ind w:firstLine="360"/>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854" w:type="dxa"/>
            <w:gridSpan w:val="11"/>
            <w:vAlign w:val="center"/>
          </w:tcPr>
          <w:p>
            <w:pPr>
              <w:ind w:firstLine="360"/>
              <w:rPr>
                <w:rFonts w:ascii="Times New Roman" w:hAnsi="Times New Roman" w:eastAsia="宋体" w:cs="Times New Roman"/>
                <w:kern w:val="0"/>
                <w:sz w:val="18"/>
                <w:szCs w:val="18"/>
              </w:rPr>
            </w:pPr>
            <w:r>
              <w:rPr>
                <w:rFonts w:ascii="Times New Roman" w:hAnsi="Times New Roman" w:eastAsia="宋体" w:cs="Times New Roman"/>
                <w:kern w:val="0"/>
                <w:sz w:val="18"/>
                <w:szCs w:val="18"/>
              </w:rPr>
              <w:t>火灾爆炸情况：</w:t>
            </w:r>
          </w:p>
          <w:p>
            <w:pPr>
              <w:ind w:firstLine="360"/>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854" w:type="dxa"/>
            <w:gridSpan w:val="11"/>
            <w:vAlign w:val="center"/>
          </w:tcPr>
          <w:p>
            <w:pPr>
              <w:ind w:firstLine="360"/>
              <w:rPr>
                <w:rFonts w:ascii="Times New Roman" w:hAnsi="Times New Roman" w:eastAsia="宋体" w:cs="Times New Roman"/>
                <w:kern w:val="0"/>
                <w:sz w:val="18"/>
                <w:szCs w:val="18"/>
              </w:rPr>
            </w:pPr>
            <w:r>
              <w:rPr>
                <w:rFonts w:ascii="Times New Roman" w:hAnsi="Times New Roman" w:eastAsia="宋体" w:cs="Times New Roman"/>
                <w:kern w:val="0"/>
                <w:sz w:val="18"/>
                <w:szCs w:val="18"/>
              </w:rPr>
              <w:t>环境污染情况：</w:t>
            </w:r>
          </w:p>
          <w:p>
            <w:pPr>
              <w:ind w:firstLine="360"/>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3" w:hRule="atLeast"/>
        </w:trPr>
        <w:tc>
          <w:tcPr>
            <w:tcW w:w="9854" w:type="dxa"/>
            <w:gridSpan w:val="11"/>
            <w:vAlign w:val="center"/>
          </w:tcPr>
          <w:p>
            <w:pPr>
              <w:ind w:firstLine="360"/>
              <w:rPr>
                <w:rFonts w:ascii="Times New Roman" w:hAnsi="Times New Roman" w:eastAsia="宋体" w:cs="Times New Roman"/>
                <w:kern w:val="0"/>
                <w:sz w:val="18"/>
                <w:szCs w:val="18"/>
              </w:rPr>
            </w:pPr>
            <w:r>
              <w:rPr>
                <w:rFonts w:ascii="Times New Roman" w:hAnsi="Times New Roman" w:eastAsia="宋体" w:cs="Times New Roman"/>
                <w:kern w:val="0"/>
                <w:sz w:val="18"/>
                <w:szCs w:val="18"/>
              </w:rPr>
              <w:t>事态及次生或衍生事态发展情况预测：</w:t>
            </w:r>
          </w:p>
          <w:p>
            <w:pPr>
              <w:ind w:firstLine="360"/>
              <w:rPr>
                <w:rFonts w:ascii="Times New Roman" w:hAnsi="Times New Roman" w:eastAsia="宋体" w:cs="Times New Roman"/>
                <w:kern w:val="0"/>
                <w:sz w:val="18"/>
                <w:szCs w:val="18"/>
              </w:rPr>
            </w:pPr>
          </w:p>
          <w:p>
            <w:pPr>
              <w:ind w:firstLine="360"/>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854" w:type="dxa"/>
            <w:gridSpan w:val="11"/>
            <w:vAlign w:val="center"/>
          </w:tcPr>
          <w:p>
            <w:pPr>
              <w:ind w:firstLine="360"/>
              <w:rPr>
                <w:rFonts w:ascii="Times New Roman" w:hAnsi="Times New Roman" w:eastAsia="宋体" w:cs="Times New Roman"/>
                <w:kern w:val="0"/>
                <w:sz w:val="18"/>
                <w:szCs w:val="18"/>
              </w:rPr>
            </w:pPr>
            <w:r>
              <w:rPr>
                <w:rFonts w:ascii="Times New Roman" w:hAnsi="Times New Roman" w:eastAsia="宋体" w:cs="Times New Roman"/>
                <w:kern w:val="0"/>
                <w:sz w:val="18"/>
                <w:szCs w:val="18"/>
              </w:rPr>
              <w:t>天气状况：温度   风速   阴晴   其它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33" w:type="dxa"/>
          </w:tcPr>
          <w:p>
            <w:pPr>
              <w:ind w:firstLine="360"/>
              <w:rPr>
                <w:rFonts w:ascii="Times New Roman" w:hAnsi="Times New Roman" w:eastAsia="宋体" w:cs="Times New Roman"/>
                <w:kern w:val="0"/>
                <w:sz w:val="18"/>
                <w:szCs w:val="18"/>
              </w:rPr>
            </w:pPr>
            <w:r>
              <w:rPr>
                <w:rFonts w:ascii="Times New Roman" w:hAnsi="Times New Roman" w:eastAsia="宋体" w:cs="Times New Roman"/>
                <w:kern w:val="0"/>
                <w:sz w:val="18"/>
                <w:szCs w:val="18"/>
              </w:rPr>
              <w:t>单位意见</w:t>
            </w:r>
          </w:p>
        </w:tc>
        <w:tc>
          <w:tcPr>
            <w:tcW w:w="7721" w:type="dxa"/>
            <w:gridSpan w:val="10"/>
            <w:vAlign w:val="center"/>
          </w:tcPr>
          <w:p>
            <w:pPr>
              <w:ind w:firstLine="360"/>
              <w:jc w:val="center"/>
              <w:rPr>
                <w:rFonts w:ascii="Times New Roman" w:hAnsi="Times New Roman" w:eastAsia="宋体" w:cs="Times New Roman"/>
                <w:kern w:val="0"/>
                <w:sz w:val="18"/>
                <w:szCs w:val="18"/>
              </w:rPr>
            </w:pPr>
          </w:p>
          <w:p>
            <w:pPr>
              <w:ind w:firstLine="360"/>
              <w:jc w:val="center"/>
              <w:rPr>
                <w:rFonts w:ascii="Times New Roman" w:hAnsi="Times New Roman" w:eastAsia="宋体"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7" w:hRule="atLeast"/>
        </w:trPr>
        <w:tc>
          <w:tcPr>
            <w:tcW w:w="2133" w:type="dxa"/>
            <w:vAlign w:val="center"/>
          </w:tcPr>
          <w:p>
            <w:pPr>
              <w:ind w:firstLine="360"/>
              <w:rPr>
                <w:rFonts w:ascii="Times New Roman" w:hAnsi="Times New Roman" w:eastAsia="宋体" w:cs="Times New Roman"/>
                <w:kern w:val="0"/>
                <w:sz w:val="18"/>
                <w:szCs w:val="18"/>
              </w:rPr>
            </w:pPr>
            <w:r>
              <w:rPr>
                <w:rFonts w:ascii="Times New Roman" w:hAnsi="Times New Roman" w:eastAsia="宋体" w:cs="Times New Roman"/>
                <w:kern w:val="0"/>
                <w:sz w:val="18"/>
                <w:szCs w:val="18"/>
              </w:rPr>
              <w:t>填报时间</w:t>
            </w:r>
          </w:p>
        </w:tc>
        <w:tc>
          <w:tcPr>
            <w:tcW w:w="2532" w:type="dxa"/>
            <w:gridSpan w:val="4"/>
            <w:vAlign w:val="center"/>
          </w:tcPr>
          <w:p>
            <w:pPr>
              <w:ind w:firstLine="180" w:firstLineChars="100"/>
              <w:rPr>
                <w:rFonts w:ascii="Times New Roman" w:hAnsi="Times New Roman" w:eastAsia="宋体" w:cs="Times New Roman"/>
                <w:kern w:val="0"/>
                <w:sz w:val="18"/>
                <w:szCs w:val="18"/>
              </w:rPr>
            </w:pPr>
            <w:r>
              <w:rPr>
                <w:rFonts w:ascii="Times New Roman" w:hAnsi="Times New Roman" w:eastAsia="宋体" w:cs="Times New Roman"/>
                <w:kern w:val="0"/>
                <w:sz w:val="18"/>
                <w:szCs w:val="18"/>
              </w:rPr>
              <w:t>年  月  日  时 分</w:t>
            </w:r>
          </w:p>
        </w:tc>
        <w:tc>
          <w:tcPr>
            <w:tcW w:w="1251" w:type="dxa"/>
            <w:gridSpan w:val="3"/>
            <w:vAlign w:val="center"/>
          </w:tcPr>
          <w:p>
            <w:pPr>
              <w:ind w:firstLine="36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签发</w:t>
            </w:r>
          </w:p>
        </w:tc>
        <w:tc>
          <w:tcPr>
            <w:tcW w:w="3938" w:type="dxa"/>
            <w:gridSpan w:val="3"/>
            <w:vAlign w:val="center"/>
          </w:tcPr>
          <w:p>
            <w:pPr>
              <w:ind w:firstLine="360"/>
              <w:jc w:val="center"/>
              <w:rPr>
                <w:rFonts w:ascii="Times New Roman" w:hAnsi="Times New Roman" w:eastAsia="宋体" w:cs="Times New Roman"/>
                <w:kern w:val="0"/>
                <w:sz w:val="18"/>
                <w:szCs w:val="18"/>
              </w:rPr>
            </w:pPr>
          </w:p>
        </w:tc>
      </w:tr>
    </w:tbl>
    <w:p>
      <w:pPr>
        <w:ind w:firstLine="562"/>
        <w:jc w:val="center"/>
        <w:rPr>
          <w:rFonts w:ascii="Times New Roman" w:hAnsi="Times New Roman" w:eastAsia="宋体" w:cs="Times New Roman"/>
          <w:b/>
          <w:sz w:val="28"/>
          <w:szCs w:val="28"/>
        </w:rPr>
      </w:pPr>
    </w:p>
    <w:p>
      <w:pPr>
        <w:ind w:firstLine="562"/>
        <w:jc w:val="center"/>
        <w:rPr>
          <w:rFonts w:ascii="Times New Roman" w:hAnsi="Times New Roman" w:eastAsia="宋体" w:cs="Times New Roman"/>
          <w:b/>
          <w:sz w:val="28"/>
          <w:szCs w:val="28"/>
        </w:rPr>
        <w:sectPr>
          <w:pgSz w:w="11906" w:h="16838"/>
          <w:pgMar w:top="1134" w:right="1134" w:bottom="1134" w:left="1134" w:header="851" w:footer="992" w:gutter="0"/>
          <w:pgNumType w:fmt="numberInDash"/>
          <w:cols w:space="425" w:num="1"/>
          <w:titlePg/>
          <w:docGrid w:type="lines" w:linePitch="312" w:charSpace="0"/>
        </w:sectPr>
      </w:pPr>
    </w:p>
    <w:p>
      <w:pPr>
        <w:ind w:firstLine="0" w:firstLineChars="0"/>
        <w:jc w:val="left"/>
        <w:rPr>
          <w:rFonts w:ascii="Times New Roman" w:hAnsi="Times New Roman" w:eastAsia="宋体" w:cs="Times New Roman"/>
          <w:b/>
          <w:bCs/>
          <w:sz w:val="28"/>
          <w:szCs w:val="28"/>
        </w:rPr>
      </w:pPr>
      <w:r>
        <w:rPr>
          <w:rFonts w:ascii="Times New Roman" w:hAnsi="Times New Roman" w:eastAsia="宋体" w:cs="Times New Roman"/>
          <w:b/>
          <w:bCs/>
          <w:sz w:val="28"/>
          <w:szCs w:val="28"/>
        </w:rPr>
        <w:t>附件7</w:t>
      </w:r>
    </w:p>
    <w:p>
      <w:pPr>
        <w:ind w:firstLine="562"/>
        <w:jc w:val="center"/>
        <w:rPr>
          <w:rFonts w:ascii="Times New Roman" w:hAnsi="Times New Roman" w:eastAsia="宋体" w:cs="Times New Roman"/>
          <w:b/>
          <w:bCs/>
          <w:kern w:val="0"/>
          <w:sz w:val="28"/>
          <w:szCs w:val="28"/>
        </w:rPr>
      </w:pPr>
      <w:r>
        <w:rPr>
          <w:rFonts w:ascii="Times New Roman" w:hAnsi="Times New Roman" w:eastAsia="宋体" w:cs="Times New Roman"/>
          <w:b/>
          <w:bCs/>
          <w:kern w:val="0"/>
          <w:sz w:val="28"/>
          <w:szCs w:val="28"/>
        </w:rPr>
        <w:t>赤壁恒瑞非织造材料有限公司应急预案脚本</w:t>
      </w:r>
    </w:p>
    <w:p>
      <w:pPr>
        <w:widowControl/>
        <w:ind w:firstLine="480"/>
        <w:jc w:val="left"/>
        <w:rPr>
          <w:rFonts w:ascii="Times New Roman" w:hAnsi="Times New Roman" w:eastAsia="宋体" w:cs="Times New Roman"/>
          <w:kern w:val="0"/>
          <w:sz w:val="22"/>
        </w:rPr>
      </w:pPr>
      <w:r>
        <w:rPr>
          <w:rFonts w:ascii="Times New Roman" w:hAnsi="Times New Roman" w:eastAsia="宋体" w:cs="Times New Roman"/>
          <w:kern w:val="0"/>
          <w:szCs w:val="24"/>
        </w:rPr>
        <w:t>先通过扩音器通报“消防演练开始！”</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1、</w:t>
      </w:r>
      <w:r>
        <w:rPr>
          <w:rFonts w:ascii="Times New Roman" w:hAnsi="Times New Roman" w:eastAsia="宋体" w:cs="Times New Roman"/>
          <w:b/>
          <w:bCs/>
          <w:kern w:val="0"/>
          <w:szCs w:val="24"/>
        </w:rPr>
        <w:t>外景</w:t>
      </w:r>
      <w:r>
        <w:rPr>
          <w:rFonts w:ascii="Times New Roman" w:hAnsi="Times New Roman" w:eastAsia="宋体" w:cs="Times New Roman"/>
          <w:kern w:val="0"/>
          <w:szCs w:val="24"/>
        </w:rPr>
        <w:t>：赤壁恒瑞非织造材料有限公司在正常生产。</w:t>
      </w:r>
    </w:p>
    <w:p>
      <w:pPr>
        <w:widowControl/>
        <w:ind w:firstLine="482"/>
        <w:jc w:val="left"/>
        <w:rPr>
          <w:rFonts w:ascii="Times New Roman" w:hAnsi="Times New Roman" w:eastAsia="宋体" w:cs="Times New Roman"/>
          <w:kern w:val="0"/>
          <w:szCs w:val="24"/>
        </w:rPr>
      </w:pPr>
      <w:r>
        <w:rPr>
          <w:rFonts w:ascii="Times New Roman" w:hAnsi="Times New Roman" w:eastAsia="宋体" w:cs="Times New Roman"/>
          <w:b/>
          <w:bCs/>
          <w:kern w:val="0"/>
          <w:szCs w:val="24"/>
        </w:rPr>
        <w:t>2、中心厂内</w:t>
      </w:r>
      <w:r>
        <w:rPr>
          <w:rFonts w:ascii="Times New Roman" w:hAnsi="Times New Roman" w:eastAsia="宋体" w:cs="Times New Roman"/>
          <w:kern w:val="0"/>
          <w:szCs w:val="24"/>
        </w:rPr>
        <w:t>：公司工作人员一如往常地工作。</w:t>
      </w:r>
    </w:p>
    <w:p>
      <w:pPr>
        <w:widowControl/>
        <w:ind w:firstLine="482"/>
        <w:jc w:val="left"/>
        <w:rPr>
          <w:rFonts w:ascii="Times New Roman" w:hAnsi="Times New Roman" w:eastAsia="宋体" w:cs="Times New Roman"/>
          <w:kern w:val="0"/>
          <w:szCs w:val="24"/>
        </w:rPr>
      </w:pPr>
      <w:r>
        <w:rPr>
          <w:rFonts w:ascii="Times New Roman" w:hAnsi="Times New Roman" w:eastAsia="宋体" w:cs="Times New Roman"/>
          <w:b/>
          <w:bCs/>
          <w:kern w:val="0"/>
          <w:szCs w:val="24"/>
        </w:rPr>
        <w:t>3、室内</w:t>
      </w:r>
      <w:r>
        <w:rPr>
          <w:rFonts w:ascii="Times New Roman" w:hAnsi="Times New Roman" w:eastAsia="宋体" w:cs="Times New Roman"/>
          <w:kern w:val="0"/>
          <w:szCs w:val="24"/>
        </w:rPr>
        <w:t>：生产车间，专业人员正在进行生产，片刻后突发火灾。</w:t>
      </w:r>
    </w:p>
    <w:p>
      <w:pPr>
        <w:widowControl/>
        <w:ind w:firstLine="482"/>
        <w:jc w:val="left"/>
        <w:rPr>
          <w:rFonts w:ascii="Times New Roman" w:hAnsi="Times New Roman" w:eastAsia="宋体" w:cs="Times New Roman"/>
          <w:kern w:val="0"/>
          <w:szCs w:val="24"/>
        </w:rPr>
      </w:pPr>
      <w:r>
        <w:rPr>
          <w:rFonts w:ascii="Times New Roman" w:hAnsi="Times New Roman" w:eastAsia="宋体" w:cs="Times New Roman"/>
          <w:b/>
          <w:bCs/>
          <w:kern w:val="0"/>
          <w:szCs w:val="24"/>
        </w:rPr>
        <w:t>4、第一灭火力量的形成</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4.1、办公楼其他人员得知情况后，立即形成第一灭火力量。</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车间内人员立即切断电源。其余人员从车间内拿起灭火器拔下保险销奔赴车间配合在场人员进行扑救，安全员立即通过手机向总经理报告情况。</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4.2、总经理：“立即启动中心灭火和应急疏散预案！”</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安全员：“明白！”</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同时播放消防广播“各位，现在车间内有火情发生，我们正在处置，为保障您的安全请立即在中心工作人员的引导下有序疏散。中心灭火和应急疏散预案启动，请相关人员各就各位迅速处置”。</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4.3、收到通知后，总指挥、副总指挥及综合协调组、现场处置组、后勤保障组、应急监测组成员立即按照职责分工开展工作。</w:t>
      </w:r>
    </w:p>
    <w:p>
      <w:pPr>
        <w:widowControl/>
        <w:ind w:firstLine="482"/>
        <w:jc w:val="left"/>
        <w:rPr>
          <w:rFonts w:ascii="Times New Roman" w:hAnsi="Times New Roman" w:eastAsia="宋体" w:cs="Times New Roman"/>
          <w:kern w:val="0"/>
          <w:szCs w:val="24"/>
        </w:rPr>
      </w:pPr>
      <w:r>
        <w:rPr>
          <w:rFonts w:ascii="Times New Roman" w:hAnsi="Times New Roman" w:eastAsia="宋体" w:cs="Times New Roman"/>
          <w:b/>
          <w:bCs/>
          <w:kern w:val="0"/>
          <w:szCs w:val="24"/>
        </w:rPr>
        <w:t>5、拨打119报警</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综合协调组组长收到火情通知后立即通过手机</w:t>
      </w:r>
      <w:r>
        <w:rPr>
          <w:rFonts w:hint="eastAsia" w:ascii="Times New Roman" w:hAnsi="Times New Roman" w:eastAsia="宋体" w:cs="Times New Roman"/>
          <w:kern w:val="0"/>
          <w:szCs w:val="24"/>
        </w:rPr>
        <w:t>拨</w:t>
      </w:r>
      <w:r>
        <w:rPr>
          <w:rFonts w:ascii="Times New Roman" w:hAnsi="Times New Roman" w:eastAsia="宋体" w:cs="Times New Roman"/>
          <w:kern w:val="0"/>
          <w:szCs w:val="24"/>
        </w:rPr>
        <w:t>打“119”进行报警。</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综合协调组组长：“消防队吗？我是赤壁恒瑞非织造材料有限公司，我们这里着火了”</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消防队：什么部位？什么东西着火了，有无人员伤亡？</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综合协调组组长：生产车间着了，目前无人员伤亡。</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消防队：详细地址是哪里？</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综合协调组组长：</w:t>
      </w:r>
      <w:r>
        <w:rPr>
          <w:rFonts w:hint="eastAsia" w:ascii="Times New Roman" w:hAnsi="Times New Roman" w:eastAsia="宋体" w:cs="Times New Roman"/>
        </w:rPr>
        <w:t>赤壁市车埠镇纺织工业园6号</w:t>
      </w:r>
      <w:r>
        <w:rPr>
          <w:rFonts w:ascii="Times New Roman" w:hAnsi="Times New Roman" w:eastAsia="宋体" w:cs="Times New Roman"/>
          <w:kern w:val="0"/>
          <w:szCs w:val="24"/>
        </w:rPr>
        <w:t>，赤壁恒瑞非织造材料有限公司。</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消防队：你的姓名，你的电话号码？</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综合协调组组长： 我叫×××。电话：××××××。</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消防队：请你到路口接车，你看现在的时间是多少？</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综合协调组组长：4时15分。</w:t>
      </w:r>
    </w:p>
    <w:p>
      <w:pPr>
        <w:widowControl/>
        <w:ind w:firstLine="482"/>
        <w:jc w:val="left"/>
        <w:rPr>
          <w:rFonts w:ascii="Times New Roman" w:hAnsi="Times New Roman" w:eastAsia="宋体" w:cs="Times New Roman"/>
          <w:b/>
          <w:bCs/>
          <w:kern w:val="0"/>
          <w:szCs w:val="24"/>
        </w:rPr>
      </w:pPr>
      <w:r>
        <w:rPr>
          <w:rFonts w:ascii="Times New Roman" w:hAnsi="Times New Roman" w:eastAsia="宋体" w:cs="Times New Roman"/>
          <w:b/>
          <w:bCs/>
          <w:kern w:val="0"/>
          <w:szCs w:val="24"/>
        </w:rPr>
        <w:t>6、指挥指令的下达</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6.1综合协调组组长报警后，通过手机与总指挥联络。</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综合协调组组长 ：“总指挥，我是综合协调组组长×××，已经拨打119报警电话，消防队马上就到，我已派×××到路口迎接消防车辆。其他各组已经赶赴现场。是否需要通知医院等其他部门”。</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总指挥：“先命令各小组立即按照各自职责开展灭火救援工作，并随时汇报，视情况通知相关部门。”</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综合协调组组长:“明白。各小组抵达现场后立即开展行动，随时向总指挥汇报”。</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现场处置组组长：“现场处置组明白”。</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后勤保障组长：“后勤保障明白”。</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善后处理组组长：“善后处理组明白”。</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6.2灭火和应急疏散预案启动后3分钟，第二灭火力量全部投入灭火救援行动。</w:t>
      </w:r>
    </w:p>
    <w:p>
      <w:pPr>
        <w:widowControl/>
        <w:ind w:firstLine="482"/>
        <w:jc w:val="left"/>
        <w:rPr>
          <w:rFonts w:ascii="Times New Roman" w:hAnsi="Times New Roman" w:eastAsia="宋体" w:cs="Times New Roman"/>
          <w:kern w:val="0"/>
          <w:szCs w:val="24"/>
        </w:rPr>
      </w:pPr>
      <w:r>
        <w:rPr>
          <w:rFonts w:ascii="Times New Roman" w:hAnsi="Times New Roman" w:eastAsia="宋体" w:cs="Times New Roman"/>
          <w:b/>
          <w:bCs/>
          <w:kern w:val="0"/>
          <w:szCs w:val="24"/>
        </w:rPr>
        <w:t>7、灭火救援行动全面展开</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7.1现场处置组到达现场利用墙壁消火栓与先期到达的第一灭火力量对起火的车间进行扑救。打开消火栓箱门，取出水带，将水带的一端接在消火栓出水口上，另一端接好水枪，拉到起火点附近后方可打开消火栓阀门。注意：在确认火灾现场供电已断开的情况下，才能用水进行扑救。</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现场处置组组长：“总指挥，现场处置组已到达车间，未发现被困人员，已将火势基本控制，我组利用墙壁消火栓设立水枪阵地正在进行扑救，相邻房间和楼层也设置了水枪保护阵地。此时，车间左右相邻房间及上对应房间由抢险救援组其他成员分别设置水枪保护阵地。</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总指挥：“明白，有新情况随时汇报”。</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7.2善后处理组到达现场与先期到达的第一灭火疏散力量在逐个通知并引导人员从疏散通道撤离，已通知和疏散过的房间在房门上用粉笔标记阿拉伯数字该房间走出几人，经确认无人的写“0”，无阿拉伯数字标记的代表未曾搜救。每间房门上都有阿拉伯数字标记，安全保卫组正逐个房间通知、搜救。</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后勤保障组长：“总指挥，目前各层人员已全部安全撤离，安全保卫组正在组织人员疏散，房间内暂未发现人员伤亡”。</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总指挥：“明白，保持联络。现场处置组，你组在疏散过程中有无发现人员受伤”?</w:t>
      </w:r>
    </w:p>
    <w:p>
      <w:pPr>
        <w:widowControl/>
        <w:ind w:firstLine="480"/>
        <w:jc w:val="left"/>
        <w:rPr>
          <w:rFonts w:ascii="Times New Roman" w:hAnsi="Times New Roman" w:eastAsia="宋体" w:cs="Times New Roman"/>
          <w:kern w:val="0"/>
          <w:szCs w:val="24"/>
        </w:rPr>
        <w:sectPr>
          <w:pgSz w:w="11906" w:h="16838"/>
          <w:pgMar w:top="1134" w:right="1134" w:bottom="1134" w:left="1134" w:header="851" w:footer="992" w:gutter="0"/>
          <w:cols w:space="425" w:num="1"/>
          <w:titlePg/>
          <w:docGrid w:type="lines" w:linePitch="312" w:charSpace="0"/>
        </w:sectPr>
      </w:pPr>
      <w:r>
        <w:rPr>
          <w:rFonts w:ascii="Times New Roman" w:hAnsi="Times New Roman" w:eastAsia="宋体" w:cs="Times New Roman"/>
          <w:kern w:val="0"/>
          <w:szCs w:val="24"/>
        </w:rPr>
        <w:t>后勤保障组组长：“总指挥，2层有一名外来办事人员（员工饰演）在疏散通道内跌倒，只有些皮外伤，我们已用担架将其转移到院内。”</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7.3总指挥：“后勤保障组继续查看有无其他伤员及时处置，发现伤情严重者随时拨打120”。</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后勤保障组组长：“明白”。</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7.4其他各组到达现场的同一时间现场周围10米内，安全保卫组拉上警戒带阻止无关人员进入。</w:t>
      </w:r>
    </w:p>
    <w:p>
      <w:pPr>
        <w:widowControl/>
        <w:ind w:firstLine="482"/>
        <w:jc w:val="left"/>
        <w:rPr>
          <w:rFonts w:ascii="Times New Roman" w:hAnsi="Times New Roman" w:eastAsia="宋体" w:cs="Times New Roman"/>
          <w:kern w:val="0"/>
          <w:szCs w:val="24"/>
        </w:rPr>
      </w:pPr>
      <w:r>
        <w:rPr>
          <w:rFonts w:ascii="Times New Roman" w:hAnsi="Times New Roman" w:eastAsia="宋体" w:cs="Times New Roman"/>
          <w:b/>
          <w:bCs/>
          <w:kern w:val="0"/>
          <w:szCs w:val="24"/>
        </w:rPr>
        <w:t>8、各组按照分工开展救援行动。</w:t>
      </w:r>
    </w:p>
    <w:p>
      <w:pPr>
        <w:widowControl/>
        <w:ind w:firstLine="482"/>
        <w:jc w:val="left"/>
        <w:rPr>
          <w:rFonts w:ascii="Times New Roman" w:hAnsi="Times New Roman" w:eastAsia="宋体" w:cs="Times New Roman"/>
          <w:kern w:val="0"/>
          <w:szCs w:val="24"/>
        </w:rPr>
      </w:pPr>
      <w:r>
        <w:rPr>
          <w:rFonts w:ascii="Times New Roman" w:hAnsi="Times New Roman" w:eastAsia="宋体" w:cs="Times New Roman"/>
          <w:b/>
          <w:bCs/>
          <w:kern w:val="0"/>
          <w:szCs w:val="24"/>
        </w:rPr>
        <w:t>9、灭火救援行动尾声。</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现场处置组组长：“总指挥，车间火势已全部扑灭，其它一切正常，未发现着火迹象。”</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总指挥：“综合协调、现场处置组分别汇报一下进展情况”。</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综合协调组组长：“总指挥，现场处置组未发现新增伤员”。</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现场处置组组长：“总指挥，经过认真核对，车间内全部搜寻完毕，全部疏散到安全地带”。</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总指挥：“综合协调组立即通知消防队现场情况。”</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综合协调组组长：“明白”。手机拨打“119”。</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综合协调组组长：“消防队，我是赤壁恒瑞非织造材料有限公司，火已被我们自己扑灭”。</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消防队：“有人员伤亡吗？”</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综合协调组组长：“除一名人员在疏散过程中磕破腿外没有伤亡。”</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消防队：“好的。”</w:t>
      </w:r>
    </w:p>
    <w:p>
      <w:pPr>
        <w:widowControl/>
        <w:ind w:firstLine="482"/>
        <w:jc w:val="left"/>
        <w:rPr>
          <w:rFonts w:ascii="Times New Roman" w:hAnsi="Times New Roman" w:eastAsia="宋体" w:cs="Times New Roman"/>
          <w:kern w:val="0"/>
          <w:szCs w:val="24"/>
        </w:rPr>
      </w:pPr>
      <w:r>
        <w:rPr>
          <w:rFonts w:ascii="Times New Roman" w:hAnsi="Times New Roman" w:eastAsia="宋体" w:cs="Times New Roman"/>
          <w:b/>
          <w:bCs/>
          <w:kern w:val="0"/>
          <w:szCs w:val="24"/>
        </w:rPr>
        <w:t>10、集结讲评</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10.1总指挥下达命令：“灭火应急疏散演练结束，全体人员集合，进行演练讲评”。</w:t>
      </w:r>
    </w:p>
    <w:p>
      <w:pPr>
        <w:widowControl/>
        <w:ind w:firstLine="480"/>
        <w:jc w:val="left"/>
        <w:rPr>
          <w:rFonts w:ascii="Times New Roman" w:hAnsi="Times New Roman" w:eastAsia="宋体" w:cs="Times New Roman"/>
          <w:kern w:val="0"/>
          <w:szCs w:val="24"/>
        </w:rPr>
      </w:pPr>
      <w:r>
        <w:rPr>
          <w:rFonts w:ascii="Times New Roman" w:hAnsi="Times New Roman" w:eastAsia="宋体" w:cs="Times New Roman"/>
          <w:kern w:val="0"/>
          <w:szCs w:val="24"/>
        </w:rPr>
        <w:t>10.2全体人员按照部门列队集合。</w:t>
      </w:r>
    </w:p>
    <w:p>
      <w:pPr>
        <w:widowControl/>
        <w:ind w:right="180" w:firstLine="480"/>
        <w:jc w:val="left"/>
        <w:rPr>
          <w:rFonts w:ascii="Times New Roman" w:hAnsi="Times New Roman" w:eastAsia="宋体" w:cs="Times New Roman"/>
          <w:kern w:val="0"/>
          <w:szCs w:val="24"/>
        </w:rPr>
        <w:sectPr>
          <w:headerReference r:id="rId21" w:type="first"/>
          <w:pgSz w:w="11906" w:h="16838"/>
          <w:pgMar w:top="1134" w:right="1134" w:bottom="1134" w:left="1134" w:header="851" w:footer="992" w:gutter="0"/>
          <w:pgNumType w:fmt="numberInDash"/>
          <w:cols w:space="425" w:num="1"/>
          <w:titlePg/>
          <w:docGrid w:type="lines" w:linePitch="312" w:charSpace="0"/>
        </w:sectPr>
      </w:pPr>
      <w:r>
        <w:rPr>
          <w:rFonts w:ascii="Times New Roman" w:hAnsi="Times New Roman" w:eastAsia="宋体" w:cs="Times New Roman"/>
          <w:kern w:val="0"/>
          <w:szCs w:val="24"/>
        </w:rPr>
        <w:t>10.3总指挥对演练情况进行讲评。</w:t>
      </w:r>
    </w:p>
    <w:p>
      <w:pPr>
        <w:ind w:firstLine="0" w:firstLineChars="0"/>
        <w:jc w:val="left"/>
        <w:rPr>
          <w:rFonts w:ascii="Times New Roman" w:hAnsi="Times New Roman" w:eastAsia="宋体" w:cs="Times New Roman"/>
          <w:b/>
          <w:bCs/>
          <w:sz w:val="28"/>
          <w:szCs w:val="28"/>
        </w:rPr>
      </w:pPr>
      <w:r>
        <w:rPr>
          <w:rFonts w:ascii="Times New Roman" w:hAnsi="Times New Roman" w:eastAsia="宋体" w:cs="Times New Roman"/>
          <w:b/>
          <w:bCs/>
          <w:sz w:val="28"/>
          <w:szCs w:val="28"/>
        </w:rPr>
        <w:t>附件</w:t>
      </w:r>
      <w:r>
        <w:rPr>
          <w:rFonts w:hint="eastAsia" w:ascii="Times New Roman" w:hAnsi="Times New Roman" w:eastAsia="宋体" w:cs="Times New Roman"/>
          <w:b/>
          <w:bCs/>
          <w:sz w:val="28"/>
          <w:szCs w:val="28"/>
        </w:rPr>
        <w:t>8 演练纪录</w:t>
      </w:r>
    </w:p>
    <w:p>
      <w:pPr>
        <w:ind w:firstLine="560"/>
      </w:pPr>
      <w:r>
        <w:rPr>
          <w:rFonts w:hint="eastAsia"/>
          <w:sz w:val="28"/>
          <w:szCs w:val="28"/>
        </w:rPr>
        <w:t>2022年6月18日上午，赤壁恒瑞非织造材料有限公司和湖北龙兴无纺科技有限公司组织应急分队成员进行LNG站环境突发事件应急演练。</w:t>
      </w:r>
    </w:p>
    <w:p>
      <w:pPr>
        <w:ind w:firstLine="480"/>
      </w:pP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8"/>
        <w:gridCol w:w="6603"/>
        <w:gridCol w:w="4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pct"/>
          </w:tcPr>
          <w:p>
            <w:pPr>
              <w:ind w:firstLine="560"/>
              <w:jc w:val="center"/>
              <w:rPr>
                <w:sz w:val="28"/>
                <w:szCs w:val="28"/>
              </w:rPr>
            </w:pPr>
            <w:r>
              <w:rPr>
                <w:rFonts w:hint="eastAsia"/>
                <w:sz w:val="28"/>
                <w:szCs w:val="28"/>
              </w:rPr>
              <w:t>演练步骤</w:t>
            </w:r>
          </w:p>
        </w:tc>
        <w:tc>
          <w:tcPr>
            <w:tcW w:w="2233" w:type="pct"/>
          </w:tcPr>
          <w:p>
            <w:pPr>
              <w:ind w:firstLine="560"/>
              <w:jc w:val="center"/>
              <w:rPr>
                <w:sz w:val="28"/>
                <w:szCs w:val="28"/>
              </w:rPr>
            </w:pPr>
            <w:r>
              <w:rPr>
                <w:rFonts w:hint="eastAsia"/>
                <w:sz w:val="28"/>
                <w:szCs w:val="28"/>
              </w:rPr>
              <w:t>演练图片</w:t>
            </w:r>
          </w:p>
        </w:tc>
        <w:tc>
          <w:tcPr>
            <w:tcW w:w="1633" w:type="pct"/>
          </w:tcPr>
          <w:p>
            <w:pPr>
              <w:ind w:firstLine="560"/>
              <w:jc w:val="center"/>
              <w:rPr>
                <w:sz w:val="28"/>
                <w:szCs w:val="28"/>
              </w:rPr>
            </w:pPr>
            <w:r>
              <w:rPr>
                <w:rFonts w:hint="eastAsia"/>
                <w:sz w:val="28"/>
                <w:szCs w:val="28"/>
              </w:rPr>
              <w:t>演练目的和效果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pct"/>
            <w:vAlign w:val="center"/>
          </w:tcPr>
          <w:p>
            <w:pPr>
              <w:spacing w:line="500" w:lineRule="exact"/>
              <w:ind w:firstLine="560"/>
              <w:rPr>
                <w:sz w:val="28"/>
                <w:szCs w:val="28"/>
              </w:rPr>
            </w:pPr>
            <w:r>
              <w:rPr>
                <w:rFonts w:hint="eastAsia"/>
                <w:sz w:val="28"/>
                <w:szCs w:val="28"/>
              </w:rPr>
              <w:t>集合点名，讲解演练方案，明确演练重点和注意事项。</w:t>
            </w:r>
          </w:p>
        </w:tc>
        <w:tc>
          <w:tcPr>
            <w:tcW w:w="2233" w:type="pct"/>
          </w:tcPr>
          <w:p>
            <w:pPr>
              <w:ind w:firstLine="560"/>
              <w:jc w:val="center"/>
              <w:rPr>
                <w:sz w:val="28"/>
                <w:szCs w:val="28"/>
              </w:rPr>
            </w:pPr>
            <w:r>
              <w:rPr>
                <w:sz w:val="28"/>
                <w:szCs w:val="28"/>
              </w:rPr>
              <w:drawing>
                <wp:inline distT="0" distB="0" distL="114300" distR="114300">
                  <wp:extent cx="3322320" cy="2492375"/>
                  <wp:effectExtent l="0" t="0" r="11430" b="3175"/>
                  <wp:docPr id="6" name="图片 6" descr="4cfbda5bef03828102dcfa623a8b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cfbda5bef03828102dcfa623a8bc36"/>
                          <pic:cNvPicPr>
                            <a:picLocks noChangeAspect="1"/>
                          </pic:cNvPicPr>
                        </pic:nvPicPr>
                        <pic:blipFill>
                          <a:blip r:embed="rId40"/>
                          <a:stretch>
                            <a:fillRect/>
                          </a:stretch>
                        </pic:blipFill>
                        <pic:spPr>
                          <a:xfrm>
                            <a:off x="0" y="0"/>
                            <a:ext cx="3322320" cy="2492375"/>
                          </a:xfrm>
                          <a:prstGeom prst="rect">
                            <a:avLst/>
                          </a:prstGeom>
                        </pic:spPr>
                      </pic:pic>
                    </a:graphicData>
                  </a:graphic>
                </wp:inline>
              </w:drawing>
            </w:r>
          </w:p>
        </w:tc>
        <w:tc>
          <w:tcPr>
            <w:tcW w:w="1633" w:type="pct"/>
            <w:vAlign w:val="center"/>
          </w:tcPr>
          <w:p>
            <w:pPr>
              <w:spacing w:line="500" w:lineRule="exact"/>
              <w:ind w:firstLine="560"/>
              <w:rPr>
                <w:sz w:val="28"/>
                <w:szCs w:val="28"/>
              </w:rPr>
            </w:pPr>
            <w:r>
              <w:rPr>
                <w:rFonts w:hint="eastAsia"/>
                <w:sz w:val="28"/>
                <w:szCs w:val="28"/>
              </w:rPr>
              <w:t>让参加应急组及应急人员明确自己的分工和职责。</w:t>
            </w:r>
          </w:p>
        </w:tc>
      </w:tr>
    </w:tbl>
    <w:p>
      <w:pPr>
        <w:ind w:firstLine="480"/>
      </w:pPr>
    </w:p>
    <w:p>
      <w:pPr>
        <w:ind w:firstLine="480"/>
      </w:pPr>
    </w:p>
    <w:p>
      <w:pPr>
        <w:ind w:firstLine="480"/>
      </w:pP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6"/>
        <w:gridCol w:w="6261"/>
        <w:gridCol w:w="5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pct"/>
          </w:tcPr>
          <w:p>
            <w:pPr>
              <w:ind w:firstLine="560"/>
              <w:jc w:val="center"/>
              <w:rPr>
                <w:sz w:val="28"/>
                <w:szCs w:val="28"/>
              </w:rPr>
            </w:pPr>
            <w:r>
              <w:rPr>
                <w:rFonts w:hint="eastAsia"/>
                <w:sz w:val="28"/>
                <w:szCs w:val="28"/>
              </w:rPr>
              <w:t>演练步骤</w:t>
            </w:r>
          </w:p>
        </w:tc>
        <w:tc>
          <w:tcPr>
            <w:tcW w:w="2118" w:type="pct"/>
          </w:tcPr>
          <w:p>
            <w:pPr>
              <w:ind w:firstLine="560"/>
              <w:jc w:val="center"/>
              <w:rPr>
                <w:sz w:val="28"/>
                <w:szCs w:val="28"/>
              </w:rPr>
            </w:pPr>
            <w:r>
              <w:rPr>
                <w:rFonts w:hint="eastAsia"/>
                <w:sz w:val="28"/>
                <w:szCs w:val="28"/>
              </w:rPr>
              <w:t>演练图片</w:t>
            </w:r>
          </w:p>
        </w:tc>
        <w:tc>
          <w:tcPr>
            <w:tcW w:w="1750" w:type="pct"/>
          </w:tcPr>
          <w:p>
            <w:pPr>
              <w:ind w:firstLine="560"/>
              <w:jc w:val="center"/>
              <w:rPr>
                <w:sz w:val="28"/>
                <w:szCs w:val="28"/>
              </w:rPr>
            </w:pPr>
            <w:r>
              <w:rPr>
                <w:rFonts w:hint="eastAsia"/>
                <w:sz w:val="28"/>
                <w:szCs w:val="28"/>
              </w:rPr>
              <w:t>演练目的和效果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2" w:hRule="atLeast"/>
        </w:trPr>
        <w:tc>
          <w:tcPr>
            <w:tcW w:w="1132" w:type="pct"/>
            <w:vAlign w:val="center"/>
          </w:tcPr>
          <w:p>
            <w:pPr>
              <w:ind w:firstLine="560"/>
              <w:rPr>
                <w:sz w:val="28"/>
                <w:szCs w:val="28"/>
              </w:rPr>
            </w:pPr>
            <w:r>
              <w:rPr>
                <w:rFonts w:hint="eastAsia"/>
                <w:sz w:val="28"/>
                <w:szCs w:val="28"/>
              </w:rPr>
              <w:t>按方案进行现场推演</w:t>
            </w:r>
          </w:p>
        </w:tc>
        <w:tc>
          <w:tcPr>
            <w:tcW w:w="2118" w:type="pct"/>
          </w:tcPr>
          <w:p>
            <w:pPr>
              <w:ind w:firstLine="560"/>
              <w:jc w:val="center"/>
              <w:rPr>
                <w:sz w:val="28"/>
                <w:szCs w:val="28"/>
              </w:rPr>
            </w:pPr>
            <w:r>
              <w:rPr>
                <w:sz w:val="28"/>
                <w:szCs w:val="28"/>
              </w:rPr>
              <w:drawing>
                <wp:inline distT="0" distB="0" distL="114300" distR="114300">
                  <wp:extent cx="3381375" cy="2410460"/>
                  <wp:effectExtent l="0" t="0" r="0" b="8890"/>
                  <wp:docPr id="14" name="图片 14" descr="bd0f4a82df18eac6191530eaa8bb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d0f4a82df18eac6191530eaa8bb718"/>
                          <pic:cNvPicPr>
                            <a:picLocks noChangeAspect="1"/>
                          </pic:cNvPicPr>
                        </pic:nvPicPr>
                        <pic:blipFill>
                          <a:blip r:embed="rId41"/>
                          <a:stretch>
                            <a:fillRect/>
                          </a:stretch>
                        </pic:blipFill>
                        <pic:spPr>
                          <a:xfrm>
                            <a:off x="0" y="0"/>
                            <a:ext cx="3396135" cy="2421209"/>
                          </a:xfrm>
                          <a:prstGeom prst="rect">
                            <a:avLst/>
                          </a:prstGeom>
                        </pic:spPr>
                      </pic:pic>
                    </a:graphicData>
                  </a:graphic>
                </wp:inline>
              </w:drawing>
            </w:r>
          </w:p>
        </w:tc>
        <w:tc>
          <w:tcPr>
            <w:tcW w:w="1750" w:type="pct"/>
            <w:vAlign w:val="center"/>
          </w:tcPr>
          <w:p>
            <w:pPr>
              <w:ind w:firstLine="560"/>
              <w:rPr>
                <w:sz w:val="28"/>
                <w:szCs w:val="28"/>
              </w:rPr>
            </w:pPr>
            <w:r>
              <w:rPr>
                <w:rFonts w:hint="eastAsia"/>
                <w:sz w:val="28"/>
                <w:szCs w:val="28"/>
              </w:rPr>
              <w:t>参加演练人员进一步明确自己在演练时所在位置，动作要领。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3" w:hRule="atLeast"/>
        </w:trPr>
        <w:tc>
          <w:tcPr>
            <w:tcW w:w="1132" w:type="pct"/>
            <w:vAlign w:val="center"/>
          </w:tcPr>
          <w:p>
            <w:pPr>
              <w:ind w:firstLine="560"/>
              <w:rPr>
                <w:sz w:val="28"/>
                <w:szCs w:val="28"/>
              </w:rPr>
            </w:pPr>
            <w:r>
              <w:rPr>
                <w:rFonts w:hint="eastAsia"/>
                <w:sz w:val="28"/>
                <w:szCs w:val="28"/>
              </w:rPr>
              <w:t>应急保障措施</w:t>
            </w:r>
          </w:p>
        </w:tc>
        <w:tc>
          <w:tcPr>
            <w:tcW w:w="2118" w:type="pct"/>
          </w:tcPr>
          <w:p>
            <w:pPr>
              <w:ind w:firstLine="560"/>
              <w:jc w:val="center"/>
              <w:rPr>
                <w:sz w:val="28"/>
                <w:szCs w:val="28"/>
              </w:rPr>
            </w:pPr>
            <w:r>
              <w:rPr>
                <w:sz w:val="28"/>
                <w:szCs w:val="28"/>
              </w:rPr>
              <w:drawing>
                <wp:inline distT="0" distB="0" distL="114300" distR="114300">
                  <wp:extent cx="3432810" cy="2433955"/>
                  <wp:effectExtent l="0" t="0" r="0" b="4445"/>
                  <wp:docPr id="16" name="图片 16" descr="c72fcbd7df247f9d600fc920d0e53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72fcbd7df247f9d600fc920d0e537d"/>
                          <pic:cNvPicPr>
                            <a:picLocks noChangeAspect="1"/>
                          </pic:cNvPicPr>
                        </pic:nvPicPr>
                        <pic:blipFill>
                          <a:blip r:embed="rId42"/>
                          <a:stretch>
                            <a:fillRect/>
                          </a:stretch>
                        </pic:blipFill>
                        <pic:spPr>
                          <a:xfrm>
                            <a:off x="0" y="0"/>
                            <a:ext cx="3456169" cy="2450875"/>
                          </a:xfrm>
                          <a:prstGeom prst="rect">
                            <a:avLst/>
                          </a:prstGeom>
                        </pic:spPr>
                      </pic:pic>
                    </a:graphicData>
                  </a:graphic>
                </wp:inline>
              </w:drawing>
            </w:r>
          </w:p>
        </w:tc>
        <w:tc>
          <w:tcPr>
            <w:tcW w:w="1750" w:type="pct"/>
            <w:vAlign w:val="center"/>
          </w:tcPr>
          <w:p>
            <w:pPr>
              <w:ind w:firstLine="560"/>
              <w:rPr>
                <w:sz w:val="28"/>
                <w:szCs w:val="28"/>
              </w:rPr>
            </w:pPr>
            <w:r>
              <w:rPr>
                <w:rFonts w:hint="eastAsia"/>
                <w:sz w:val="28"/>
                <w:szCs w:val="28"/>
              </w:rPr>
              <w:t>LNG超低温液化状态，因此泄漏点温度也极低，为防止冻伤和吸入气化的天然气，进入泄漏点处置的人员必须穿防冻服和呼吸机。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pct"/>
          </w:tcPr>
          <w:p>
            <w:pPr>
              <w:ind w:firstLine="560"/>
              <w:jc w:val="center"/>
              <w:rPr>
                <w:sz w:val="28"/>
                <w:szCs w:val="28"/>
              </w:rPr>
            </w:pPr>
            <w:r>
              <w:rPr>
                <w:rFonts w:hint="eastAsia"/>
                <w:sz w:val="28"/>
                <w:szCs w:val="28"/>
              </w:rPr>
              <w:t>演练步骤</w:t>
            </w:r>
          </w:p>
        </w:tc>
        <w:tc>
          <w:tcPr>
            <w:tcW w:w="2118" w:type="pct"/>
          </w:tcPr>
          <w:p>
            <w:pPr>
              <w:ind w:firstLine="560"/>
              <w:jc w:val="center"/>
              <w:rPr>
                <w:sz w:val="28"/>
                <w:szCs w:val="28"/>
              </w:rPr>
            </w:pPr>
            <w:r>
              <w:rPr>
                <w:rFonts w:hint="eastAsia"/>
                <w:sz w:val="28"/>
                <w:szCs w:val="28"/>
              </w:rPr>
              <w:t>演练图片</w:t>
            </w:r>
          </w:p>
        </w:tc>
        <w:tc>
          <w:tcPr>
            <w:tcW w:w="1750" w:type="pct"/>
          </w:tcPr>
          <w:p>
            <w:pPr>
              <w:ind w:firstLine="560"/>
              <w:jc w:val="center"/>
              <w:rPr>
                <w:sz w:val="28"/>
                <w:szCs w:val="28"/>
              </w:rPr>
            </w:pPr>
            <w:r>
              <w:rPr>
                <w:rFonts w:hint="eastAsia"/>
                <w:sz w:val="28"/>
                <w:szCs w:val="28"/>
              </w:rPr>
              <w:t>演练目的和效果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pct"/>
            <w:vAlign w:val="center"/>
          </w:tcPr>
          <w:p>
            <w:pPr>
              <w:ind w:firstLine="0" w:firstLineChars="0"/>
              <w:jc w:val="center"/>
              <w:rPr>
                <w:sz w:val="28"/>
                <w:szCs w:val="28"/>
              </w:rPr>
            </w:pPr>
            <w:r>
              <w:rPr>
                <w:rFonts w:hint="eastAsia"/>
                <w:sz w:val="28"/>
                <w:szCs w:val="28"/>
              </w:rPr>
              <w:t>应急处置</w:t>
            </w:r>
          </w:p>
        </w:tc>
        <w:tc>
          <w:tcPr>
            <w:tcW w:w="2118" w:type="pct"/>
          </w:tcPr>
          <w:p>
            <w:pPr>
              <w:ind w:firstLine="560"/>
              <w:rPr>
                <w:sz w:val="28"/>
                <w:szCs w:val="28"/>
              </w:rPr>
            </w:pPr>
            <w:r>
              <w:rPr>
                <w:sz w:val="28"/>
                <w:szCs w:val="28"/>
              </w:rPr>
              <w:drawing>
                <wp:inline distT="0" distB="0" distL="114300" distR="114300">
                  <wp:extent cx="3635375" cy="2592070"/>
                  <wp:effectExtent l="0" t="0" r="3175" b="17780"/>
                  <wp:docPr id="18" name="图片 18" descr="ea8b3e49c83fa8978d9d5ee00f1e1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a8b3e49c83fa8978d9d5ee00f1e1e1"/>
                          <pic:cNvPicPr>
                            <a:picLocks noChangeAspect="1"/>
                          </pic:cNvPicPr>
                        </pic:nvPicPr>
                        <pic:blipFill>
                          <a:blip r:embed="rId43"/>
                          <a:stretch>
                            <a:fillRect/>
                          </a:stretch>
                        </pic:blipFill>
                        <pic:spPr>
                          <a:xfrm>
                            <a:off x="0" y="0"/>
                            <a:ext cx="3635375" cy="2592070"/>
                          </a:xfrm>
                          <a:prstGeom prst="rect">
                            <a:avLst/>
                          </a:prstGeom>
                        </pic:spPr>
                      </pic:pic>
                    </a:graphicData>
                  </a:graphic>
                </wp:inline>
              </w:drawing>
            </w:r>
          </w:p>
        </w:tc>
        <w:tc>
          <w:tcPr>
            <w:tcW w:w="1750" w:type="pct"/>
            <w:vAlign w:val="center"/>
          </w:tcPr>
          <w:p>
            <w:pPr>
              <w:ind w:firstLine="560"/>
              <w:rPr>
                <w:sz w:val="28"/>
                <w:szCs w:val="28"/>
              </w:rPr>
            </w:pPr>
            <w:r>
              <w:rPr>
                <w:rFonts w:hint="eastAsia"/>
                <w:sz w:val="28"/>
                <w:szCs w:val="28"/>
              </w:rPr>
              <w:t>应急处置最关键的环节是切断泄漏源，到达储罐下方关闭阀门。（共3个阀门，分别是出液阀、上进液阀、下进液阀）</w:t>
            </w:r>
          </w:p>
          <w:p>
            <w:pPr>
              <w:ind w:firstLine="560"/>
              <w:rPr>
                <w:sz w:val="28"/>
                <w:szCs w:val="28"/>
              </w:rPr>
            </w:pPr>
            <w:r>
              <w:rPr>
                <w:rFonts w:hint="eastAsia"/>
                <w:sz w:val="28"/>
                <w:szCs w:val="28"/>
              </w:rPr>
              <w:t>注意：若使用扳手等工具时，必须是防爆工具。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pct"/>
            <w:vAlign w:val="center"/>
          </w:tcPr>
          <w:p>
            <w:pPr>
              <w:ind w:firstLine="0" w:firstLineChars="0"/>
              <w:jc w:val="center"/>
              <w:rPr>
                <w:sz w:val="28"/>
                <w:szCs w:val="28"/>
              </w:rPr>
            </w:pPr>
            <w:r>
              <w:rPr>
                <w:rFonts w:hint="eastAsia"/>
                <w:sz w:val="28"/>
                <w:szCs w:val="28"/>
              </w:rPr>
              <w:t>应急处置</w:t>
            </w:r>
          </w:p>
        </w:tc>
        <w:tc>
          <w:tcPr>
            <w:tcW w:w="2118" w:type="pct"/>
          </w:tcPr>
          <w:p>
            <w:pPr>
              <w:ind w:firstLine="560"/>
              <w:rPr>
                <w:sz w:val="28"/>
                <w:szCs w:val="28"/>
              </w:rPr>
            </w:pPr>
            <w:r>
              <w:rPr>
                <w:sz w:val="28"/>
                <w:szCs w:val="28"/>
              </w:rPr>
              <w:drawing>
                <wp:inline distT="0" distB="0" distL="114300" distR="114300">
                  <wp:extent cx="3780155" cy="2600325"/>
                  <wp:effectExtent l="0" t="0" r="0" b="9525"/>
                  <wp:docPr id="19" name="图片 19" descr="5185a11d4542727587f03ded1be2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185a11d4542727587f03ded1be278b"/>
                          <pic:cNvPicPr>
                            <a:picLocks noChangeAspect="1"/>
                          </pic:cNvPicPr>
                        </pic:nvPicPr>
                        <pic:blipFill>
                          <a:blip r:embed="rId44"/>
                          <a:stretch>
                            <a:fillRect/>
                          </a:stretch>
                        </pic:blipFill>
                        <pic:spPr>
                          <a:xfrm>
                            <a:off x="0" y="0"/>
                            <a:ext cx="3800036" cy="2614118"/>
                          </a:xfrm>
                          <a:prstGeom prst="rect">
                            <a:avLst/>
                          </a:prstGeom>
                        </pic:spPr>
                      </pic:pic>
                    </a:graphicData>
                  </a:graphic>
                </wp:inline>
              </w:drawing>
            </w:r>
          </w:p>
        </w:tc>
        <w:tc>
          <w:tcPr>
            <w:tcW w:w="1750" w:type="pct"/>
            <w:vAlign w:val="center"/>
          </w:tcPr>
          <w:p>
            <w:pPr>
              <w:ind w:firstLine="560"/>
              <w:rPr>
                <w:sz w:val="28"/>
                <w:szCs w:val="28"/>
              </w:rPr>
            </w:pPr>
            <w:r>
              <w:rPr>
                <w:rFonts w:hint="eastAsia"/>
                <w:sz w:val="28"/>
                <w:szCs w:val="28"/>
              </w:rPr>
              <w:t>储罐若发生泄漏，应启动泡沫发生器，在中心的围堰区形成泡沫层，对泄液进行覆盖，阻隔氧气，防止发生火情。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pct"/>
          </w:tcPr>
          <w:p>
            <w:pPr>
              <w:ind w:firstLine="560"/>
              <w:jc w:val="center"/>
              <w:rPr>
                <w:sz w:val="28"/>
                <w:szCs w:val="28"/>
              </w:rPr>
            </w:pPr>
            <w:r>
              <w:rPr>
                <w:rFonts w:hint="eastAsia"/>
                <w:sz w:val="28"/>
                <w:szCs w:val="28"/>
              </w:rPr>
              <w:t>演练步骤</w:t>
            </w:r>
          </w:p>
        </w:tc>
        <w:tc>
          <w:tcPr>
            <w:tcW w:w="2118" w:type="pct"/>
          </w:tcPr>
          <w:p>
            <w:pPr>
              <w:ind w:firstLine="0" w:firstLineChars="0"/>
              <w:jc w:val="center"/>
              <w:rPr>
                <w:sz w:val="28"/>
                <w:szCs w:val="28"/>
              </w:rPr>
            </w:pPr>
            <w:r>
              <w:rPr>
                <w:rFonts w:hint="eastAsia"/>
                <w:sz w:val="28"/>
                <w:szCs w:val="28"/>
              </w:rPr>
              <w:t>演练图片</w:t>
            </w:r>
          </w:p>
        </w:tc>
        <w:tc>
          <w:tcPr>
            <w:tcW w:w="1750" w:type="pct"/>
          </w:tcPr>
          <w:p>
            <w:pPr>
              <w:ind w:firstLine="560"/>
              <w:jc w:val="center"/>
              <w:rPr>
                <w:sz w:val="28"/>
                <w:szCs w:val="28"/>
              </w:rPr>
            </w:pPr>
            <w:r>
              <w:rPr>
                <w:rFonts w:hint="eastAsia"/>
                <w:sz w:val="28"/>
                <w:szCs w:val="28"/>
              </w:rPr>
              <w:t>演练目的和效果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pct"/>
            <w:vAlign w:val="center"/>
          </w:tcPr>
          <w:p>
            <w:pPr>
              <w:ind w:firstLine="0" w:firstLineChars="0"/>
              <w:jc w:val="center"/>
              <w:rPr>
                <w:sz w:val="28"/>
                <w:szCs w:val="28"/>
              </w:rPr>
            </w:pPr>
            <w:r>
              <w:rPr>
                <w:rFonts w:hint="eastAsia"/>
                <w:sz w:val="28"/>
                <w:szCs w:val="28"/>
              </w:rPr>
              <w:t>应急处置</w:t>
            </w:r>
          </w:p>
        </w:tc>
        <w:tc>
          <w:tcPr>
            <w:tcW w:w="2118" w:type="pct"/>
          </w:tcPr>
          <w:p>
            <w:pPr>
              <w:ind w:firstLine="0" w:firstLineChars="0"/>
              <w:jc w:val="center"/>
              <w:rPr>
                <w:sz w:val="28"/>
                <w:szCs w:val="28"/>
              </w:rPr>
            </w:pPr>
            <w:r>
              <w:rPr>
                <w:sz w:val="28"/>
                <w:szCs w:val="28"/>
              </w:rPr>
              <w:drawing>
                <wp:inline distT="0" distB="0" distL="114300" distR="114300">
                  <wp:extent cx="4004310" cy="2552700"/>
                  <wp:effectExtent l="0" t="0" r="0" b="0"/>
                  <wp:docPr id="20" name="图片 20" descr="11dc2608e29eb62814c011fc34719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1dc2608e29eb62814c011fc347199b"/>
                          <pic:cNvPicPr>
                            <a:picLocks noChangeAspect="1"/>
                          </pic:cNvPicPr>
                        </pic:nvPicPr>
                        <pic:blipFill>
                          <a:blip r:embed="rId45"/>
                          <a:stretch>
                            <a:fillRect/>
                          </a:stretch>
                        </pic:blipFill>
                        <pic:spPr>
                          <a:xfrm>
                            <a:off x="0" y="0"/>
                            <a:ext cx="4016960" cy="2561108"/>
                          </a:xfrm>
                          <a:prstGeom prst="rect">
                            <a:avLst/>
                          </a:prstGeom>
                        </pic:spPr>
                      </pic:pic>
                    </a:graphicData>
                  </a:graphic>
                </wp:inline>
              </w:drawing>
            </w:r>
          </w:p>
        </w:tc>
        <w:tc>
          <w:tcPr>
            <w:tcW w:w="1750" w:type="pct"/>
            <w:vAlign w:val="center"/>
          </w:tcPr>
          <w:p>
            <w:pPr>
              <w:ind w:firstLine="560"/>
              <w:rPr>
                <w:sz w:val="28"/>
                <w:szCs w:val="28"/>
              </w:rPr>
            </w:pPr>
            <w:r>
              <w:rPr>
                <w:rFonts w:hint="eastAsia"/>
                <w:sz w:val="28"/>
                <w:szCs w:val="28"/>
              </w:rPr>
              <w:t>LNG泄漏后会快速吸热气化，自动喷淋及手持消防水喷淋，在泄漏区形成水幕，降低泄漏气体浓度，驱散积聚，防止形成爆炸性聚合物。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pct"/>
            <w:vAlign w:val="center"/>
          </w:tcPr>
          <w:p>
            <w:pPr>
              <w:ind w:firstLine="0" w:firstLineChars="0"/>
              <w:jc w:val="center"/>
              <w:rPr>
                <w:sz w:val="28"/>
                <w:szCs w:val="28"/>
              </w:rPr>
            </w:pPr>
            <w:r>
              <w:rPr>
                <w:rFonts w:hint="eastAsia"/>
                <w:sz w:val="28"/>
                <w:szCs w:val="28"/>
              </w:rPr>
              <w:t>应急处置</w:t>
            </w:r>
          </w:p>
        </w:tc>
        <w:tc>
          <w:tcPr>
            <w:tcW w:w="2118" w:type="pct"/>
          </w:tcPr>
          <w:p>
            <w:pPr>
              <w:ind w:firstLine="0" w:firstLineChars="0"/>
              <w:rPr>
                <w:sz w:val="28"/>
                <w:szCs w:val="28"/>
              </w:rPr>
            </w:pPr>
            <w:r>
              <w:rPr>
                <w:sz w:val="28"/>
                <w:szCs w:val="28"/>
              </w:rPr>
              <w:drawing>
                <wp:inline distT="0" distB="0" distL="114300" distR="114300">
                  <wp:extent cx="3771265" cy="2671445"/>
                  <wp:effectExtent l="0" t="0" r="635" b="0"/>
                  <wp:docPr id="21" name="图片 21" descr="2f0150e4607b39a5cc40f979f980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f0150e4607b39a5cc40f979f980c55"/>
                          <pic:cNvPicPr>
                            <a:picLocks noChangeAspect="1"/>
                          </pic:cNvPicPr>
                        </pic:nvPicPr>
                        <pic:blipFill>
                          <a:blip r:embed="rId46"/>
                          <a:stretch>
                            <a:fillRect/>
                          </a:stretch>
                        </pic:blipFill>
                        <pic:spPr>
                          <a:xfrm>
                            <a:off x="0" y="0"/>
                            <a:ext cx="3773008" cy="2673069"/>
                          </a:xfrm>
                          <a:prstGeom prst="rect">
                            <a:avLst/>
                          </a:prstGeom>
                        </pic:spPr>
                      </pic:pic>
                    </a:graphicData>
                  </a:graphic>
                </wp:inline>
              </w:drawing>
            </w:r>
          </w:p>
        </w:tc>
        <w:tc>
          <w:tcPr>
            <w:tcW w:w="1750" w:type="pct"/>
            <w:vAlign w:val="center"/>
          </w:tcPr>
          <w:p>
            <w:pPr>
              <w:ind w:firstLine="560"/>
              <w:rPr>
                <w:sz w:val="28"/>
                <w:szCs w:val="28"/>
              </w:rPr>
            </w:pPr>
            <w:r>
              <w:rPr>
                <w:rFonts w:hint="eastAsia"/>
                <w:sz w:val="28"/>
                <w:szCs w:val="28"/>
              </w:rPr>
              <w:t>若因泄漏造成了火情，禁止用消防水对准着火点。因为泄漏后的LNG接触到水后，水会增大气化速度因而会使火焰增大，加大燃爆的危险。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pct"/>
          </w:tcPr>
          <w:p>
            <w:pPr>
              <w:ind w:firstLine="560"/>
              <w:jc w:val="center"/>
              <w:rPr>
                <w:sz w:val="28"/>
                <w:szCs w:val="28"/>
              </w:rPr>
            </w:pPr>
            <w:r>
              <w:rPr>
                <w:rFonts w:hint="eastAsia"/>
                <w:sz w:val="28"/>
                <w:szCs w:val="28"/>
              </w:rPr>
              <w:t>演练步骤</w:t>
            </w:r>
          </w:p>
        </w:tc>
        <w:tc>
          <w:tcPr>
            <w:tcW w:w="2118" w:type="pct"/>
          </w:tcPr>
          <w:p>
            <w:pPr>
              <w:ind w:firstLine="560"/>
              <w:jc w:val="center"/>
              <w:rPr>
                <w:sz w:val="28"/>
                <w:szCs w:val="28"/>
              </w:rPr>
            </w:pPr>
            <w:r>
              <w:rPr>
                <w:rFonts w:hint="eastAsia"/>
                <w:sz w:val="28"/>
                <w:szCs w:val="28"/>
              </w:rPr>
              <w:t>演练图片</w:t>
            </w:r>
          </w:p>
        </w:tc>
        <w:tc>
          <w:tcPr>
            <w:tcW w:w="1750" w:type="pct"/>
          </w:tcPr>
          <w:p>
            <w:pPr>
              <w:ind w:firstLine="560"/>
              <w:jc w:val="center"/>
              <w:rPr>
                <w:sz w:val="28"/>
                <w:szCs w:val="28"/>
              </w:rPr>
            </w:pPr>
            <w:r>
              <w:rPr>
                <w:rFonts w:hint="eastAsia"/>
                <w:sz w:val="28"/>
                <w:szCs w:val="28"/>
              </w:rPr>
              <w:t>演练目的和效果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pct"/>
            <w:vAlign w:val="center"/>
          </w:tcPr>
          <w:p>
            <w:pPr>
              <w:ind w:firstLine="0" w:firstLineChars="0"/>
              <w:jc w:val="center"/>
              <w:rPr>
                <w:sz w:val="28"/>
                <w:szCs w:val="28"/>
              </w:rPr>
            </w:pPr>
            <w:r>
              <w:rPr>
                <w:rFonts w:hint="eastAsia"/>
                <w:sz w:val="28"/>
                <w:szCs w:val="28"/>
              </w:rPr>
              <w:t>处置完毕后，消除警报，恢复正常状态。</w:t>
            </w:r>
          </w:p>
        </w:tc>
        <w:tc>
          <w:tcPr>
            <w:tcW w:w="2118" w:type="pct"/>
            <w:vAlign w:val="center"/>
          </w:tcPr>
          <w:p>
            <w:pPr>
              <w:ind w:firstLine="0" w:firstLineChars="0"/>
              <w:jc w:val="center"/>
              <w:rPr>
                <w:sz w:val="28"/>
                <w:szCs w:val="28"/>
              </w:rPr>
            </w:pPr>
            <w:r>
              <w:rPr>
                <w:sz w:val="28"/>
                <w:szCs w:val="28"/>
              </w:rPr>
              <w:drawing>
                <wp:inline distT="0" distB="0" distL="114300" distR="114300">
                  <wp:extent cx="3158490" cy="2369185"/>
                  <wp:effectExtent l="0" t="0" r="3810" b="0"/>
                  <wp:docPr id="22" name="图片 22" descr="71e479882b742e3fbb0a3168a720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1e479882b742e3fbb0a3168a7202bb"/>
                          <pic:cNvPicPr>
                            <a:picLocks noChangeAspect="1"/>
                          </pic:cNvPicPr>
                        </pic:nvPicPr>
                        <pic:blipFill>
                          <a:blip r:embed="rId47"/>
                          <a:stretch>
                            <a:fillRect/>
                          </a:stretch>
                        </pic:blipFill>
                        <pic:spPr>
                          <a:xfrm>
                            <a:off x="0" y="0"/>
                            <a:ext cx="3164073" cy="2373193"/>
                          </a:xfrm>
                          <a:prstGeom prst="rect">
                            <a:avLst/>
                          </a:prstGeom>
                        </pic:spPr>
                      </pic:pic>
                    </a:graphicData>
                  </a:graphic>
                </wp:inline>
              </w:drawing>
            </w:r>
          </w:p>
        </w:tc>
        <w:tc>
          <w:tcPr>
            <w:tcW w:w="1750" w:type="pct"/>
            <w:vAlign w:val="center"/>
          </w:tcPr>
          <w:p>
            <w:pPr>
              <w:ind w:firstLine="0" w:firstLineChars="0"/>
              <w:jc w:val="center"/>
              <w:rPr>
                <w:sz w:val="28"/>
                <w:szCs w:val="28"/>
              </w:rPr>
            </w:pPr>
            <w:r>
              <w:rPr>
                <w:sz w:val="28"/>
                <w:szCs w:val="28"/>
              </w:rPr>
              <w:t>应急终止和后期处置情况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pct"/>
            <w:vAlign w:val="center"/>
          </w:tcPr>
          <w:p>
            <w:pPr>
              <w:ind w:firstLine="0" w:firstLineChars="0"/>
              <w:jc w:val="center"/>
              <w:rPr>
                <w:sz w:val="28"/>
                <w:szCs w:val="28"/>
              </w:rPr>
            </w:pPr>
            <w:r>
              <w:rPr>
                <w:rFonts w:hint="eastAsia"/>
                <w:sz w:val="28"/>
                <w:szCs w:val="28"/>
              </w:rPr>
              <w:t>事后总结</w:t>
            </w:r>
          </w:p>
        </w:tc>
        <w:tc>
          <w:tcPr>
            <w:tcW w:w="2118" w:type="pct"/>
            <w:vAlign w:val="center"/>
          </w:tcPr>
          <w:p>
            <w:pPr>
              <w:ind w:firstLine="0" w:firstLineChars="0"/>
              <w:jc w:val="center"/>
              <w:rPr>
                <w:sz w:val="28"/>
                <w:szCs w:val="28"/>
              </w:rPr>
            </w:pPr>
            <w:r>
              <w:rPr>
                <w:sz w:val="28"/>
                <w:szCs w:val="28"/>
              </w:rPr>
              <w:drawing>
                <wp:inline distT="0" distB="0" distL="114300" distR="114300">
                  <wp:extent cx="3322320" cy="2492375"/>
                  <wp:effectExtent l="0" t="0" r="11430" b="3175"/>
                  <wp:docPr id="23" name="图片 23" descr="4cfbda5bef03828102dcfa623a8b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cfbda5bef03828102dcfa623a8bc36"/>
                          <pic:cNvPicPr>
                            <a:picLocks noChangeAspect="1"/>
                          </pic:cNvPicPr>
                        </pic:nvPicPr>
                        <pic:blipFill>
                          <a:blip r:embed="rId40"/>
                          <a:stretch>
                            <a:fillRect/>
                          </a:stretch>
                        </pic:blipFill>
                        <pic:spPr>
                          <a:xfrm>
                            <a:off x="0" y="0"/>
                            <a:ext cx="3322320" cy="2492375"/>
                          </a:xfrm>
                          <a:prstGeom prst="rect">
                            <a:avLst/>
                          </a:prstGeom>
                        </pic:spPr>
                      </pic:pic>
                    </a:graphicData>
                  </a:graphic>
                </wp:inline>
              </w:drawing>
            </w:r>
          </w:p>
        </w:tc>
        <w:tc>
          <w:tcPr>
            <w:tcW w:w="1750" w:type="pct"/>
            <w:vAlign w:val="center"/>
          </w:tcPr>
          <w:p>
            <w:pPr>
              <w:ind w:firstLine="0" w:firstLineChars="0"/>
              <w:jc w:val="center"/>
              <w:rPr>
                <w:sz w:val="28"/>
                <w:szCs w:val="28"/>
              </w:rPr>
            </w:pPr>
            <w:r>
              <w:rPr>
                <w:sz w:val="28"/>
                <w:szCs w:val="28"/>
              </w:rPr>
              <w:t>总指挥对演练进行总体讲评</w:t>
            </w:r>
          </w:p>
        </w:tc>
      </w:tr>
    </w:tbl>
    <w:p>
      <w:pPr>
        <w:pStyle w:val="2"/>
        <w:ind w:firstLine="640"/>
        <w:rPr>
          <w:rFonts w:ascii="Times New Roman" w:hAnsi="Times New Roman" w:eastAsia="宋体" w:cs="Times New Roman"/>
          <w:color w:val="auto"/>
          <w:sz w:val="32"/>
          <w:szCs w:val="32"/>
        </w:rPr>
      </w:pPr>
    </w:p>
    <w:p>
      <w:pPr>
        <w:pStyle w:val="2"/>
        <w:ind w:firstLine="640"/>
        <w:rPr>
          <w:rFonts w:ascii="Times New Roman" w:hAnsi="Times New Roman" w:eastAsia="宋体" w:cs="Times New Roman"/>
          <w:color w:val="auto"/>
          <w:sz w:val="32"/>
          <w:szCs w:val="32"/>
        </w:rPr>
        <w:sectPr>
          <w:pgSz w:w="16838" w:h="11906" w:orient="landscape"/>
          <w:pgMar w:top="1134" w:right="1134" w:bottom="1134" w:left="1134" w:header="851" w:footer="992" w:gutter="0"/>
          <w:pgNumType w:fmt="numberInDash"/>
          <w:cols w:space="425" w:num="1"/>
          <w:titlePg/>
          <w:docGrid w:type="lines" w:linePitch="326" w:charSpace="0"/>
        </w:sectPr>
      </w:pPr>
    </w:p>
    <w:p>
      <w:pPr>
        <w:ind w:firstLine="0" w:firstLineChars="0"/>
        <w:jc w:val="left"/>
        <w:rPr>
          <w:rFonts w:ascii="Times New Roman" w:hAnsi="Times New Roman" w:eastAsia="宋体" w:cs="Times New Roman"/>
          <w:b/>
          <w:bCs/>
          <w:sz w:val="28"/>
          <w:szCs w:val="28"/>
        </w:rPr>
      </w:pPr>
      <w:r>
        <w:rPr>
          <w:rFonts w:ascii="Times New Roman" w:hAnsi="Times New Roman" w:eastAsia="宋体" w:cs="Times New Roman"/>
          <w:b/>
          <w:bCs/>
          <w:sz w:val="28"/>
          <w:szCs w:val="28"/>
        </w:rPr>
        <w:t>附件8</w:t>
      </w:r>
    </w:p>
    <w:p>
      <w:pPr>
        <w:spacing w:line="240" w:lineRule="auto"/>
        <w:ind w:firstLine="422"/>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赤壁恒瑞非织造材料有限公司突发环境事故应急预案演习记录</w:t>
      </w:r>
    </w:p>
    <w:tbl>
      <w:tblPr>
        <w:tblStyle w:val="36"/>
        <w:tblW w:w="985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7"/>
        <w:gridCol w:w="745"/>
        <w:gridCol w:w="1460"/>
        <w:gridCol w:w="1036"/>
        <w:gridCol w:w="431"/>
        <w:gridCol w:w="703"/>
        <w:gridCol w:w="647"/>
        <w:gridCol w:w="653"/>
        <w:gridCol w:w="831"/>
        <w:gridCol w:w="279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130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预案名称</w:t>
            </w:r>
          </w:p>
        </w:tc>
        <w:tc>
          <w:tcPr>
            <w:tcW w:w="3630" w:type="dxa"/>
            <w:gridSpan w:val="4"/>
            <w:tcBorders>
              <w:top w:val="single" w:color="auto" w:sz="4" w:space="0"/>
              <w:left w:val="single" w:color="auto" w:sz="4" w:space="0"/>
              <w:bottom w:val="single" w:color="auto" w:sz="4" w:space="0"/>
              <w:right w:val="single" w:color="auto" w:sz="4" w:space="0"/>
            </w:tcBorders>
            <w:vAlign w:val="center"/>
          </w:tcPr>
          <w:p>
            <w:pPr>
              <w:ind w:firstLine="360"/>
              <w:jc w:val="center"/>
              <w:rPr>
                <w:rFonts w:ascii="Times New Roman" w:hAnsi="Times New Roman" w:eastAsia="宋体" w:cs="Times New Roman"/>
                <w:sz w:val="18"/>
                <w:szCs w:val="18"/>
              </w:rPr>
            </w:pPr>
          </w:p>
        </w:tc>
        <w:tc>
          <w:tcPr>
            <w:tcW w:w="130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演习地点</w:t>
            </w:r>
          </w:p>
        </w:tc>
        <w:tc>
          <w:tcPr>
            <w:tcW w:w="3622" w:type="dxa"/>
            <w:gridSpan w:val="2"/>
            <w:tcBorders>
              <w:top w:val="single" w:color="auto" w:sz="4" w:space="0"/>
              <w:left w:val="single" w:color="auto" w:sz="4" w:space="0"/>
              <w:bottom w:val="single" w:color="auto" w:sz="4" w:space="0"/>
              <w:right w:val="single" w:color="auto" w:sz="4" w:space="0"/>
            </w:tcBorders>
            <w:vAlign w:val="center"/>
          </w:tcPr>
          <w:p>
            <w:pPr>
              <w:ind w:firstLine="360"/>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0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组织部门</w:t>
            </w:r>
          </w:p>
        </w:tc>
        <w:tc>
          <w:tcPr>
            <w:tcW w:w="146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p>
        </w:tc>
        <w:tc>
          <w:tcPr>
            <w:tcW w:w="10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总指挥</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p>
        </w:tc>
        <w:tc>
          <w:tcPr>
            <w:tcW w:w="130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演习时间</w:t>
            </w:r>
          </w:p>
        </w:tc>
        <w:tc>
          <w:tcPr>
            <w:tcW w:w="362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130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参加部门</w:t>
            </w:r>
          </w:p>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和单位</w:t>
            </w:r>
          </w:p>
        </w:tc>
        <w:tc>
          <w:tcPr>
            <w:tcW w:w="4277" w:type="dxa"/>
            <w:gridSpan w:val="5"/>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演习方式</w:t>
            </w:r>
          </w:p>
        </w:tc>
        <w:tc>
          <w:tcPr>
            <w:tcW w:w="279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30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演习类别</w:t>
            </w:r>
          </w:p>
        </w:tc>
        <w:tc>
          <w:tcPr>
            <w:tcW w:w="2927"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p>
        </w:tc>
        <w:tc>
          <w:tcPr>
            <w:tcW w:w="5625" w:type="dxa"/>
            <w:gridSpan w:val="5"/>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演习程序：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130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预案评审</w:t>
            </w:r>
          </w:p>
        </w:tc>
        <w:tc>
          <w:tcPr>
            <w:tcW w:w="8552" w:type="dxa"/>
            <w:gridSpan w:val="8"/>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□适宜性：全部能够执行</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□执行过程不够顺利□明显不适宜</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□充分性：完全满足应急要求</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□基本满足需要完善</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□不充分，必须修改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58" w:hRule="atLeast"/>
        </w:trPr>
        <w:tc>
          <w:tcPr>
            <w:tcW w:w="557"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演习效果评审</w:t>
            </w:r>
          </w:p>
        </w:tc>
        <w:tc>
          <w:tcPr>
            <w:tcW w:w="74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人员到位情况</w:t>
            </w:r>
          </w:p>
        </w:tc>
        <w:tc>
          <w:tcPr>
            <w:tcW w:w="8552" w:type="dxa"/>
            <w:gridSpan w:val="8"/>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□迅速准确基本按时到位</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□个别人员不到位</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□重点部位人员不到位</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□职责明确，操作熟练</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□职责明确，操作不够熟练</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□职责不明，操作不熟练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7" w:hRule="atLeast"/>
        </w:trPr>
        <w:tc>
          <w:tcPr>
            <w:tcW w:w="557"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p>
        </w:tc>
        <w:tc>
          <w:tcPr>
            <w:tcW w:w="74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物资到位情况</w:t>
            </w:r>
          </w:p>
        </w:tc>
        <w:tc>
          <w:tcPr>
            <w:tcW w:w="8552" w:type="dxa"/>
            <w:gridSpan w:val="8"/>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现场物资：□现场物资充分，全部有效</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□现场准备不充分</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□现场物资严重缺乏</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个人防护：□全部人员防护到位</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□个别人员防护不到位</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□大部分人员防护不到位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77" w:hRule="atLeast"/>
        </w:trPr>
        <w:tc>
          <w:tcPr>
            <w:tcW w:w="557"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p>
        </w:tc>
        <w:tc>
          <w:tcPr>
            <w:tcW w:w="74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协调组织情况</w:t>
            </w:r>
          </w:p>
        </w:tc>
        <w:tc>
          <w:tcPr>
            <w:tcW w:w="8552" w:type="dxa"/>
            <w:gridSpan w:val="8"/>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整体组织：□准确、高效</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□协调基本顺利，能满足要求</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□效率低，有待改进</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疏散组分工：□安全、快速</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□基本能完成任务</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□效率低，没有完成任务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9" w:hRule="atLeast"/>
        </w:trPr>
        <w:tc>
          <w:tcPr>
            <w:tcW w:w="557"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p>
        </w:tc>
        <w:tc>
          <w:tcPr>
            <w:tcW w:w="74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实战效果评价</w:t>
            </w:r>
          </w:p>
        </w:tc>
        <w:tc>
          <w:tcPr>
            <w:tcW w:w="8552" w:type="dxa"/>
            <w:gridSpan w:val="8"/>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□达到预期目标</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□基本达到目的，部分环节有待改进</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□没有达到目标，须重新演练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9" w:hRule="atLeast"/>
        </w:trPr>
        <w:tc>
          <w:tcPr>
            <w:tcW w:w="557" w:type="dxa"/>
            <w:vMerge w:val="restart"/>
            <w:tcBorders>
              <w:top w:val="single" w:color="auto" w:sz="4" w:space="0"/>
              <w:left w:val="single" w:color="auto" w:sz="4" w:space="0"/>
              <w:bottom w:val="single" w:color="auto" w:sz="4" w:space="0"/>
              <w:right w:val="single" w:color="auto" w:sz="4" w:space="0"/>
            </w:tcBorders>
            <w:vAlign w:val="center"/>
          </w:tcPr>
          <w:p>
            <w:pPr>
              <w:widowControl/>
              <w:ind w:firstLine="360"/>
              <w:jc w:val="left"/>
              <w:rPr>
                <w:rFonts w:ascii="Times New Roman" w:hAnsi="Times New Roman" w:eastAsia="宋体" w:cs="Times New Roman"/>
                <w:sz w:val="18"/>
                <w:szCs w:val="18"/>
              </w:rPr>
            </w:pPr>
          </w:p>
        </w:tc>
        <w:tc>
          <w:tcPr>
            <w:tcW w:w="74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支援部门和协作有效性</w:t>
            </w:r>
          </w:p>
        </w:tc>
        <w:tc>
          <w:tcPr>
            <w:tcW w:w="8552" w:type="dxa"/>
            <w:gridSpan w:val="8"/>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报告上级：□报告及时</w:t>
            </w:r>
          </w:p>
          <w:p>
            <w:pPr>
              <w:ind w:firstLine="810" w:firstLineChars="450"/>
              <w:jc w:val="left"/>
              <w:rPr>
                <w:rFonts w:ascii="Times New Roman" w:hAnsi="Times New Roman" w:eastAsia="宋体" w:cs="Times New Roman"/>
                <w:sz w:val="18"/>
                <w:szCs w:val="18"/>
              </w:rPr>
            </w:pPr>
            <w:r>
              <w:rPr>
                <w:rFonts w:ascii="Times New Roman" w:hAnsi="Times New Roman" w:eastAsia="宋体" w:cs="Times New Roman"/>
                <w:sz w:val="18"/>
                <w:szCs w:val="18"/>
              </w:rPr>
              <w:t>□联系不上</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安全部门：□按要求协作</w:t>
            </w:r>
          </w:p>
          <w:p>
            <w:pPr>
              <w:ind w:firstLine="900" w:firstLineChars="500"/>
              <w:jc w:val="left"/>
              <w:rPr>
                <w:rFonts w:ascii="Times New Roman" w:hAnsi="Times New Roman" w:eastAsia="宋体" w:cs="Times New Roman"/>
                <w:sz w:val="18"/>
                <w:szCs w:val="18"/>
              </w:rPr>
            </w:pPr>
            <w:r>
              <w:rPr>
                <w:rFonts w:ascii="Times New Roman" w:hAnsi="Times New Roman" w:eastAsia="宋体" w:cs="Times New Roman"/>
                <w:sz w:val="18"/>
                <w:szCs w:val="18"/>
              </w:rPr>
              <w:t>□行动迟缓</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救援、后勤部门：□按要求协作</w:t>
            </w:r>
          </w:p>
          <w:p>
            <w:pPr>
              <w:ind w:firstLine="1440" w:firstLineChars="800"/>
              <w:jc w:val="left"/>
              <w:rPr>
                <w:rFonts w:ascii="Times New Roman" w:hAnsi="Times New Roman" w:eastAsia="宋体" w:cs="Times New Roman"/>
                <w:sz w:val="18"/>
                <w:szCs w:val="18"/>
              </w:rPr>
            </w:pPr>
            <w:r>
              <w:rPr>
                <w:rFonts w:ascii="Times New Roman" w:hAnsi="Times New Roman" w:eastAsia="宋体" w:cs="Times New Roman"/>
                <w:sz w:val="18"/>
                <w:szCs w:val="18"/>
              </w:rPr>
              <w:t>□行动迟缓</w:t>
            </w:r>
          </w:p>
          <w:p>
            <w:pPr>
              <w:ind w:firstLine="0" w:firstLineChars="0"/>
              <w:jc w:val="left"/>
              <w:rPr>
                <w:rFonts w:ascii="Times New Roman" w:hAnsi="Times New Roman" w:eastAsia="宋体" w:cs="Times New Roman"/>
                <w:sz w:val="18"/>
                <w:szCs w:val="18"/>
              </w:rPr>
            </w:pPr>
            <w:r>
              <w:rPr>
                <w:rFonts w:ascii="Times New Roman" w:hAnsi="Times New Roman" w:eastAsia="宋体" w:cs="Times New Roman"/>
                <w:sz w:val="18"/>
                <w:szCs w:val="18"/>
              </w:rPr>
              <w:t>警戒、撤离配合：□按要求配合</w:t>
            </w:r>
          </w:p>
          <w:p>
            <w:pPr>
              <w:ind w:firstLine="1440" w:firstLineChars="800"/>
              <w:jc w:val="left"/>
              <w:rPr>
                <w:rFonts w:ascii="Times New Roman" w:hAnsi="Times New Roman" w:eastAsia="宋体" w:cs="Times New Roman"/>
                <w:sz w:val="18"/>
                <w:szCs w:val="18"/>
              </w:rPr>
            </w:pPr>
            <w:r>
              <w:rPr>
                <w:rFonts w:ascii="Times New Roman" w:hAnsi="Times New Roman" w:eastAsia="宋体" w:cs="Times New Roman"/>
                <w:sz w:val="18"/>
                <w:szCs w:val="18"/>
              </w:rPr>
              <w:t>□不配合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1" w:hRule="atLeast"/>
        </w:trPr>
        <w:tc>
          <w:tcPr>
            <w:tcW w:w="130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存在问题</w:t>
            </w:r>
          </w:p>
        </w:tc>
        <w:tc>
          <w:tcPr>
            <w:tcW w:w="8552"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1" w:hRule="atLeast"/>
        </w:trPr>
        <w:tc>
          <w:tcPr>
            <w:tcW w:w="130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改进措施</w:t>
            </w:r>
          </w:p>
        </w:tc>
        <w:tc>
          <w:tcPr>
            <w:tcW w:w="8552" w:type="dxa"/>
            <w:gridSpan w:val="8"/>
            <w:tcBorders>
              <w:top w:val="single" w:color="auto" w:sz="4" w:space="0"/>
              <w:left w:val="single" w:color="auto" w:sz="4" w:space="0"/>
              <w:bottom w:val="single" w:color="auto" w:sz="4" w:space="0"/>
              <w:right w:val="single" w:color="auto" w:sz="4" w:space="0"/>
            </w:tcBorders>
          </w:tcPr>
          <w:p>
            <w:pPr>
              <w:ind w:left="480" w:firstLine="0" w:firstLineChars="0"/>
              <w:jc w:val="center"/>
              <w:rPr>
                <w:rFonts w:ascii="Times New Roman" w:hAnsi="Times New Roman" w:eastAsia="宋体" w:cs="Times New Roman"/>
                <w:sz w:val="18"/>
                <w:szCs w:val="18"/>
              </w:rPr>
            </w:pPr>
          </w:p>
        </w:tc>
      </w:tr>
    </w:tbl>
    <w:p>
      <w:pPr>
        <w:tabs>
          <w:tab w:val="center" w:pos="5484"/>
        </w:tabs>
        <w:ind w:firstLine="480"/>
        <w:rPr>
          <w:rFonts w:ascii="Times New Roman" w:hAnsi="Times New Roman" w:eastAsia="宋体" w:cs="Times New Roman"/>
        </w:rPr>
      </w:pPr>
      <w:r>
        <w:rPr>
          <w:rFonts w:ascii="Times New Roman" w:hAnsi="Times New Roman" w:eastAsia="宋体" w:cs="Times New Roman"/>
        </w:rPr>
        <w:t>记录人：        审核：      记录时间：     年     月     日</w:t>
      </w:r>
    </w:p>
    <w:p>
      <w:pPr>
        <w:pStyle w:val="2"/>
        <w:ind w:firstLine="480"/>
        <w:rPr>
          <w:rFonts w:ascii="Times New Roman" w:hAnsi="Times New Roman" w:eastAsia="宋体" w:cs="Times New Roman"/>
          <w:color w:val="auto"/>
        </w:rPr>
      </w:pPr>
    </w:p>
    <w:p>
      <w:pPr>
        <w:ind w:firstLine="480"/>
        <w:rPr>
          <w:rFonts w:ascii="Times New Roman" w:hAnsi="Times New Roman" w:eastAsia="宋体" w:cs="Times New Roman"/>
          <w:szCs w:val="24"/>
        </w:rPr>
        <w:sectPr>
          <w:headerReference r:id="rId22" w:type="first"/>
          <w:pgSz w:w="11906" w:h="16838"/>
          <w:pgMar w:top="1134" w:right="1134" w:bottom="1134" w:left="1134" w:header="851" w:footer="992" w:gutter="0"/>
          <w:pgNumType w:fmt="numberInDash"/>
          <w:cols w:space="425" w:num="1"/>
          <w:titlePg/>
          <w:docGrid w:type="lines" w:linePitch="312" w:charSpace="0"/>
        </w:sectPr>
      </w:pPr>
    </w:p>
    <w:p>
      <w:pPr>
        <w:ind w:firstLine="0" w:firstLineChars="0"/>
        <w:jc w:val="left"/>
        <w:rPr>
          <w:rFonts w:ascii="Times New Roman" w:hAnsi="Times New Roman" w:eastAsia="宋体" w:cs="Times New Roman"/>
          <w:b/>
          <w:bCs/>
          <w:sz w:val="28"/>
          <w:szCs w:val="28"/>
        </w:rPr>
      </w:pPr>
      <w:r>
        <w:rPr>
          <w:rFonts w:ascii="Times New Roman" w:hAnsi="Times New Roman" w:eastAsia="宋体" w:cs="Times New Roman"/>
          <w:b/>
          <w:bCs/>
          <w:sz w:val="28"/>
          <w:szCs w:val="28"/>
        </w:rPr>
        <w:t>附件9</w:t>
      </w:r>
    </w:p>
    <w:p>
      <w:pPr>
        <w:spacing w:line="240" w:lineRule="auto"/>
        <w:ind w:firstLine="422"/>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赤壁恒瑞非织造材料有限公司突发环境事故应急预案演习考核记录</w:t>
      </w:r>
    </w:p>
    <w:tbl>
      <w:tblPr>
        <w:tblStyle w:val="3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734"/>
        <w:gridCol w:w="609"/>
        <w:gridCol w:w="933"/>
        <w:gridCol w:w="1009"/>
        <w:gridCol w:w="220"/>
        <w:gridCol w:w="671"/>
        <w:gridCol w:w="1812"/>
        <w:gridCol w:w="3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093" w:type="dxa"/>
            <w:gridSpan w:val="3"/>
            <w:shd w:val="clear" w:color="auto" w:fill="auto"/>
            <w:vAlign w:val="center"/>
          </w:tcPr>
          <w:p>
            <w:pPr>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预案名称</w:t>
            </w:r>
          </w:p>
        </w:tc>
        <w:tc>
          <w:tcPr>
            <w:tcW w:w="2833" w:type="dxa"/>
            <w:gridSpan w:val="4"/>
            <w:shd w:val="clear" w:color="auto" w:fill="auto"/>
            <w:vAlign w:val="center"/>
          </w:tcPr>
          <w:p>
            <w:pPr>
              <w:ind w:firstLine="0" w:firstLineChars="0"/>
              <w:jc w:val="center"/>
              <w:rPr>
                <w:rFonts w:ascii="Times New Roman" w:hAnsi="Times New Roman" w:eastAsia="宋体" w:cs="Times New Roman"/>
                <w:b/>
                <w:sz w:val="18"/>
                <w:szCs w:val="18"/>
              </w:rPr>
            </w:pPr>
          </w:p>
        </w:tc>
        <w:tc>
          <w:tcPr>
            <w:tcW w:w="1812" w:type="dxa"/>
            <w:shd w:val="clear" w:color="auto" w:fill="auto"/>
            <w:vAlign w:val="center"/>
          </w:tcPr>
          <w:p>
            <w:pPr>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演习地点</w:t>
            </w:r>
          </w:p>
        </w:tc>
        <w:tc>
          <w:tcPr>
            <w:tcW w:w="3116" w:type="dxa"/>
            <w:shd w:val="clear" w:color="auto" w:fill="auto"/>
            <w:vAlign w:val="center"/>
          </w:tcPr>
          <w:p>
            <w:pPr>
              <w:ind w:firstLine="360"/>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2093" w:type="dxa"/>
            <w:gridSpan w:val="3"/>
            <w:shd w:val="clear" w:color="auto" w:fill="auto"/>
            <w:vAlign w:val="center"/>
          </w:tcPr>
          <w:p>
            <w:pPr>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组织部门</w:t>
            </w:r>
          </w:p>
        </w:tc>
        <w:tc>
          <w:tcPr>
            <w:tcW w:w="933" w:type="dxa"/>
            <w:shd w:val="clear" w:color="auto" w:fill="auto"/>
            <w:vAlign w:val="center"/>
          </w:tcPr>
          <w:p>
            <w:pPr>
              <w:ind w:firstLine="0" w:firstLineChars="0"/>
              <w:jc w:val="center"/>
              <w:rPr>
                <w:rFonts w:ascii="Times New Roman" w:hAnsi="Times New Roman" w:eastAsia="宋体" w:cs="Times New Roman"/>
                <w:b/>
                <w:sz w:val="18"/>
                <w:szCs w:val="18"/>
              </w:rPr>
            </w:pPr>
          </w:p>
        </w:tc>
        <w:tc>
          <w:tcPr>
            <w:tcW w:w="1009" w:type="dxa"/>
            <w:shd w:val="clear" w:color="auto" w:fill="auto"/>
            <w:vAlign w:val="center"/>
          </w:tcPr>
          <w:p>
            <w:pPr>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总指挥</w:t>
            </w:r>
          </w:p>
        </w:tc>
        <w:tc>
          <w:tcPr>
            <w:tcW w:w="891" w:type="dxa"/>
            <w:gridSpan w:val="2"/>
            <w:shd w:val="clear" w:color="auto" w:fill="auto"/>
            <w:vAlign w:val="center"/>
          </w:tcPr>
          <w:p>
            <w:pPr>
              <w:ind w:firstLine="0" w:firstLineChars="0"/>
              <w:jc w:val="center"/>
              <w:rPr>
                <w:rFonts w:ascii="Times New Roman" w:hAnsi="Times New Roman" w:eastAsia="宋体" w:cs="Times New Roman"/>
                <w:b/>
                <w:sz w:val="18"/>
                <w:szCs w:val="18"/>
              </w:rPr>
            </w:pPr>
          </w:p>
        </w:tc>
        <w:tc>
          <w:tcPr>
            <w:tcW w:w="1812" w:type="dxa"/>
            <w:shd w:val="clear" w:color="auto" w:fill="auto"/>
            <w:vAlign w:val="center"/>
          </w:tcPr>
          <w:p>
            <w:pPr>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演习时间</w:t>
            </w:r>
          </w:p>
        </w:tc>
        <w:tc>
          <w:tcPr>
            <w:tcW w:w="3116" w:type="dxa"/>
            <w:shd w:val="clear" w:color="auto" w:fill="auto"/>
            <w:vAlign w:val="center"/>
          </w:tcPr>
          <w:p>
            <w:pPr>
              <w:ind w:firstLine="360"/>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2093" w:type="dxa"/>
            <w:gridSpan w:val="3"/>
            <w:vMerge w:val="restart"/>
            <w:shd w:val="clear" w:color="auto" w:fill="auto"/>
            <w:vAlign w:val="center"/>
          </w:tcPr>
          <w:p>
            <w:pPr>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参加部门和单位</w:t>
            </w:r>
          </w:p>
        </w:tc>
        <w:tc>
          <w:tcPr>
            <w:tcW w:w="2833" w:type="dxa"/>
            <w:gridSpan w:val="4"/>
            <w:vMerge w:val="restart"/>
            <w:shd w:val="clear" w:color="auto" w:fill="auto"/>
            <w:vAlign w:val="center"/>
          </w:tcPr>
          <w:p>
            <w:pPr>
              <w:ind w:firstLine="0" w:firstLineChars="0"/>
              <w:jc w:val="center"/>
              <w:rPr>
                <w:rFonts w:ascii="Times New Roman" w:hAnsi="Times New Roman" w:eastAsia="宋体" w:cs="Times New Roman"/>
                <w:b/>
                <w:sz w:val="18"/>
                <w:szCs w:val="18"/>
              </w:rPr>
            </w:pPr>
          </w:p>
        </w:tc>
        <w:tc>
          <w:tcPr>
            <w:tcW w:w="1812" w:type="dxa"/>
            <w:shd w:val="clear" w:color="auto" w:fill="auto"/>
            <w:vAlign w:val="center"/>
          </w:tcPr>
          <w:p>
            <w:pPr>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演习类别</w:t>
            </w:r>
          </w:p>
        </w:tc>
        <w:tc>
          <w:tcPr>
            <w:tcW w:w="3116" w:type="dxa"/>
            <w:shd w:val="clear" w:color="auto" w:fill="auto"/>
            <w:vAlign w:val="center"/>
          </w:tcPr>
          <w:p>
            <w:pPr>
              <w:ind w:firstLine="360"/>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93" w:type="dxa"/>
            <w:gridSpan w:val="3"/>
            <w:vMerge w:val="continue"/>
            <w:shd w:val="clear" w:color="auto" w:fill="auto"/>
            <w:vAlign w:val="center"/>
          </w:tcPr>
          <w:p>
            <w:pPr>
              <w:ind w:firstLine="0" w:firstLineChars="0"/>
              <w:jc w:val="center"/>
              <w:rPr>
                <w:rFonts w:ascii="Times New Roman" w:hAnsi="Times New Roman" w:eastAsia="宋体" w:cs="Times New Roman"/>
                <w:b/>
                <w:sz w:val="18"/>
                <w:szCs w:val="18"/>
              </w:rPr>
            </w:pPr>
          </w:p>
        </w:tc>
        <w:tc>
          <w:tcPr>
            <w:tcW w:w="2833" w:type="dxa"/>
            <w:gridSpan w:val="4"/>
            <w:vMerge w:val="continue"/>
            <w:shd w:val="clear" w:color="auto" w:fill="auto"/>
            <w:vAlign w:val="center"/>
          </w:tcPr>
          <w:p>
            <w:pPr>
              <w:ind w:firstLine="0" w:firstLineChars="0"/>
              <w:jc w:val="center"/>
              <w:rPr>
                <w:rFonts w:ascii="Times New Roman" w:hAnsi="Times New Roman" w:eastAsia="宋体" w:cs="Times New Roman"/>
                <w:b/>
                <w:sz w:val="18"/>
                <w:szCs w:val="18"/>
              </w:rPr>
            </w:pPr>
          </w:p>
        </w:tc>
        <w:tc>
          <w:tcPr>
            <w:tcW w:w="1812" w:type="dxa"/>
            <w:shd w:val="clear" w:color="auto" w:fill="auto"/>
            <w:vAlign w:val="center"/>
          </w:tcPr>
          <w:p>
            <w:pPr>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演习方式</w:t>
            </w:r>
          </w:p>
        </w:tc>
        <w:tc>
          <w:tcPr>
            <w:tcW w:w="3116" w:type="dxa"/>
            <w:shd w:val="clear" w:color="auto" w:fill="auto"/>
            <w:vAlign w:val="center"/>
          </w:tcPr>
          <w:p>
            <w:pPr>
              <w:ind w:firstLine="360"/>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9854" w:type="dxa"/>
            <w:gridSpan w:val="9"/>
            <w:shd w:val="clear" w:color="auto" w:fill="auto"/>
            <w:vAlign w:val="center"/>
          </w:tcPr>
          <w:p>
            <w:pPr>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演习程序：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484" w:type="dxa"/>
            <w:gridSpan w:val="2"/>
            <w:shd w:val="clear" w:color="auto" w:fill="auto"/>
            <w:vAlign w:val="center"/>
          </w:tcPr>
          <w:p>
            <w:pPr>
              <w:widowControl/>
              <w:ind w:firstLine="0" w:firstLineChars="0"/>
              <w:jc w:val="center"/>
              <w:rPr>
                <w:rFonts w:ascii="Times New Roman" w:hAnsi="Times New Roman" w:eastAsia="宋体" w:cs="Times New Roman"/>
                <w:b/>
                <w:sz w:val="18"/>
                <w:szCs w:val="18"/>
              </w:rPr>
            </w:pPr>
            <w:r>
              <w:rPr>
                <w:rFonts w:ascii="Times New Roman" w:hAnsi="Times New Roman" w:eastAsia="宋体" w:cs="Times New Roman"/>
                <w:b/>
                <w:sz w:val="18"/>
                <w:szCs w:val="18"/>
              </w:rPr>
              <w:t>演习描述</w:t>
            </w:r>
          </w:p>
        </w:tc>
        <w:tc>
          <w:tcPr>
            <w:tcW w:w="8370" w:type="dxa"/>
            <w:gridSpan w:val="7"/>
            <w:shd w:val="clear" w:color="auto" w:fill="auto"/>
            <w:vAlign w:val="center"/>
          </w:tcPr>
          <w:p>
            <w:pPr>
              <w:ind w:firstLine="0" w:firstLineChars="0"/>
              <w:jc w:val="center"/>
              <w:rPr>
                <w:rFonts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50" w:type="dxa"/>
            <w:vMerge w:val="restart"/>
            <w:shd w:val="clear" w:color="auto" w:fill="auto"/>
            <w:textDirection w:val="tbRlV"/>
            <w:vAlign w:val="center"/>
          </w:tcPr>
          <w:p>
            <w:pPr>
              <w:ind w:left="113" w:right="113" w:firstLine="361"/>
              <w:jc w:val="center"/>
              <w:rPr>
                <w:rFonts w:ascii="Times New Roman" w:hAnsi="Times New Roman" w:eastAsia="宋体" w:cs="Times New Roman"/>
                <w:b/>
                <w:sz w:val="18"/>
                <w:szCs w:val="18"/>
              </w:rPr>
            </w:pPr>
            <w:r>
              <w:rPr>
                <w:rFonts w:ascii="Times New Roman" w:hAnsi="Times New Roman" w:eastAsia="宋体" w:cs="Times New Roman"/>
                <w:b/>
                <w:sz w:val="18"/>
                <w:szCs w:val="18"/>
              </w:rPr>
              <w:t>演    习    效   果   评   审</w:t>
            </w:r>
          </w:p>
        </w:tc>
        <w:tc>
          <w:tcPr>
            <w:tcW w:w="734" w:type="dxa"/>
            <w:shd w:val="clear" w:color="auto" w:fill="auto"/>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人员到位情况</w:t>
            </w:r>
          </w:p>
        </w:tc>
        <w:tc>
          <w:tcPr>
            <w:tcW w:w="2771" w:type="dxa"/>
            <w:gridSpan w:val="4"/>
            <w:shd w:val="clear" w:color="auto" w:fill="auto"/>
            <w:vAlign w:val="center"/>
          </w:tcPr>
          <w:p>
            <w:pPr>
              <w:ind w:firstLine="0" w:firstLineChars="0"/>
              <w:jc w:val="center"/>
              <w:rPr>
                <w:rFonts w:ascii="Times New Roman" w:hAnsi="Times New Roman" w:eastAsia="宋体" w:cs="Times New Roman"/>
                <w:b/>
                <w:sz w:val="18"/>
                <w:szCs w:val="18"/>
              </w:rPr>
            </w:pPr>
          </w:p>
        </w:tc>
        <w:tc>
          <w:tcPr>
            <w:tcW w:w="5599" w:type="dxa"/>
            <w:gridSpan w:val="3"/>
            <w:shd w:val="clear" w:color="auto" w:fill="auto"/>
            <w:vAlign w:val="center"/>
          </w:tcPr>
          <w:p>
            <w:pPr>
              <w:ind w:firstLine="0" w:firstLineChars="0"/>
              <w:jc w:val="center"/>
              <w:rPr>
                <w:rFonts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50" w:type="dxa"/>
            <w:vMerge w:val="continue"/>
            <w:shd w:val="clear" w:color="auto" w:fill="auto"/>
            <w:vAlign w:val="center"/>
          </w:tcPr>
          <w:p>
            <w:pPr>
              <w:ind w:firstLine="360"/>
              <w:jc w:val="center"/>
              <w:rPr>
                <w:rFonts w:ascii="Times New Roman" w:hAnsi="Times New Roman" w:eastAsia="宋体" w:cs="Times New Roman"/>
                <w:sz w:val="18"/>
                <w:szCs w:val="18"/>
              </w:rPr>
            </w:pPr>
          </w:p>
        </w:tc>
        <w:tc>
          <w:tcPr>
            <w:tcW w:w="734" w:type="dxa"/>
            <w:shd w:val="clear" w:color="auto" w:fill="auto"/>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物资到位情况</w:t>
            </w:r>
          </w:p>
        </w:tc>
        <w:tc>
          <w:tcPr>
            <w:tcW w:w="2771" w:type="dxa"/>
            <w:gridSpan w:val="4"/>
            <w:shd w:val="clear" w:color="auto" w:fill="auto"/>
            <w:vAlign w:val="center"/>
          </w:tcPr>
          <w:p>
            <w:pPr>
              <w:ind w:firstLine="0" w:firstLineChars="0"/>
              <w:jc w:val="center"/>
              <w:rPr>
                <w:rFonts w:ascii="Times New Roman" w:hAnsi="Times New Roman" w:eastAsia="宋体" w:cs="Times New Roman"/>
                <w:b/>
                <w:sz w:val="18"/>
                <w:szCs w:val="18"/>
              </w:rPr>
            </w:pPr>
          </w:p>
        </w:tc>
        <w:tc>
          <w:tcPr>
            <w:tcW w:w="5599" w:type="dxa"/>
            <w:gridSpan w:val="3"/>
            <w:shd w:val="clear" w:color="auto" w:fill="auto"/>
            <w:vAlign w:val="center"/>
          </w:tcPr>
          <w:p>
            <w:pPr>
              <w:ind w:firstLine="0" w:firstLineChars="0"/>
              <w:jc w:val="center"/>
              <w:rPr>
                <w:rFonts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50" w:type="dxa"/>
            <w:vMerge w:val="continue"/>
            <w:shd w:val="clear" w:color="auto" w:fill="auto"/>
            <w:vAlign w:val="center"/>
          </w:tcPr>
          <w:p>
            <w:pPr>
              <w:ind w:firstLine="360"/>
              <w:jc w:val="center"/>
              <w:rPr>
                <w:rFonts w:ascii="Times New Roman" w:hAnsi="Times New Roman" w:eastAsia="宋体" w:cs="Times New Roman"/>
                <w:sz w:val="18"/>
                <w:szCs w:val="18"/>
              </w:rPr>
            </w:pPr>
          </w:p>
        </w:tc>
        <w:tc>
          <w:tcPr>
            <w:tcW w:w="734" w:type="dxa"/>
            <w:shd w:val="clear" w:color="auto" w:fill="auto"/>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协调组织情况</w:t>
            </w:r>
          </w:p>
        </w:tc>
        <w:tc>
          <w:tcPr>
            <w:tcW w:w="2771" w:type="dxa"/>
            <w:gridSpan w:val="4"/>
            <w:shd w:val="clear" w:color="auto" w:fill="auto"/>
            <w:vAlign w:val="center"/>
          </w:tcPr>
          <w:p>
            <w:pPr>
              <w:ind w:firstLine="0" w:firstLineChars="0"/>
              <w:jc w:val="center"/>
              <w:rPr>
                <w:rFonts w:ascii="Times New Roman" w:hAnsi="Times New Roman" w:eastAsia="宋体" w:cs="Times New Roman"/>
                <w:b/>
                <w:sz w:val="18"/>
                <w:szCs w:val="18"/>
              </w:rPr>
            </w:pPr>
          </w:p>
        </w:tc>
        <w:tc>
          <w:tcPr>
            <w:tcW w:w="5599" w:type="dxa"/>
            <w:gridSpan w:val="3"/>
            <w:shd w:val="clear" w:color="auto" w:fill="auto"/>
            <w:vAlign w:val="center"/>
          </w:tcPr>
          <w:p>
            <w:pPr>
              <w:ind w:firstLine="0" w:firstLineChars="0"/>
              <w:jc w:val="center"/>
              <w:rPr>
                <w:rFonts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50" w:type="dxa"/>
            <w:vMerge w:val="continue"/>
            <w:shd w:val="clear" w:color="auto" w:fill="auto"/>
            <w:vAlign w:val="center"/>
          </w:tcPr>
          <w:p>
            <w:pPr>
              <w:ind w:firstLine="360"/>
              <w:jc w:val="center"/>
              <w:rPr>
                <w:rFonts w:ascii="Times New Roman" w:hAnsi="Times New Roman" w:eastAsia="宋体" w:cs="Times New Roman"/>
                <w:sz w:val="18"/>
                <w:szCs w:val="18"/>
              </w:rPr>
            </w:pPr>
          </w:p>
        </w:tc>
        <w:tc>
          <w:tcPr>
            <w:tcW w:w="734" w:type="dxa"/>
            <w:shd w:val="clear" w:color="auto" w:fill="auto"/>
            <w:vAlign w:val="center"/>
          </w:tcPr>
          <w:p>
            <w:pPr>
              <w:spacing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sz w:val="18"/>
                <w:szCs w:val="18"/>
              </w:rPr>
              <w:t>支援部门协作有效性</w:t>
            </w:r>
          </w:p>
        </w:tc>
        <w:tc>
          <w:tcPr>
            <w:tcW w:w="2771" w:type="dxa"/>
            <w:gridSpan w:val="4"/>
            <w:shd w:val="clear" w:color="auto" w:fill="auto"/>
            <w:vAlign w:val="center"/>
          </w:tcPr>
          <w:p>
            <w:pPr>
              <w:ind w:firstLine="0" w:firstLineChars="0"/>
              <w:jc w:val="center"/>
              <w:rPr>
                <w:rFonts w:ascii="Times New Roman" w:hAnsi="Times New Roman" w:eastAsia="宋体" w:cs="Times New Roman"/>
                <w:b/>
                <w:sz w:val="18"/>
                <w:szCs w:val="18"/>
              </w:rPr>
            </w:pPr>
          </w:p>
        </w:tc>
        <w:tc>
          <w:tcPr>
            <w:tcW w:w="5599" w:type="dxa"/>
            <w:gridSpan w:val="3"/>
            <w:shd w:val="clear" w:color="auto" w:fill="auto"/>
            <w:vAlign w:val="center"/>
          </w:tcPr>
          <w:p>
            <w:pPr>
              <w:ind w:firstLine="0" w:firstLineChars="0"/>
              <w:jc w:val="center"/>
              <w:rPr>
                <w:rFonts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50" w:type="dxa"/>
            <w:vMerge w:val="restart"/>
            <w:shd w:val="clear" w:color="auto" w:fill="auto"/>
          </w:tcPr>
          <w:p>
            <w:pPr>
              <w:spacing w:line="240" w:lineRule="auto"/>
              <w:ind w:firstLine="0" w:firstLineChars="0"/>
              <w:jc w:val="center"/>
              <w:rPr>
                <w:rFonts w:ascii="Times New Roman" w:hAnsi="Times New Roman" w:eastAsia="宋体" w:cs="Times New Roman"/>
                <w:sz w:val="21"/>
                <w:szCs w:val="21"/>
              </w:rPr>
            </w:pPr>
          </w:p>
        </w:tc>
        <w:tc>
          <w:tcPr>
            <w:tcW w:w="734" w:type="dxa"/>
            <w:shd w:val="clear" w:color="auto" w:fill="auto"/>
          </w:tcPr>
          <w:p>
            <w:pPr>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z w:val="21"/>
                <w:szCs w:val="21"/>
              </w:rPr>
              <w:t>演习效果果评价</w:t>
            </w:r>
          </w:p>
        </w:tc>
        <w:tc>
          <w:tcPr>
            <w:tcW w:w="2771" w:type="dxa"/>
            <w:gridSpan w:val="4"/>
            <w:shd w:val="clear" w:color="auto" w:fill="auto"/>
          </w:tcPr>
          <w:p>
            <w:pPr>
              <w:ind w:firstLine="480"/>
              <w:rPr>
                <w:rFonts w:ascii="Times New Roman" w:hAnsi="Times New Roman" w:eastAsia="宋体" w:cs="Times New Roman"/>
              </w:rPr>
            </w:pPr>
          </w:p>
        </w:tc>
        <w:tc>
          <w:tcPr>
            <w:tcW w:w="5599" w:type="dxa"/>
            <w:gridSpan w:val="3"/>
            <w:shd w:val="clear" w:color="auto" w:fill="auto"/>
          </w:tcPr>
          <w:p>
            <w:pPr>
              <w:ind w:firstLine="480"/>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750" w:type="dxa"/>
            <w:shd w:val="clear" w:color="auto" w:fill="auto"/>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参演人员签名</w:t>
            </w:r>
          </w:p>
        </w:tc>
        <w:tc>
          <w:tcPr>
            <w:tcW w:w="9104" w:type="dxa"/>
            <w:gridSpan w:val="8"/>
            <w:shd w:val="clear" w:color="auto" w:fill="auto"/>
            <w:vAlign w:val="center"/>
          </w:tcPr>
          <w:p>
            <w:pPr>
              <w:spacing w:line="240" w:lineRule="auto"/>
              <w:ind w:firstLine="0" w:firstLineChars="0"/>
              <w:jc w:val="center"/>
              <w:rPr>
                <w:rFonts w:ascii="Times New Roman" w:hAnsi="Times New Roman" w:eastAsia="宋体" w:cs="Times New Roman"/>
              </w:rPr>
            </w:pPr>
          </w:p>
          <w:p>
            <w:pPr>
              <w:spacing w:line="240" w:lineRule="auto"/>
              <w:ind w:firstLine="0" w:firstLineChars="0"/>
              <w:jc w:val="center"/>
              <w:rPr>
                <w:rFonts w:ascii="Times New Roman" w:hAnsi="Times New Roman" w:eastAsia="宋体" w:cs="Times New Roman"/>
              </w:rPr>
            </w:pPr>
          </w:p>
          <w:p>
            <w:pPr>
              <w:spacing w:line="240" w:lineRule="auto"/>
              <w:ind w:firstLine="0" w:firstLineChars="0"/>
              <w:jc w:val="center"/>
              <w:rPr>
                <w:rFonts w:ascii="Times New Roman" w:hAnsi="Times New Roman" w:eastAsia="宋体" w:cs="Times New Roman"/>
              </w:rPr>
            </w:pPr>
          </w:p>
          <w:p>
            <w:pPr>
              <w:spacing w:line="240" w:lineRule="auto"/>
              <w:ind w:firstLine="0" w:firstLineChars="0"/>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750" w:type="dxa"/>
            <w:shd w:val="clear" w:color="auto" w:fill="auto"/>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存在</w:t>
            </w:r>
          </w:p>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问题</w:t>
            </w:r>
          </w:p>
        </w:tc>
        <w:tc>
          <w:tcPr>
            <w:tcW w:w="9104" w:type="dxa"/>
            <w:gridSpan w:val="8"/>
            <w:shd w:val="clear" w:color="auto" w:fill="auto"/>
          </w:tcPr>
          <w:p>
            <w:pPr>
              <w:spacing w:line="240" w:lineRule="auto"/>
              <w:ind w:firstLine="0" w:firstLineChars="0"/>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750" w:type="dxa"/>
            <w:shd w:val="clear" w:color="auto" w:fill="auto"/>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改进</w:t>
            </w:r>
          </w:p>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措施</w:t>
            </w:r>
          </w:p>
        </w:tc>
        <w:tc>
          <w:tcPr>
            <w:tcW w:w="9104" w:type="dxa"/>
            <w:gridSpan w:val="8"/>
            <w:shd w:val="clear" w:color="auto" w:fill="auto"/>
          </w:tcPr>
          <w:p>
            <w:pPr>
              <w:spacing w:line="240" w:lineRule="auto"/>
              <w:ind w:firstLine="0" w:firstLineChars="0"/>
              <w:jc w:val="center"/>
              <w:rPr>
                <w:rFonts w:ascii="Times New Roman" w:hAnsi="Times New Roman" w:eastAsia="宋体" w:cs="Times New Roman"/>
              </w:rPr>
            </w:pPr>
          </w:p>
        </w:tc>
      </w:tr>
    </w:tbl>
    <w:p>
      <w:pPr>
        <w:ind w:firstLine="480"/>
        <w:rPr>
          <w:rFonts w:ascii="Times New Roman" w:hAnsi="Times New Roman" w:eastAsia="宋体" w:cs="Times New Roman"/>
        </w:rPr>
      </w:pPr>
      <w:r>
        <w:rPr>
          <w:rFonts w:ascii="Times New Roman" w:hAnsi="Times New Roman" w:eastAsia="宋体" w:cs="Times New Roman"/>
        </w:rPr>
        <w:t>记录人：                        记录时间：</w:t>
      </w:r>
    </w:p>
    <w:p>
      <w:pPr>
        <w:ind w:firstLine="562"/>
        <w:jc w:val="center"/>
        <w:rPr>
          <w:rFonts w:ascii="Times New Roman" w:hAnsi="Times New Roman" w:eastAsia="宋体" w:cs="Times New Roman"/>
          <w:b/>
          <w:sz w:val="28"/>
          <w:szCs w:val="28"/>
        </w:rPr>
      </w:pPr>
    </w:p>
    <w:sectPr>
      <w:pgSz w:w="11906" w:h="16838"/>
      <w:pgMar w:top="1157" w:right="896" w:bottom="1157" w:left="896" w:header="851" w:footer="992" w:gutter="0"/>
      <w:pgNumType w:fmt="numberInDash"/>
      <w:cols w:space="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楷体_GB2312">
    <w:altName w:val="楷体"/>
    <w:panose1 w:val="020B0602010101010101"/>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3"/>
                      <w:ind w:firstLine="36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jc w:val="center"/>
    </w:pPr>
    <w:r>
      <w:fldChar w:fldCharType="begin"/>
    </w:r>
    <w:r>
      <w:instrText xml:space="preserve">PAGE   \* MERGEFORMAT</w:instrText>
    </w:r>
    <w:r>
      <w:fldChar w:fldCharType="separate"/>
    </w:r>
    <w:r>
      <w:rPr>
        <w:lang w:val="zh-CN"/>
      </w:rPr>
      <w:t>-</w:t>
    </w:r>
    <w:r>
      <w:t xml:space="preserve"> 104 -</w:t>
    </w:r>
    <w:r>
      <w:fldChar w:fldCharType="end"/>
    </w:r>
  </w:p>
  <w:p>
    <w:pPr>
      <w:pStyle w:val="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ind w:firstLine="36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- 2 -</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pStyle w:val="3"/>
                      <w:ind w:firstLine="36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- 2 -</w:t>
                    </w:r>
                    <w:r>
                      <w:rPr>
                        <w:rFonts w:ascii="Times New Roman" w:hAnsi="Times New Roman" w:cs="Times New Roma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ind w:firstLine="360"/>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- 42 -</w:t>
                          </w:r>
                          <w:r>
                            <w:rPr>
                              <w:rFonts w:ascii="Times New Roman" w:hAnsi="Times New Roman" w:eastAsia="宋体"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3"/>
                      <w:ind w:firstLine="360"/>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- 42 -</w:t>
                    </w:r>
                    <w:r>
                      <w:rPr>
                        <w:rFonts w:ascii="Times New Roman" w:hAnsi="Times New Roman" w:eastAsia="宋体" w:cs="Times New Roma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220"/>
      <w:jc w:val="center"/>
      <w:rPr>
        <w:sz w:val="11"/>
        <w:szCs w:val="11"/>
      </w:rPr>
    </w:pPr>
    <w:r>
      <w:rPr>
        <w:sz w:val="1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ind w:firstLine="360"/>
                          </w:pPr>
                          <w:r>
                            <w:rPr>
                              <w:rFonts w:hint="eastAsia"/>
                            </w:rPr>
                            <w:fldChar w:fldCharType="begin"/>
                          </w:r>
                          <w:r>
                            <w:rPr>
                              <w:rFonts w:hint="eastAsia"/>
                            </w:rPr>
                            <w:instrText xml:space="preserve"> PAGE  \* MERGEFORMAT </w:instrText>
                          </w:r>
                          <w:r>
                            <w:rPr>
                              <w:rFonts w:hint="eastAsia"/>
                            </w:rPr>
                            <w:fldChar w:fldCharType="separate"/>
                          </w:r>
                          <w:r>
                            <w:t>- 106 -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3"/>
                      <w:ind w:firstLine="360"/>
                    </w:pPr>
                    <w:r>
                      <w:rPr>
                        <w:rFonts w:hint="eastAsia"/>
                      </w:rPr>
                      <w:fldChar w:fldCharType="begin"/>
                    </w:r>
                    <w:r>
                      <w:rPr>
                        <w:rFonts w:hint="eastAsia"/>
                      </w:rPr>
                      <w:instrText xml:space="preserve"> PAGE  \* MERGEFORMAT </w:instrText>
                    </w:r>
                    <w:r>
                      <w:rPr>
                        <w:rFonts w:hint="eastAsia"/>
                      </w:rPr>
                      <w:fldChar w:fldCharType="separate"/>
                    </w:r>
                    <w:r>
                      <w:t>- 106 -</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spacing w:line="240" w:lineRule="auto"/>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line="240" w:lineRule="auto"/>
      <w:ind w:firstLine="420"/>
      <w:rPr>
        <w:sz w:val="21"/>
        <w:szCs w:val="21"/>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line="240" w:lineRule="auto"/>
      <w:ind w:firstLine="420"/>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spacing w:line="240" w:lineRule="auto"/>
      <w:ind w:firstLine="420"/>
      <w:rPr>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spacing w:line="240" w:lineRule="auto"/>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thickThinSmallGap" w:color="auto" w:sz="12" w:space="1"/>
      </w:pBdr>
      <w:spacing w:line="240" w:lineRule="auto"/>
      <w:ind w:firstLine="360"/>
    </w:pPr>
    <w:r>
      <w:rPr>
        <w:rFonts w:hint="eastAsia" w:cs="Times New Roman"/>
      </w:rPr>
      <w:t>赤壁恒瑞非织造材料有限公司突发环境事件应急预案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spacing w:line="240" w:lineRule="auto"/>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thickThinSmallGap" w:color="auto" w:sz="12" w:space="1"/>
      </w:pBdr>
      <w:spacing w:line="240" w:lineRule="auto"/>
      <w:ind w:firstLine="360"/>
    </w:pPr>
    <w:r>
      <w:rPr>
        <w:rFonts w:hint="eastAsia" w:cs="Times New Roman"/>
      </w:rPr>
      <w:t>赤壁恒瑞非织造材料有限公司突发环境事件应急预案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thickThinSmallGap" w:color="auto" w:sz="12" w:space="1"/>
      </w:pBdr>
      <w:spacing w:line="240" w:lineRule="auto"/>
      <w:ind w:firstLine="360"/>
    </w:pPr>
    <w:r>
      <w:rPr>
        <w:rFonts w:hint="eastAsia" w:cs="Times New Roman"/>
      </w:rPr>
      <w:t>赤壁恒瑞非织造材料有限公司</w:t>
    </w:r>
    <w:r>
      <w:rPr>
        <w:rFonts w:hint="eastAsia" w:ascii="Times New Roman" w:hAnsi="Times New Roman" w:cs="Times New Roman"/>
      </w:rPr>
      <w:t>突发环境事件应急预案</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spacing w:line="240" w:lineRule="auto"/>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8297B8"/>
    <w:multiLevelType w:val="singleLevel"/>
    <w:tmpl w:val="DB8297B8"/>
    <w:lvl w:ilvl="0" w:tentative="0">
      <w:start w:val="1"/>
      <w:numFmt w:val="decimal"/>
      <w:suff w:val="nothing"/>
      <w:lvlText w:val="（%1）"/>
      <w:lvlJc w:val="left"/>
    </w:lvl>
  </w:abstractNum>
  <w:abstractNum w:abstractNumId="1">
    <w:nsid w:val="EBCF7C47"/>
    <w:multiLevelType w:val="singleLevel"/>
    <w:tmpl w:val="EBCF7C47"/>
    <w:lvl w:ilvl="0" w:tentative="0">
      <w:start w:val="1"/>
      <w:numFmt w:val="decimal"/>
      <w:suff w:val="nothing"/>
      <w:lvlText w:val="（%1）"/>
      <w:lvlJc w:val="left"/>
    </w:lvl>
  </w:abstractNum>
  <w:abstractNum w:abstractNumId="2">
    <w:nsid w:val="117AD1A1"/>
    <w:multiLevelType w:val="singleLevel"/>
    <w:tmpl w:val="117AD1A1"/>
    <w:lvl w:ilvl="0" w:tentative="0">
      <w:start w:val="2"/>
      <w:numFmt w:val="decimal"/>
      <w:suff w:val="nothing"/>
      <w:lvlText w:val="（%1）"/>
      <w:lvlJc w:val="left"/>
    </w:lvl>
  </w:abstractNum>
  <w:abstractNum w:abstractNumId="3">
    <w:nsid w:val="548D8CCE"/>
    <w:multiLevelType w:val="singleLevel"/>
    <w:tmpl w:val="548D8CCE"/>
    <w:lvl w:ilvl="0" w:tentative="0">
      <w:start w:val="1"/>
      <w:numFmt w:val="decimal"/>
      <w:suff w:val="nothing"/>
      <w:lvlText w:val="（%1）"/>
      <w:lvlJc w:val="left"/>
    </w:lvl>
  </w:abstractNum>
  <w:abstractNum w:abstractNumId="4">
    <w:nsid w:val="598BCF0E"/>
    <w:multiLevelType w:val="singleLevel"/>
    <w:tmpl w:val="598BCF0E"/>
    <w:lvl w:ilvl="0" w:tentative="0">
      <w:start w:val="1"/>
      <w:numFmt w:val="decimal"/>
      <w:suff w:val="nothing"/>
      <w:lvlText w:val="（%1）"/>
      <w:lvlJc w:val="left"/>
    </w:lvl>
  </w:abstractNum>
  <w:abstractNum w:abstractNumId="5">
    <w:nsid w:val="598BDEBF"/>
    <w:multiLevelType w:val="singleLevel"/>
    <w:tmpl w:val="598BDEBF"/>
    <w:lvl w:ilvl="0" w:tentative="0">
      <w:start w:val="1"/>
      <w:numFmt w:val="decimal"/>
      <w:suff w:val="nothing"/>
      <w:lvlText w:val="（%1）"/>
      <w:lvlJc w:val="left"/>
    </w:lvl>
  </w:abstractNum>
  <w:abstractNum w:abstractNumId="6">
    <w:nsid w:val="60BEDFF6"/>
    <w:multiLevelType w:val="singleLevel"/>
    <w:tmpl w:val="60BEDFF6"/>
    <w:lvl w:ilvl="0" w:tentative="0">
      <w:start w:val="1"/>
      <w:numFmt w:val="bullet"/>
      <w:pStyle w:val="18"/>
      <w:lvlText w:val=""/>
      <w:lvlJc w:val="left"/>
      <w:pPr>
        <w:tabs>
          <w:tab w:val="left" w:pos="2040"/>
        </w:tabs>
        <w:ind w:left="2040" w:hanging="360"/>
      </w:pPr>
      <w:rPr>
        <w:rFonts w:hint="default" w:ascii="Wingdings" w:hAnsi="Wingdings"/>
      </w:rPr>
    </w:lvl>
  </w:abstractNum>
  <w:num w:numId="1">
    <w:abstractNumId w:val="6"/>
  </w:num>
  <w:num w:numId="2">
    <w:abstractNumId w:val="1"/>
  </w:num>
  <w:num w:numId="3">
    <w:abstractNumId w:val="2"/>
  </w:num>
  <w:num w:numId="4">
    <w:abstractNumId w:val="3"/>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hideSpellingErrors/>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zMWFjN2Q0ZDFhMmRiOWE0YmJjY2JmOGQ4NDA2NmUifQ=="/>
  </w:docVars>
  <w:rsids>
    <w:rsidRoot w:val="00172A27"/>
    <w:rsid w:val="00002D7A"/>
    <w:rsid w:val="00003F02"/>
    <w:rsid w:val="00004EAA"/>
    <w:rsid w:val="000054A0"/>
    <w:rsid w:val="00006C6B"/>
    <w:rsid w:val="00011CC7"/>
    <w:rsid w:val="00012B58"/>
    <w:rsid w:val="00017962"/>
    <w:rsid w:val="00030F82"/>
    <w:rsid w:val="00031999"/>
    <w:rsid w:val="00031D27"/>
    <w:rsid w:val="000330B5"/>
    <w:rsid w:val="00034FCF"/>
    <w:rsid w:val="00035896"/>
    <w:rsid w:val="000359F6"/>
    <w:rsid w:val="00037EBC"/>
    <w:rsid w:val="00040683"/>
    <w:rsid w:val="00041D8F"/>
    <w:rsid w:val="0004507B"/>
    <w:rsid w:val="00046036"/>
    <w:rsid w:val="00047B75"/>
    <w:rsid w:val="00051DFD"/>
    <w:rsid w:val="00052C0C"/>
    <w:rsid w:val="00053210"/>
    <w:rsid w:val="00053B6C"/>
    <w:rsid w:val="00060207"/>
    <w:rsid w:val="00062127"/>
    <w:rsid w:val="000633E9"/>
    <w:rsid w:val="00064846"/>
    <w:rsid w:val="00075F59"/>
    <w:rsid w:val="00077B59"/>
    <w:rsid w:val="0008020B"/>
    <w:rsid w:val="000833B6"/>
    <w:rsid w:val="00084832"/>
    <w:rsid w:val="00084CED"/>
    <w:rsid w:val="00086812"/>
    <w:rsid w:val="00087C41"/>
    <w:rsid w:val="00087F15"/>
    <w:rsid w:val="0009018F"/>
    <w:rsid w:val="00092F03"/>
    <w:rsid w:val="0009368E"/>
    <w:rsid w:val="0009435B"/>
    <w:rsid w:val="0009451F"/>
    <w:rsid w:val="00095E42"/>
    <w:rsid w:val="00096CED"/>
    <w:rsid w:val="0009783A"/>
    <w:rsid w:val="000A3750"/>
    <w:rsid w:val="000A5BCE"/>
    <w:rsid w:val="000A6757"/>
    <w:rsid w:val="000B0327"/>
    <w:rsid w:val="000B2B76"/>
    <w:rsid w:val="000B407E"/>
    <w:rsid w:val="000B58CE"/>
    <w:rsid w:val="000C1521"/>
    <w:rsid w:val="000C1956"/>
    <w:rsid w:val="000C2557"/>
    <w:rsid w:val="000C2EBF"/>
    <w:rsid w:val="000C632E"/>
    <w:rsid w:val="000C79D8"/>
    <w:rsid w:val="000D3838"/>
    <w:rsid w:val="000D6ABA"/>
    <w:rsid w:val="000E2A26"/>
    <w:rsid w:val="000E31CA"/>
    <w:rsid w:val="000E4B9A"/>
    <w:rsid w:val="000E5D14"/>
    <w:rsid w:val="000E6B56"/>
    <w:rsid w:val="000F0497"/>
    <w:rsid w:val="000F2467"/>
    <w:rsid w:val="000F3092"/>
    <w:rsid w:val="000F4D40"/>
    <w:rsid w:val="00105258"/>
    <w:rsid w:val="00105F21"/>
    <w:rsid w:val="00107F85"/>
    <w:rsid w:val="0011055B"/>
    <w:rsid w:val="001163C1"/>
    <w:rsid w:val="00121C01"/>
    <w:rsid w:val="00124A78"/>
    <w:rsid w:val="00130205"/>
    <w:rsid w:val="001339EB"/>
    <w:rsid w:val="00135102"/>
    <w:rsid w:val="00135ABD"/>
    <w:rsid w:val="00135F24"/>
    <w:rsid w:val="00135FF2"/>
    <w:rsid w:val="00140866"/>
    <w:rsid w:val="00140BDE"/>
    <w:rsid w:val="001414F2"/>
    <w:rsid w:val="00141534"/>
    <w:rsid w:val="00146176"/>
    <w:rsid w:val="001545E4"/>
    <w:rsid w:val="00154C71"/>
    <w:rsid w:val="00155A6F"/>
    <w:rsid w:val="00157111"/>
    <w:rsid w:val="001658EE"/>
    <w:rsid w:val="0016687B"/>
    <w:rsid w:val="001704BC"/>
    <w:rsid w:val="00170BA8"/>
    <w:rsid w:val="00171C77"/>
    <w:rsid w:val="00172A27"/>
    <w:rsid w:val="001829F4"/>
    <w:rsid w:val="001855F7"/>
    <w:rsid w:val="0019378E"/>
    <w:rsid w:val="0019790E"/>
    <w:rsid w:val="001A1006"/>
    <w:rsid w:val="001A181D"/>
    <w:rsid w:val="001A4D6D"/>
    <w:rsid w:val="001A4FC8"/>
    <w:rsid w:val="001A59B1"/>
    <w:rsid w:val="001A693F"/>
    <w:rsid w:val="001B1E17"/>
    <w:rsid w:val="001B6580"/>
    <w:rsid w:val="001B7078"/>
    <w:rsid w:val="001C2EE0"/>
    <w:rsid w:val="001C2F27"/>
    <w:rsid w:val="001C4782"/>
    <w:rsid w:val="001C71FB"/>
    <w:rsid w:val="001D26B3"/>
    <w:rsid w:val="001D4E68"/>
    <w:rsid w:val="001D5DA0"/>
    <w:rsid w:val="001D6303"/>
    <w:rsid w:val="001E077C"/>
    <w:rsid w:val="001E1483"/>
    <w:rsid w:val="001E5853"/>
    <w:rsid w:val="001E7889"/>
    <w:rsid w:val="001F1502"/>
    <w:rsid w:val="001F22BE"/>
    <w:rsid w:val="001F36C4"/>
    <w:rsid w:val="00200820"/>
    <w:rsid w:val="00200884"/>
    <w:rsid w:val="0020266C"/>
    <w:rsid w:val="00203EFE"/>
    <w:rsid w:val="002041D6"/>
    <w:rsid w:val="002126B5"/>
    <w:rsid w:val="00215418"/>
    <w:rsid w:val="002215DB"/>
    <w:rsid w:val="00224939"/>
    <w:rsid w:val="002304AF"/>
    <w:rsid w:val="002315EB"/>
    <w:rsid w:val="00233E8E"/>
    <w:rsid w:val="00237000"/>
    <w:rsid w:val="0023750A"/>
    <w:rsid w:val="0024173B"/>
    <w:rsid w:val="00242FEB"/>
    <w:rsid w:val="002547E1"/>
    <w:rsid w:val="00255DAF"/>
    <w:rsid w:val="0025760F"/>
    <w:rsid w:val="002608A0"/>
    <w:rsid w:val="00261230"/>
    <w:rsid w:val="00261529"/>
    <w:rsid w:val="002619EA"/>
    <w:rsid w:val="002620DA"/>
    <w:rsid w:val="00262C19"/>
    <w:rsid w:val="00264DDE"/>
    <w:rsid w:val="002679F3"/>
    <w:rsid w:val="00271B60"/>
    <w:rsid w:val="0027200B"/>
    <w:rsid w:val="0027250A"/>
    <w:rsid w:val="00272A5D"/>
    <w:rsid w:val="00272D83"/>
    <w:rsid w:val="00273603"/>
    <w:rsid w:val="00274C75"/>
    <w:rsid w:val="002764F6"/>
    <w:rsid w:val="00280DA3"/>
    <w:rsid w:val="00283416"/>
    <w:rsid w:val="002837F6"/>
    <w:rsid w:val="0029104C"/>
    <w:rsid w:val="00295E7E"/>
    <w:rsid w:val="002A053E"/>
    <w:rsid w:val="002A282B"/>
    <w:rsid w:val="002A2F87"/>
    <w:rsid w:val="002A4E18"/>
    <w:rsid w:val="002A55EE"/>
    <w:rsid w:val="002A7B18"/>
    <w:rsid w:val="002B0C04"/>
    <w:rsid w:val="002B174D"/>
    <w:rsid w:val="002B1E84"/>
    <w:rsid w:val="002B2A69"/>
    <w:rsid w:val="002B425F"/>
    <w:rsid w:val="002C2841"/>
    <w:rsid w:val="002C3ACB"/>
    <w:rsid w:val="002C4366"/>
    <w:rsid w:val="002C569F"/>
    <w:rsid w:val="002C6D54"/>
    <w:rsid w:val="002D2684"/>
    <w:rsid w:val="002D4008"/>
    <w:rsid w:val="002D412C"/>
    <w:rsid w:val="002D7A45"/>
    <w:rsid w:val="002E1633"/>
    <w:rsid w:val="002E3358"/>
    <w:rsid w:val="002E4884"/>
    <w:rsid w:val="002E7826"/>
    <w:rsid w:val="002F0284"/>
    <w:rsid w:val="002F3DA1"/>
    <w:rsid w:val="002F4865"/>
    <w:rsid w:val="002F50AF"/>
    <w:rsid w:val="002F75F1"/>
    <w:rsid w:val="0030125E"/>
    <w:rsid w:val="00301379"/>
    <w:rsid w:val="00302C73"/>
    <w:rsid w:val="00304C84"/>
    <w:rsid w:val="00305546"/>
    <w:rsid w:val="0030685C"/>
    <w:rsid w:val="003140DF"/>
    <w:rsid w:val="00323A92"/>
    <w:rsid w:val="003247EB"/>
    <w:rsid w:val="0032652C"/>
    <w:rsid w:val="003307C0"/>
    <w:rsid w:val="00331248"/>
    <w:rsid w:val="003330AA"/>
    <w:rsid w:val="00335DD6"/>
    <w:rsid w:val="00336A92"/>
    <w:rsid w:val="00337950"/>
    <w:rsid w:val="00337CEC"/>
    <w:rsid w:val="00340053"/>
    <w:rsid w:val="0034086F"/>
    <w:rsid w:val="00343643"/>
    <w:rsid w:val="00344793"/>
    <w:rsid w:val="003467DC"/>
    <w:rsid w:val="00346A69"/>
    <w:rsid w:val="003517BB"/>
    <w:rsid w:val="003536FE"/>
    <w:rsid w:val="003565FD"/>
    <w:rsid w:val="0035781F"/>
    <w:rsid w:val="00360AB8"/>
    <w:rsid w:val="00361F63"/>
    <w:rsid w:val="00364918"/>
    <w:rsid w:val="003658DD"/>
    <w:rsid w:val="00366079"/>
    <w:rsid w:val="00366198"/>
    <w:rsid w:val="00370259"/>
    <w:rsid w:val="0037150A"/>
    <w:rsid w:val="003752D5"/>
    <w:rsid w:val="003759EB"/>
    <w:rsid w:val="00375C0A"/>
    <w:rsid w:val="00380C12"/>
    <w:rsid w:val="00380C24"/>
    <w:rsid w:val="0038172D"/>
    <w:rsid w:val="00383668"/>
    <w:rsid w:val="00383E7A"/>
    <w:rsid w:val="003874D4"/>
    <w:rsid w:val="003878AE"/>
    <w:rsid w:val="0039155E"/>
    <w:rsid w:val="00392C61"/>
    <w:rsid w:val="00393B8A"/>
    <w:rsid w:val="003944FE"/>
    <w:rsid w:val="0039538E"/>
    <w:rsid w:val="0039560C"/>
    <w:rsid w:val="00396A6E"/>
    <w:rsid w:val="003A3130"/>
    <w:rsid w:val="003B071F"/>
    <w:rsid w:val="003B07B3"/>
    <w:rsid w:val="003B2C7C"/>
    <w:rsid w:val="003B323E"/>
    <w:rsid w:val="003B38D6"/>
    <w:rsid w:val="003B6486"/>
    <w:rsid w:val="003C06D9"/>
    <w:rsid w:val="003C1EED"/>
    <w:rsid w:val="003C20D2"/>
    <w:rsid w:val="003C6BE5"/>
    <w:rsid w:val="003D10F9"/>
    <w:rsid w:val="003D5027"/>
    <w:rsid w:val="003D6003"/>
    <w:rsid w:val="003D62EA"/>
    <w:rsid w:val="003E42BA"/>
    <w:rsid w:val="003E42CC"/>
    <w:rsid w:val="003E453F"/>
    <w:rsid w:val="003F0468"/>
    <w:rsid w:val="003F0E80"/>
    <w:rsid w:val="003F5BFE"/>
    <w:rsid w:val="004015EF"/>
    <w:rsid w:val="004039AB"/>
    <w:rsid w:val="004045EF"/>
    <w:rsid w:val="00407F4A"/>
    <w:rsid w:val="004159C1"/>
    <w:rsid w:val="00420613"/>
    <w:rsid w:val="004231D7"/>
    <w:rsid w:val="004238BD"/>
    <w:rsid w:val="00424C8E"/>
    <w:rsid w:val="0042679D"/>
    <w:rsid w:val="00426F78"/>
    <w:rsid w:val="00430EB7"/>
    <w:rsid w:val="0043274F"/>
    <w:rsid w:val="00432D6F"/>
    <w:rsid w:val="0043591E"/>
    <w:rsid w:val="004405E9"/>
    <w:rsid w:val="004409A3"/>
    <w:rsid w:val="00441117"/>
    <w:rsid w:val="0044160A"/>
    <w:rsid w:val="00441BC9"/>
    <w:rsid w:val="004464D1"/>
    <w:rsid w:val="00446C36"/>
    <w:rsid w:val="00450B4F"/>
    <w:rsid w:val="004531CB"/>
    <w:rsid w:val="00455DEA"/>
    <w:rsid w:val="00456A14"/>
    <w:rsid w:val="00457F1A"/>
    <w:rsid w:val="004609F1"/>
    <w:rsid w:val="00462FDE"/>
    <w:rsid w:val="00464A38"/>
    <w:rsid w:val="00466F63"/>
    <w:rsid w:val="004700FC"/>
    <w:rsid w:val="004718F1"/>
    <w:rsid w:val="0047462D"/>
    <w:rsid w:val="00474A0E"/>
    <w:rsid w:val="00474B7E"/>
    <w:rsid w:val="00475295"/>
    <w:rsid w:val="004816EA"/>
    <w:rsid w:val="00482F71"/>
    <w:rsid w:val="00487452"/>
    <w:rsid w:val="00487986"/>
    <w:rsid w:val="0049427E"/>
    <w:rsid w:val="00496022"/>
    <w:rsid w:val="004A1D90"/>
    <w:rsid w:val="004A4496"/>
    <w:rsid w:val="004A70E7"/>
    <w:rsid w:val="004B08A5"/>
    <w:rsid w:val="004B11D7"/>
    <w:rsid w:val="004B3669"/>
    <w:rsid w:val="004B3A06"/>
    <w:rsid w:val="004B6CFF"/>
    <w:rsid w:val="004C28FE"/>
    <w:rsid w:val="004C45EC"/>
    <w:rsid w:val="004C5973"/>
    <w:rsid w:val="004D1C4C"/>
    <w:rsid w:val="004D458F"/>
    <w:rsid w:val="004D4E14"/>
    <w:rsid w:val="004D61E0"/>
    <w:rsid w:val="004D7EE1"/>
    <w:rsid w:val="004E0766"/>
    <w:rsid w:val="004E09AF"/>
    <w:rsid w:val="004E5539"/>
    <w:rsid w:val="004F1043"/>
    <w:rsid w:val="004F5431"/>
    <w:rsid w:val="004F550F"/>
    <w:rsid w:val="004F5D75"/>
    <w:rsid w:val="004F6269"/>
    <w:rsid w:val="004F6758"/>
    <w:rsid w:val="00500E58"/>
    <w:rsid w:val="00502148"/>
    <w:rsid w:val="00506446"/>
    <w:rsid w:val="0051314F"/>
    <w:rsid w:val="00514112"/>
    <w:rsid w:val="00515C38"/>
    <w:rsid w:val="005173FD"/>
    <w:rsid w:val="0052032F"/>
    <w:rsid w:val="00522351"/>
    <w:rsid w:val="00525B22"/>
    <w:rsid w:val="0053274A"/>
    <w:rsid w:val="0053366E"/>
    <w:rsid w:val="00536A45"/>
    <w:rsid w:val="00543802"/>
    <w:rsid w:val="00553FE6"/>
    <w:rsid w:val="00554C61"/>
    <w:rsid w:val="00562BCB"/>
    <w:rsid w:val="00564969"/>
    <w:rsid w:val="00571789"/>
    <w:rsid w:val="00571840"/>
    <w:rsid w:val="0057334E"/>
    <w:rsid w:val="00573CEA"/>
    <w:rsid w:val="00577E14"/>
    <w:rsid w:val="00582BCE"/>
    <w:rsid w:val="00582DFA"/>
    <w:rsid w:val="0058589B"/>
    <w:rsid w:val="0058667D"/>
    <w:rsid w:val="00590E0D"/>
    <w:rsid w:val="005916B4"/>
    <w:rsid w:val="00593D64"/>
    <w:rsid w:val="00595E51"/>
    <w:rsid w:val="005967B4"/>
    <w:rsid w:val="0059713E"/>
    <w:rsid w:val="005A0AA2"/>
    <w:rsid w:val="005A17C8"/>
    <w:rsid w:val="005A31D2"/>
    <w:rsid w:val="005A51BB"/>
    <w:rsid w:val="005A659A"/>
    <w:rsid w:val="005A75D1"/>
    <w:rsid w:val="005B08A0"/>
    <w:rsid w:val="005B13E7"/>
    <w:rsid w:val="005B1E8E"/>
    <w:rsid w:val="005B245B"/>
    <w:rsid w:val="005B3573"/>
    <w:rsid w:val="005B3728"/>
    <w:rsid w:val="005B5005"/>
    <w:rsid w:val="005B6DD9"/>
    <w:rsid w:val="005B730B"/>
    <w:rsid w:val="005C02BA"/>
    <w:rsid w:val="005C5ABD"/>
    <w:rsid w:val="005C671E"/>
    <w:rsid w:val="005D018C"/>
    <w:rsid w:val="005D02F2"/>
    <w:rsid w:val="005D4D5B"/>
    <w:rsid w:val="005E1A68"/>
    <w:rsid w:val="005E5913"/>
    <w:rsid w:val="005E5A30"/>
    <w:rsid w:val="005E7408"/>
    <w:rsid w:val="005F20E2"/>
    <w:rsid w:val="005F6F47"/>
    <w:rsid w:val="005F737A"/>
    <w:rsid w:val="006012CF"/>
    <w:rsid w:val="006019B6"/>
    <w:rsid w:val="00603150"/>
    <w:rsid w:val="00603477"/>
    <w:rsid w:val="00603B14"/>
    <w:rsid w:val="006045E8"/>
    <w:rsid w:val="00606583"/>
    <w:rsid w:val="006123ED"/>
    <w:rsid w:val="00615E10"/>
    <w:rsid w:val="00616E85"/>
    <w:rsid w:val="006179D7"/>
    <w:rsid w:val="0062247D"/>
    <w:rsid w:val="00624141"/>
    <w:rsid w:val="00626624"/>
    <w:rsid w:val="0063065F"/>
    <w:rsid w:val="00630CCC"/>
    <w:rsid w:val="00631BB4"/>
    <w:rsid w:val="00634EB8"/>
    <w:rsid w:val="00635A0D"/>
    <w:rsid w:val="006375E6"/>
    <w:rsid w:val="0064012F"/>
    <w:rsid w:val="00644D44"/>
    <w:rsid w:val="006457C7"/>
    <w:rsid w:val="00653A03"/>
    <w:rsid w:val="00653F42"/>
    <w:rsid w:val="00655E4D"/>
    <w:rsid w:val="0065769A"/>
    <w:rsid w:val="006579E3"/>
    <w:rsid w:val="0066035C"/>
    <w:rsid w:val="00661889"/>
    <w:rsid w:val="0066471E"/>
    <w:rsid w:val="00664E20"/>
    <w:rsid w:val="00666AAD"/>
    <w:rsid w:val="00667A1E"/>
    <w:rsid w:val="006772D4"/>
    <w:rsid w:val="00681E07"/>
    <w:rsid w:val="00682BC0"/>
    <w:rsid w:val="00684BEA"/>
    <w:rsid w:val="00684FE3"/>
    <w:rsid w:val="00687E62"/>
    <w:rsid w:val="00693192"/>
    <w:rsid w:val="006935A0"/>
    <w:rsid w:val="006948F0"/>
    <w:rsid w:val="006A000B"/>
    <w:rsid w:val="006A0EFF"/>
    <w:rsid w:val="006A5DE7"/>
    <w:rsid w:val="006A70FE"/>
    <w:rsid w:val="006A780A"/>
    <w:rsid w:val="006B280C"/>
    <w:rsid w:val="006B3C4B"/>
    <w:rsid w:val="006B44F8"/>
    <w:rsid w:val="006B4F6B"/>
    <w:rsid w:val="006C0BAA"/>
    <w:rsid w:val="006C51EF"/>
    <w:rsid w:val="006C5AE8"/>
    <w:rsid w:val="006D1A7F"/>
    <w:rsid w:val="006D48C4"/>
    <w:rsid w:val="006D653B"/>
    <w:rsid w:val="006E0740"/>
    <w:rsid w:val="006E0EF5"/>
    <w:rsid w:val="006E21F0"/>
    <w:rsid w:val="006E2550"/>
    <w:rsid w:val="006E33D7"/>
    <w:rsid w:val="006E4961"/>
    <w:rsid w:val="006F00AE"/>
    <w:rsid w:val="006F5A57"/>
    <w:rsid w:val="006F628B"/>
    <w:rsid w:val="007034C4"/>
    <w:rsid w:val="00710F7A"/>
    <w:rsid w:val="007115A9"/>
    <w:rsid w:val="00711A1C"/>
    <w:rsid w:val="0071312F"/>
    <w:rsid w:val="0071439A"/>
    <w:rsid w:val="00715F82"/>
    <w:rsid w:val="00716441"/>
    <w:rsid w:val="00716A74"/>
    <w:rsid w:val="00717012"/>
    <w:rsid w:val="00717415"/>
    <w:rsid w:val="0071772F"/>
    <w:rsid w:val="00722B33"/>
    <w:rsid w:val="007256C7"/>
    <w:rsid w:val="00730FAF"/>
    <w:rsid w:val="0073101E"/>
    <w:rsid w:val="00731ED6"/>
    <w:rsid w:val="00733341"/>
    <w:rsid w:val="007425DD"/>
    <w:rsid w:val="0074266A"/>
    <w:rsid w:val="007430D6"/>
    <w:rsid w:val="00744721"/>
    <w:rsid w:val="0075333B"/>
    <w:rsid w:val="0075496C"/>
    <w:rsid w:val="007606D5"/>
    <w:rsid w:val="00761D8C"/>
    <w:rsid w:val="00762555"/>
    <w:rsid w:val="00763CFB"/>
    <w:rsid w:val="0076403A"/>
    <w:rsid w:val="00764CEA"/>
    <w:rsid w:val="007762D6"/>
    <w:rsid w:val="007772F2"/>
    <w:rsid w:val="00780A0B"/>
    <w:rsid w:val="0078145B"/>
    <w:rsid w:val="00781950"/>
    <w:rsid w:val="007819D0"/>
    <w:rsid w:val="00783581"/>
    <w:rsid w:val="0078669B"/>
    <w:rsid w:val="0078734B"/>
    <w:rsid w:val="00790DF2"/>
    <w:rsid w:val="007912B0"/>
    <w:rsid w:val="00792B97"/>
    <w:rsid w:val="00793027"/>
    <w:rsid w:val="007960CB"/>
    <w:rsid w:val="007A0104"/>
    <w:rsid w:val="007A037F"/>
    <w:rsid w:val="007A06D4"/>
    <w:rsid w:val="007A3A8B"/>
    <w:rsid w:val="007A65B9"/>
    <w:rsid w:val="007B2201"/>
    <w:rsid w:val="007B2C0F"/>
    <w:rsid w:val="007B2E2E"/>
    <w:rsid w:val="007B6336"/>
    <w:rsid w:val="007C0922"/>
    <w:rsid w:val="007C753E"/>
    <w:rsid w:val="007D3488"/>
    <w:rsid w:val="007D39E4"/>
    <w:rsid w:val="007D46E1"/>
    <w:rsid w:val="007D4C5A"/>
    <w:rsid w:val="007D4F76"/>
    <w:rsid w:val="007D6211"/>
    <w:rsid w:val="007D7C94"/>
    <w:rsid w:val="007E057E"/>
    <w:rsid w:val="007E2D7A"/>
    <w:rsid w:val="007E2EEA"/>
    <w:rsid w:val="007E468E"/>
    <w:rsid w:val="007E5941"/>
    <w:rsid w:val="007F14F3"/>
    <w:rsid w:val="007F2754"/>
    <w:rsid w:val="007F31CE"/>
    <w:rsid w:val="007F617F"/>
    <w:rsid w:val="007F62DA"/>
    <w:rsid w:val="007F6841"/>
    <w:rsid w:val="007F735A"/>
    <w:rsid w:val="008017AD"/>
    <w:rsid w:val="008017DD"/>
    <w:rsid w:val="008027DF"/>
    <w:rsid w:val="00803806"/>
    <w:rsid w:val="008062AD"/>
    <w:rsid w:val="00806F39"/>
    <w:rsid w:val="00810BCB"/>
    <w:rsid w:val="008137B7"/>
    <w:rsid w:val="00813ED0"/>
    <w:rsid w:val="0081766A"/>
    <w:rsid w:val="008213D9"/>
    <w:rsid w:val="008271A3"/>
    <w:rsid w:val="00827E11"/>
    <w:rsid w:val="00827E8B"/>
    <w:rsid w:val="0083110C"/>
    <w:rsid w:val="0083135E"/>
    <w:rsid w:val="00831476"/>
    <w:rsid w:val="00833CC4"/>
    <w:rsid w:val="008413CF"/>
    <w:rsid w:val="00846969"/>
    <w:rsid w:val="00847DBD"/>
    <w:rsid w:val="00851BD7"/>
    <w:rsid w:val="00852553"/>
    <w:rsid w:val="0085285C"/>
    <w:rsid w:val="00856EDF"/>
    <w:rsid w:val="00857011"/>
    <w:rsid w:val="008611C6"/>
    <w:rsid w:val="00862418"/>
    <w:rsid w:val="008627E7"/>
    <w:rsid w:val="00862CA3"/>
    <w:rsid w:val="0086304B"/>
    <w:rsid w:val="008632E8"/>
    <w:rsid w:val="008634B0"/>
    <w:rsid w:val="00866519"/>
    <w:rsid w:val="0088176F"/>
    <w:rsid w:val="00885DB2"/>
    <w:rsid w:val="008906FE"/>
    <w:rsid w:val="00891074"/>
    <w:rsid w:val="00891356"/>
    <w:rsid w:val="00894533"/>
    <w:rsid w:val="00897340"/>
    <w:rsid w:val="008A2A04"/>
    <w:rsid w:val="008A2F34"/>
    <w:rsid w:val="008A433E"/>
    <w:rsid w:val="008A709A"/>
    <w:rsid w:val="008A761F"/>
    <w:rsid w:val="008A7BCA"/>
    <w:rsid w:val="008B5E2A"/>
    <w:rsid w:val="008C0D05"/>
    <w:rsid w:val="008C0F4A"/>
    <w:rsid w:val="008C3DC5"/>
    <w:rsid w:val="008C4200"/>
    <w:rsid w:val="008C437B"/>
    <w:rsid w:val="008C7614"/>
    <w:rsid w:val="008C7B8A"/>
    <w:rsid w:val="008D128B"/>
    <w:rsid w:val="008D1893"/>
    <w:rsid w:val="008D54A9"/>
    <w:rsid w:val="008E0A44"/>
    <w:rsid w:val="008E1214"/>
    <w:rsid w:val="008E1FA0"/>
    <w:rsid w:val="008E45F9"/>
    <w:rsid w:val="008E5CBE"/>
    <w:rsid w:val="008F0D54"/>
    <w:rsid w:val="008F22EC"/>
    <w:rsid w:val="008F2C0D"/>
    <w:rsid w:val="008F2F29"/>
    <w:rsid w:val="008F3176"/>
    <w:rsid w:val="008F5297"/>
    <w:rsid w:val="008F591F"/>
    <w:rsid w:val="008F6CDF"/>
    <w:rsid w:val="009030A4"/>
    <w:rsid w:val="00904489"/>
    <w:rsid w:val="00906485"/>
    <w:rsid w:val="00911045"/>
    <w:rsid w:val="00912800"/>
    <w:rsid w:val="009128D8"/>
    <w:rsid w:val="009141F4"/>
    <w:rsid w:val="0091494E"/>
    <w:rsid w:val="009155B5"/>
    <w:rsid w:val="00915904"/>
    <w:rsid w:val="00922E49"/>
    <w:rsid w:val="009230A7"/>
    <w:rsid w:val="009234D9"/>
    <w:rsid w:val="00924661"/>
    <w:rsid w:val="00941AB2"/>
    <w:rsid w:val="0094479C"/>
    <w:rsid w:val="009464DE"/>
    <w:rsid w:val="00950004"/>
    <w:rsid w:val="00950276"/>
    <w:rsid w:val="00950AAF"/>
    <w:rsid w:val="00950BE1"/>
    <w:rsid w:val="00953CF3"/>
    <w:rsid w:val="00962450"/>
    <w:rsid w:val="0096330D"/>
    <w:rsid w:val="00966EB9"/>
    <w:rsid w:val="00972BFD"/>
    <w:rsid w:val="00972DE1"/>
    <w:rsid w:val="00975737"/>
    <w:rsid w:val="00977955"/>
    <w:rsid w:val="009801F0"/>
    <w:rsid w:val="00981CAA"/>
    <w:rsid w:val="00984377"/>
    <w:rsid w:val="009843EA"/>
    <w:rsid w:val="00985D8F"/>
    <w:rsid w:val="00986204"/>
    <w:rsid w:val="00986719"/>
    <w:rsid w:val="0098690B"/>
    <w:rsid w:val="009902E6"/>
    <w:rsid w:val="00990620"/>
    <w:rsid w:val="009908BF"/>
    <w:rsid w:val="009925B8"/>
    <w:rsid w:val="009A32B3"/>
    <w:rsid w:val="009A42C9"/>
    <w:rsid w:val="009A4D82"/>
    <w:rsid w:val="009B0DEC"/>
    <w:rsid w:val="009B3BDB"/>
    <w:rsid w:val="009B3FEE"/>
    <w:rsid w:val="009C2C7E"/>
    <w:rsid w:val="009C5AAE"/>
    <w:rsid w:val="009D092D"/>
    <w:rsid w:val="009D1FC9"/>
    <w:rsid w:val="009D22E2"/>
    <w:rsid w:val="009D3311"/>
    <w:rsid w:val="009D55BB"/>
    <w:rsid w:val="009D70A6"/>
    <w:rsid w:val="009D71CD"/>
    <w:rsid w:val="009E0C21"/>
    <w:rsid w:val="009E3932"/>
    <w:rsid w:val="009E5AE1"/>
    <w:rsid w:val="009E6474"/>
    <w:rsid w:val="009E6948"/>
    <w:rsid w:val="009F1357"/>
    <w:rsid w:val="009F2831"/>
    <w:rsid w:val="009F5659"/>
    <w:rsid w:val="009F580F"/>
    <w:rsid w:val="009F5F06"/>
    <w:rsid w:val="009F644E"/>
    <w:rsid w:val="00A0304D"/>
    <w:rsid w:val="00A05CAF"/>
    <w:rsid w:val="00A05EBC"/>
    <w:rsid w:val="00A11FF1"/>
    <w:rsid w:val="00A13D28"/>
    <w:rsid w:val="00A24F55"/>
    <w:rsid w:val="00A25E42"/>
    <w:rsid w:val="00A25E63"/>
    <w:rsid w:val="00A260C6"/>
    <w:rsid w:val="00A26427"/>
    <w:rsid w:val="00A26D89"/>
    <w:rsid w:val="00A3036C"/>
    <w:rsid w:val="00A35087"/>
    <w:rsid w:val="00A378EE"/>
    <w:rsid w:val="00A41E86"/>
    <w:rsid w:val="00A42A89"/>
    <w:rsid w:val="00A42C2F"/>
    <w:rsid w:val="00A47696"/>
    <w:rsid w:val="00A535E4"/>
    <w:rsid w:val="00A6210E"/>
    <w:rsid w:val="00A626F3"/>
    <w:rsid w:val="00A62742"/>
    <w:rsid w:val="00A63455"/>
    <w:rsid w:val="00A648EB"/>
    <w:rsid w:val="00A651DB"/>
    <w:rsid w:val="00A6618C"/>
    <w:rsid w:val="00A66ED9"/>
    <w:rsid w:val="00A71AEF"/>
    <w:rsid w:val="00A73A99"/>
    <w:rsid w:val="00A75A7C"/>
    <w:rsid w:val="00A80436"/>
    <w:rsid w:val="00A82495"/>
    <w:rsid w:val="00A82A78"/>
    <w:rsid w:val="00A82BB8"/>
    <w:rsid w:val="00A84407"/>
    <w:rsid w:val="00A90D2C"/>
    <w:rsid w:val="00A91D18"/>
    <w:rsid w:val="00A9219A"/>
    <w:rsid w:val="00A93DB6"/>
    <w:rsid w:val="00A95D8C"/>
    <w:rsid w:val="00A965AD"/>
    <w:rsid w:val="00A9702A"/>
    <w:rsid w:val="00AA7263"/>
    <w:rsid w:val="00AB0D53"/>
    <w:rsid w:val="00AB2C54"/>
    <w:rsid w:val="00AB6201"/>
    <w:rsid w:val="00AB718F"/>
    <w:rsid w:val="00AB7974"/>
    <w:rsid w:val="00AC483D"/>
    <w:rsid w:val="00AD0D50"/>
    <w:rsid w:val="00AD3048"/>
    <w:rsid w:val="00AE246A"/>
    <w:rsid w:val="00AE3512"/>
    <w:rsid w:val="00AE42D2"/>
    <w:rsid w:val="00AE4FEB"/>
    <w:rsid w:val="00AE579D"/>
    <w:rsid w:val="00AE6638"/>
    <w:rsid w:val="00AE7FBF"/>
    <w:rsid w:val="00AF24B3"/>
    <w:rsid w:val="00AF3A86"/>
    <w:rsid w:val="00AF4C68"/>
    <w:rsid w:val="00AF544C"/>
    <w:rsid w:val="00B00836"/>
    <w:rsid w:val="00B00FD1"/>
    <w:rsid w:val="00B01837"/>
    <w:rsid w:val="00B01AD4"/>
    <w:rsid w:val="00B02AEC"/>
    <w:rsid w:val="00B04FC5"/>
    <w:rsid w:val="00B05682"/>
    <w:rsid w:val="00B06BDE"/>
    <w:rsid w:val="00B0785E"/>
    <w:rsid w:val="00B104F2"/>
    <w:rsid w:val="00B11466"/>
    <w:rsid w:val="00B11DEB"/>
    <w:rsid w:val="00B11E6A"/>
    <w:rsid w:val="00B1344E"/>
    <w:rsid w:val="00B160C3"/>
    <w:rsid w:val="00B27139"/>
    <w:rsid w:val="00B306F5"/>
    <w:rsid w:val="00B31284"/>
    <w:rsid w:val="00B31B69"/>
    <w:rsid w:val="00B31FD0"/>
    <w:rsid w:val="00B349B4"/>
    <w:rsid w:val="00B34B75"/>
    <w:rsid w:val="00B35FC6"/>
    <w:rsid w:val="00B36B4E"/>
    <w:rsid w:val="00B378A7"/>
    <w:rsid w:val="00B40663"/>
    <w:rsid w:val="00B410AC"/>
    <w:rsid w:val="00B43693"/>
    <w:rsid w:val="00B449B3"/>
    <w:rsid w:val="00B449D8"/>
    <w:rsid w:val="00B51BEB"/>
    <w:rsid w:val="00B52FB8"/>
    <w:rsid w:val="00B55EFD"/>
    <w:rsid w:val="00B61B5F"/>
    <w:rsid w:val="00B626A1"/>
    <w:rsid w:val="00B65D4B"/>
    <w:rsid w:val="00B71431"/>
    <w:rsid w:val="00B72427"/>
    <w:rsid w:val="00B76C0A"/>
    <w:rsid w:val="00B81B1A"/>
    <w:rsid w:val="00B81F11"/>
    <w:rsid w:val="00B825B4"/>
    <w:rsid w:val="00B84F8F"/>
    <w:rsid w:val="00B87E4F"/>
    <w:rsid w:val="00B9116B"/>
    <w:rsid w:val="00B92BE0"/>
    <w:rsid w:val="00BA0AFA"/>
    <w:rsid w:val="00BA2C91"/>
    <w:rsid w:val="00BA439F"/>
    <w:rsid w:val="00BA5108"/>
    <w:rsid w:val="00BA6152"/>
    <w:rsid w:val="00BB2CBC"/>
    <w:rsid w:val="00BB492E"/>
    <w:rsid w:val="00BB515B"/>
    <w:rsid w:val="00BB5424"/>
    <w:rsid w:val="00BB6F20"/>
    <w:rsid w:val="00BC1D72"/>
    <w:rsid w:val="00BC3428"/>
    <w:rsid w:val="00BC4E80"/>
    <w:rsid w:val="00BC53EB"/>
    <w:rsid w:val="00BD01DD"/>
    <w:rsid w:val="00BD7A26"/>
    <w:rsid w:val="00BE1D36"/>
    <w:rsid w:val="00BE5F61"/>
    <w:rsid w:val="00BE7B54"/>
    <w:rsid w:val="00BE7C1D"/>
    <w:rsid w:val="00BF0345"/>
    <w:rsid w:val="00BF0620"/>
    <w:rsid w:val="00BF48C9"/>
    <w:rsid w:val="00BF517F"/>
    <w:rsid w:val="00C02204"/>
    <w:rsid w:val="00C02C3D"/>
    <w:rsid w:val="00C0461B"/>
    <w:rsid w:val="00C05B4E"/>
    <w:rsid w:val="00C11D74"/>
    <w:rsid w:val="00C1264F"/>
    <w:rsid w:val="00C251A4"/>
    <w:rsid w:val="00C32402"/>
    <w:rsid w:val="00C329EC"/>
    <w:rsid w:val="00C3786F"/>
    <w:rsid w:val="00C41EC6"/>
    <w:rsid w:val="00C42DE6"/>
    <w:rsid w:val="00C45266"/>
    <w:rsid w:val="00C5089B"/>
    <w:rsid w:val="00C52801"/>
    <w:rsid w:val="00C52E60"/>
    <w:rsid w:val="00C5433D"/>
    <w:rsid w:val="00C54C4F"/>
    <w:rsid w:val="00C607C4"/>
    <w:rsid w:val="00C6340B"/>
    <w:rsid w:val="00C67FC9"/>
    <w:rsid w:val="00C722E5"/>
    <w:rsid w:val="00C72B07"/>
    <w:rsid w:val="00C75485"/>
    <w:rsid w:val="00C80447"/>
    <w:rsid w:val="00C82C67"/>
    <w:rsid w:val="00C831DC"/>
    <w:rsid w:val="00C848D0"/>
    <w:rsid w:val="00C8520C"/>
    <w:rsid w:val="00C85CBA"/>
    <w:rsid w:val="00C87B19"/>
    <w:rsid w:val="00C87B77"/>
    <w:rsid w:val="00C87D50"/>
    <w:rsid w:val="00C9162A"/>
    <w:rsid w:val="00C91D7A"/>
    <w:rsid w:val="00C954F0"/>
    <w:rsid w:val="00CA2802"/>
    <w:rsid w:val="00CA5992"/>
    <w:rsid w:val="00CA641E"/>
    <w:rsid w:val="00CB07D4"/>
    <w:rsid w:val="00CB2155"/>
    <w:rsid w:val="00CB5833"/>
    <w:rsid w:val="00CB5B1E"/>
    <w:rsid w:val="00CB5DE7"/>
    <w:rsid w:val="00CC0388"/>
    <w:rsid w:val="00CC1224"/>
    <w:rsid w:val="00CC1F06"/>
    <w:rsid w:val="00CC2EC4"/>
    <w:rsid w:val="00CC2F01"/>
    <w:rsid w:val="00CC2F08"/>
    <w:rsid w:val="00CC54EE"/>
    <w:rsid w:val="00CC72E8"/>
    <w:rsid w:val="00CD1F92"/>
    <w:rsid w:val="00CE1C2A"/>
    <w:rsid w:val="00CF246F"/>
    <w:rsid w:val="00CF52D2"/>
    <w:rsid w:val="00CF7938"/>
    <w:rsid w:val="00D0489C"/>
    <w:rsid w:val="00D06B1E"/>
    <w:rsid w:val="00D119A5"/>
    <w:rsid w:val="00D139C2"/>
    <w:rsid w:val="00D140BA"/>
    <w:rsid w:val="00D16C13"/>
    <w:rsid w:val="00D24781"/>
    <w:rsid w:val="00D25E5A"/>
    <w:rsid w:val="00D26CDC"/>
    <w:rsid w:val="00D27998"/>
    <w:rsid w:val="00D30DCC"/>
    <w:rsid w:val="00D3234A"/>
    <w:rsid w:val="00D32F4E"/>
    <w:rsid w:val="00D375B9"/>
    <w:rsid w:val="00D40321"/>
    <w:rsid w:val="00D43F48"/>
    <w:rsid w:val="00D4724D"/>
    <w:rsid w:val="00D473FB"/>
    <w:rsid w:val="00D51A98"/>
    <w:rsid w:val="00D53064"/>
    <w:rsid w:val="00D5339D"/>
    <w:rsid w:val="00D533B7"/>
    <w:rsid w:val="00D546DA"/>
    <w:rsid w:val="00D5498F"/>
    <w:rsid w:val="00D5651D"/>
    <w:rsid w:val="00D57697"/>
    <w:rsid w:val="00D641E4"/>
    <w:rsid w:val="00D70095"/>
    <w:rsid w:val="00D71574"/>
    <w:rsid w:val="00D72599"/>
    <w:rsid w:val="00D732CF"/>
    <w:rsid w:val="00D74F3E"/>
    <w:rsid w:val="00D75BA0"/>
    <w:rsid w:val="00D7658E"/>
    <w:rsid w:val="00D8001A"/>
    <w:rsid w:val="00D81148"/>
    <w:rsid w:val="00D81D41"/>
    <w:rsid w:val="00D822F2"/>
    <w:rsid w:val="00D82C01"/>
    <w:rsid w:val="00D912C5"/>
    <w:rsid w:val="00D93511"/>
    <w:rsid w:val="00D943D7"/>
    <w:rsid w:val="00D96AB9"/>
    <w:rsid w:val="00D96B95"/>
    <w:rsid w:val="00DA14B4"/>
    <w:rsid w:val="00DA2148"/>
    <w:rsid w:val="00DA3100"/>
    <w:rsid w:val="00DA3C68"/>
    <w:rsid w:val="00DA539F"/>
    <w:rsid w:val="00DA666A"/>
    <w:rsid w:val="00DA7FF2"/>
    <w:rsid w:val="00DB1CDD"/>
    <w:rsid w:val="00DB35A8"/>
    <w:rsid w:val="00DB3990"/>
    <w:rsid w:val="00DB5FC8"/>
    <w:rsid w:val="00DB6140"/>
    <w:rsid w:val="00DB670C"/>
    <w:rsid w:val="00DB7808"/>
    <w:rsid w:val="00DC1059"/>
    <w:rsid w:val="00DC2171"/>
    <w:rsid w:val="00DC2F89"/>
    <w:rsid w:val="00DC4115"/>
    <w:rsid w:val="00DC5F1B"/>
    <w:rsid w:val="00DD091C"/>
    <w:rsid w:val="00DD0BA6"/>
    <w:rsid w:val="00DD14F3"/>
    <w:rsid w:val="00DD2868"/>
    <w:rsid w:val="00DD3213"/>
    <w:rsid w:val="00DD7F79"/>
    <w:rsid w:val="00DE2CF7"/>
    <w:rsid w:val="00DE4701"/>
    <w:rsid w:val="00DE6241"/>
    <w:rsid w:val="00DF0372"/>
    <w:rsid w:val="00DF4AA0"/>
    <w:rsid w:val="00E00004"/>
    <w:rsid w:val="00E01B82"/>
    <w:rsid w:val="00E04A3A"/>
    <w:rsid w:val="00E07E2C"/>
    <w:rsid w:val="00E10D1B"/>
    <w:rsid w:val="00E11683"/>
    <w:rsid w:val="00E13491"/>
    <w:rsid w:val="00E137EB"/>
    <w:rsid w:val="00E142DA"/>
    <w:rsid w:val="00E14DD8"/>
    <w:rsid w:val="00E20FBA"/>
    <w:rsid w:val="00E21F2D"/>
    <w:rsid w:val="00E2344C"/>
    <w:rsid w:val="00E31991"/>
    <w:rsid w:val="00E32DC6"/>
    <w:rsid w:val="00E33367"/>
    <w:rsid w:val="00E409D9"/>
    <w:rsid w:val="00E40B16"/>
    <w:rsid w:val="00E41C73"/>
    <w:rsid w:val="00E45591"/>
    <w:rsid w:val="00E52D63"/>
    <w:rsid w:val="00E55866"/>
    <w:rsid w:val="00E62F5B"/>
    <w:rsid w:val="00E66E55"/>
    <w:rsid w:val="00E677F1"/>
    <w:rsid w:val="00E700B1"/>
    <w:rsid w:val="00E72B96"/>
    <w:rsid w:val="00E74832"/>
    <w:rsid w:val="00E75C13"/>
    <w:rsid w:val="00E76EC5"/>
    <w:rsid w:val="00E80AFA"/>
    <w:rsid w:val="00E8475C"/>
    <w:rsid w:val="00E855B9"/>
    <w:rsid w:val="00E86339"/>
    <w:rsid w:val="00E90568"/>
    <w:rsid w:val="00E94BDA"/>
    <w:rsid w:val="00EA1230"/>
    <w:rsid w:val="00EA2D5A"/>
    <w:rsid w:val="00EA607F"/>
    <w:rsid w:val="00EC01E5"/>
    <w:rsid w:val="00EC16AD"/>
    <w:rsid w:val="00EC378D"/>
    <w:rsid w:val="00EC5C1D"/>
    <w:rsid w:val="00EC7B21"/>
    <w:rsid w:val="00ED208F"/>
    <w:rsid w:val="00ED7167"/>
    <w:rsid w:val="00EE223C"/>
    <w:rsid w:val="00EE2A7A"/>
    <w:rsid w:val="00EF20BC"/>
    <w:rsid w:val="00EF26D9"/>
    <w:rsid w:val="00EF7F20"/>
    <w:rsid w:val="00F01962"/>
    <w:rsid w:val="00F031E3"/>
    <w:rsid w:val="00F06264"/>
    <w:rsid w:val="00F1043B"/>
    <w:rsid w:val="00F11167"/>
    <w:rsid w:val="00F12D18"/>
    <w:rsid w:val="00F157CD"/>
    <w:rsid w:val="00F15891"/>
    <w:rsid w:val="00F17F2E"/>
    <w:rsid w:val="00F20199"/>
    <w:rsid w:val="00F23419"/>
    <w:rsid w:val="00F23958"/>
    <w:rsid w:val="00F23D49"/>
    <w:rsid w:val="00F300D0"/>
    <w:rsid w:val="00F3242C"/>
    <w:rsid w:val="00F32AA6"/>
    <w:rsid w:val="00F35852"/>
    <w:rsid w:val="00F371A2"/>
    <w:rsid w:val="00F400AF"/>
    <w:rsid w:val="00F426C6"/>
    <w:rsid w:val="00F44240"/>
    <w:rsid w:val="00F47636"/>
    <w:rsid w:val="00F513BC"/>
    <w:rsid w:val="00F6072C"/>
    <w:rsid w:val="00F641EF"/>
    <w:rsid w:val="00F64AE6"/>
    <w:rsid w:val="00F66C0A"/>
    <w:rsid w:val="00F67DD4"/>
    <w:rsid w:val="00F7026E"/>
    <w:rsid w:val="00F70691"/>
    <w:rsid w:val="00F72F9E"/>
    <w:rsid w:val="00F745DE"/>
    <w:rsid w:val="00F76ECD"/>
    <w:rsid w:val="00F7771F"/>
    <w:rsid w:val="00F8145B"/>
    <w:rsid w:val="00F8301A"/>
    <w:rsid w:val="00F839FB"/>
    <w:rsid w:val="00F83BC9"/>
    <w:rsid w:val="00F91A76"/>
    <w:rsid w:val="00F963FA"/>
    <w:rsid w:val="00FA0483"/>
    <w:rsid w:val="00FA05A7"/>
    <w:rsid w:val="00FA11AB"/>
    <w:rsid w:val="00FA2C6C"/>
    <w:rsid w:val="00FA407B"/>
    <w:rsid w:val="00FA488A"/>
    <w:rsid w:val="00FB0EBC"/>
    <w:rsid w:val="00FB1432"/>
    <w:rsid w:val="00FB60B5"/>
    <w:rsid w:val="00FC069A"/>
    <w:rsid w:val="00FC2E4B"/>
    <w:rsid w:val="00FC3F22"/>
    <w:rsid w:val="00FD212D"/>
    <w:rsid w:val="00FD4DD8"/>
    <w:rsid w:val="00FE2D6C"/>
    <w:rsid w:val="00FE58CC"/>
    <w:rsid w:val="00FE61E7"/>
    <w:rsid w:val="00FF0797"/>
    <w:rsid w:val="00FF1A64"/>
    <w:rsid w:val="00FF439E"/>
    <w:rsid w:val="00FF7277"/>
    <w:rsid w:val="00FF7387"/>
    <w:rsid w:val="011C6993"/>
    <w:rsid w:val="013D2F44"/>
    <w:rsid w:val="01802071"/>
    <w:rsid w:val="019C0EAC"/>
    <w:rsid w:val="02383AF3"/>
    <w:rsid w:val="025256FC"/>
    <w:rsid w:val="025362D7"/>
    <w:rsid w:val="026F3AC7"/>
    <w:rsid w:val="02852DF3"/>
    <w:rsid w:val="028C60AF"/>
    <w:rsid w:val="02C51D17"/>
    <w:rsid w:val="02D12F76"/>
    <w:rsid w:val="02EB2576"/>
    <w:rsid w:val="03326B2A"/>
    <w:rsid w:val="035E40AE"/>
    <w:rsid w:val="035F3AB1"/>
    <w:rsid w:val="03A079F7"/>
    <w:rsid w:val="03FB74DD"/>
    <w:rsid w:val="041C0F72"/>
    <w:rsid w:val="042A0F0D"/>
    <w:rsid w:val="047A6EBB"/>
    <w:rsid w:val="047E1725"/>
    <w:rsid w:val="04870BAA"/>
    <w:rsid w:val="04973598"/>
    <w:rsid w:val="04A10B16"/>
    <w:rsid w:val="04B00F5B"/>
    <w:rsid w:val="04CB26EA"/>
    <w:rsid w:val="050E5B67"/>
    <w:rsid w:val="051509E3"/>
    <w:rsid w:val="0529240E"/>
    <w:rsid w:val="05472C62"/>
    <w:rsid w:val="055247B7"/>
    <w:rsid w:val="056F50FD"/>
    <w:rsid w:val="057B742B"/>
    <w:rsid w:val="057C53E5"/>
    <w:rsid w:val="062C2ABA"/>
    <w:rsid w:val="06423A06"/>
    <w:rsid w:val="0679458A"/>
    <w:rsid w:val="06835E3A"/>
    <w:rsid w:val="06986978"/>
    <w:rsid w:val="06B10FA5"/>
    <w:rsid w:val="06B952DB"/>
    <w:rsid w:val="06CF6B72"/>
    <w:rsid w:val="06EA101E"/>
    <w:rsid w:val="0712545F"/>
    <w:rsid w:val="076841D5"/>
    <w:rsid w:val="076B20A7"/>
    <w:rsid w:val="07935E91"/>
    <w:rsid w:val="079F20E2"/>
    <w:rsid w:val="07B34B79"/>
    <w:rsid w:val="07C71AF7"/>
    <w:rsid w:val="07CE3D72"/>
    <w:rsid w:val="07D3520D"/>
    <w:rsid w:val="08182229"/>
    <w:rsid w:val="08644B3A"/>
    <w:rsid w:val="088D2AA3"/>
    <w:rsid w:val="08B86B47"/>
    <w:rsid w:val="08BF73B3"/>
    <w:rsid w:val="08EA15CE"/>
    <w:rsid w:val="09043543"/>
    <w:rsid w:val="090E00B0"/>
    <w:rsid w:val="09230807"/>
    <w:rsid w:val="0923205E"/>
    <w:rsid w:val="096D1C58"/>
    <w:rsid w:val="09747E0A"/>
    <w:rsid w:val="097F721C"/>
    <w:rsid w:val="0983707E"/>
    <w:rsid w:val="09934FB6"/>
    <w:rsid w:val="09D14FCC"/>
    <w:rsid w:val="09E62A20"/>
    <w:rsid w:val="0A502ADF"/>
    <w:rsid w:val="0ADB53B7"/>
    <w:rsid w:val="0AEA4DD1"/>
    <w:rsid w:val="0AFC4627"/>
    <w:rsid w:val="0B0A1CFD"/>
    <w:rsid w:val="0B205973"/>
    <w:rsid w:val="0B320E6E"/>
    <w:rsid w:val="0B4578BB"/>
    <w:rsid w:val="0B524500"/>
    <w:rsid w:val="0B584971"/>
    <w:rsid w:val="0B66367A"/>
    <w:rsid w:val="0B6D740F"/>
    <w:rsid w:val="0B7B5554"/>
    <w:rsid w:val="0B865FF4"/>
    <w:rsid w:val="0B8D05C0"/>
    <w:rsid w:val="0BAD5B8D"/>
    <w:rsid w:val="0BC53680"/>
    <w:rsid w:val="0BF13214"/>
    <w:rsid w:val="0C405FD2"/>
    <w:rsid w:val="0C463B67"/>
    <w:rsid w:val="0C490FA4"/>
    <w:rsid w:val="0C5B6DEC"/>
    <w:rsid w:val="0C6265BF"/>
    <w:rsid w:val="0C935977"/>
    <w:rsid w:val="0CAE5FAB"/>
    <w:rsid w:val="0CBF22CD"/>
    <w:rsid w:val="0CD565A3"/>
    <w:rsid w:val="0CF57B50"/>
    <w:rsid w:val="0CF97C7F"/>
    <w:rsid w:val="0D035A2B"/>
    <w:rsid w:val="0D3A07D5"/>
    <w:rsid w:val="0D4130E0"/>
    <w:rsid w:val="0D4F05C6"/>
    <w:rsid w:val="0D56061C"/>
    <w:rsid w:val="0D9A061B"/>
    <w:rsid w:val="0D9D1C8C"/>
    <w:rsid w:val="0DD203DE"/>
    <w:rsid w:val="0E2D16D6"/>
    <w:rsid w:val="0EB15280"/>
    <w:rsid w:val="0EC7525F"/>
    <w:rsid w:val="0ECE15D4"/>
    <w:rsid w:val="0ED12B6B"/>
    <w:rsid w:val="0F0C2348"/>
    <w:rsid w:val="0F155F26"/>
    <w:rsid w:val="0F435961"/>
    <w:rsid w:val="0F4A44B2"/>
    <w:rsid w:val="0F6D14D3"/>
    <w:rsid w:val="0F865C1F"/>
    <w:rsid w:val="0F88178F"/>
    <w:rsid w:val="0F8A6600"/>
    <w:rsid w:val="0F9F1E03"/>
    <w:rsid w:val="0FB90047"/>
    <w:rsid w:val="100A62AA"/>
    <w:rsid w:val="10402245"/>
    <w:rsid w:val="10590CBB"/>
    <w:rsid w:val="1059381F"/>
    <w:rsid w:val="108565D8"/>
    <w:rsid w:val="1092700D"/>
    <w:rsid w:val="10CD7883"/>
    <w:rsid w:val="10DE0073"/>
    <w:rsid w:val="10DF6BDD"/>
    <w:rsid w:val="110C5584"/>
    <w:rsid w:val="114B1E85"/>
    <w:rsid w:val="11812977"/>
    <w:rsid w:val="118678EF"/>
    <w:rsid w:val="11BD261D"/>
    <w:rsid w:val="12283228"/>
    <w:rsid w:val="124C55C5"/>
    <w:rsid w:val="1252397C"/>
    <w:rsid w:val="12553960"/>
    <w:rsid w:val="12573287"/>
    <w:rsid w:val="127A6E29"/>
    <w:rsid w:val="12867202"/>
    <w:rsid w:val="12FE1E48"/>
    <w:rsid w:val="13205CA7"/>
    <w:rsid w:val="13416E23"/>
    <w:rsid w:val="1377668D"/>
    <w:rsid w:val="13911E9B"/>
    <w:rsid w:val="13F470C5"/>
    <w:rsid w:val="143A3F5C"/>
    <w:rsid w:val="144F3235"/>
    <w:rsid w:val="145453B5"/>
    <w:rsid w:val="14707C73"/>
    <w:rsid w:val="14B212BB"/>
    <w:rsid w:val="14C67D36"/>
    <w:rsid w:val="14E24A0B"/>
    <w:rsid w:val="14E4196C"/>
    <w:rsid w:val="14E624F0"/>
    <w:rsid w:val="14EB4A9B"/>
    <w:rsid w:val="14F80A84"/>
    <w:rsid w:val="14FC4E24"/>
    <w:rsid w:val="1522131C"/>
    <w:rsid w:val="1534077F"/>
    <w:rsid w:val="153D16FC"/>
    <w:rsid w:val="15536897"/>
    <w:rsid w:val="15C22C0D"/>
    <w:rsid w:val="15C472F4"/>
    <w:rsid w:val="15C95B47"/>
    <w:rsid w:val="15E32069"/>
    <w:rsid w:val="15FD4862"/>
    <w:rsid w:val="1602457E"/>
    <w:rsid w:val="167B3224"/>
    <w:rsid w:val="16BC4A26"/>
    <w:rsid w:val="16CF754A"/>
    <w:rsid w:val="16D4776C"/>
    <w:rsid w:val="16D93F8A"/>
    <w:rsid w:val="171956CA"/>
    <w:rsid w:val="175F4C67"/>
    <w:rsid w:val="17927EC8"/>
    <w:rsid w:val="17C022A9"/>
    <w:rsid w:val="17CA4498"/>
    <w:rsid w:val="17D25CEF"/>
    <w:rsid w:val="18100A29"/>
    <w:rsid w:val="182640E7"/>
    <w:rsid w:val="183A19D2"/>
    <w:rsid w:val="183B5F29"/>
    <w:rsid w:val="183D58D5"/>
    <w:rsid w:val="18472AA3"/>
    <w:rsid w:val="185B6AB7"/>
    <w:rsid w:val="18FE2664"/>
    <w:rsid w:val="193B1336"/>
    <w:rsid w:val="194B219E"/>
    <w:rsid w:val="196221F1"/>
    <w:rsid w:val="197A24D4"/>
    <w:rsid w:val="199650E7"/>
    <w:rsid w:val="19D16F0A"/>
    <w:rsid w:val="1A223F6B"/>
    <w:rsid w:val="1A2C29C7"/>
    <w:rsid w:val="1A526F8A"/>
    <w:rsid w:val="1A682A4F"/>
    <w:rsid w:val="1A7456FE"/>
    <w:rsid w:val="1AA95670"/>
    <w:rsid w:val="1AE67A4C"/>
    <w:rsid w:val="1B1C02A8"/>
    <w:rsid w:val="1B3861CA"/>
    <w:rsid w:val="1B402DEC"/>
    <w:rsid w:val="1B6535A1"/>
    <w:rsid w:val="1B6D75A7"/>
    <w:rsid w:val="1B7D6C13"/>
    <w:rsid w:val="1B7E663D"/>
    <w:rsid w:val="1BDD013B"/>
    <w:rsid w:val="1BE01C5D"/>
    <w:rsid w:val="1BFC3078"/>
    <w:rsid w:val="1C0015AB"/>
    <w:rsid w:val="1C2064C4"/>
    <w:rsid w:val="1C45217D"/>
    <w:rsid w:val="1C4A6AAE"/>
    <w:rsid w:val="1C6F7B18"/>
    <w:rsid w:val="1CB135C5"/>
    <w:rsid w:val="1D0E0C8D"/>
    <w:rsid w:val="1D127554"/>
    <w:rsid w:val="1D1D200E"/>
    <w:rsid w:val="1D2B3FCD"/>
    <w:rsid w:val="1D3518D3"/>
    <w:rsid w:val="1D572A54"/>
    <w:rsid w:val="1D6B581A"/>
    <w:rsid w:val="1D8E5128"/>
    <w:rsid w:val="1DC20430"/>
    <w:rsid w:val="1DE37815"/>
    <w:rsid w:val="1DE81113"/>
    <w:rsid w:val="1E006AAF"/>
    <w:rsid w:val="1E104439"/>
    <w:rsid w:val="1E4229CA"/>
    <w:rsid w:val="1E496017"/>
    <w:rsid w:val="1E657137"/>
    <w:rsid w:val="1E921002"/>
    <w:rsid w:val="1ECE11D5"/>
    <w:rsid w:val="1EDB3D49"/>
    <w:rsid w:val="1EF05976"/>
    <w:rsid w:val="1F3A185B"/>
    <w:rsid w:val="1F494418"/>
    <w:rsid w:val="1F5C1725"/>
    <w:rsid w:val="1F7B2AAA"/>
    <w:rsid w:val="1F876123"/>
    <w:rsid w:val="1F9457E1"/>
    <w:rsid w:val="1F960A00"/>
    <w:rsid w:val="1FA82C93"/>
    <w:rsid w:val="1FAA2C5D"/>
    <w:rsid w:val="1FBC1D01"/>
    <w:rsid w:val="20615F90"/>
    <w:rsid w:val="20836F40"/>
    <w:rsid w:val="2088088C"/>
    <w:rsid w:val="20C95F5B"/>
    <w:rsid w:val="20DA6BE7"/>
    <w:rsid w:val="213318F8"/>
    <w:rsid w:val="214F34B2"/>
    <w:rsid w:val="214F3E9B"/>
    <w:rsid w:val="21814853"/>
    <w:rsid w:val="218246E0"/>
    <w:rsid w:val="218770A2"/>
    <w:rsid w:val="21E02C95"/>
    <w:rsid w:val="21FF1E42"/>
    <w:rsid w:val="225962B9"/>
    <w:rsid w:val="225D40F8"/>
    <w:rsid w:val="22C2024F"/>
    <w:rsid w:val="22E450D5"/>
    <w:rsid w:val="232011ED"/>
    <w:rsid w:val="23933D37"/>
    <w:rsid w:val="23AA5DFE"/>
    <w:rsid w:val="23AE262B"/>
    <w:rsid w:val="23EB69B9"/>
    <w:rsid w:val="24601AF5"/>
    <w:rsid w:val="246F2C70"/>
    <w:rsid w:val="249D438F"/>
    <w:rsid w:val="24A80358"/>
    <w:rsid w:val="24C74FAC"/>
    <w:rsid w:val="24E13DD3"/>
    <w:rsid w:val="24FD0057"/>
    <w:rsid w:val="25607378"/>
    <w:rsid w:val="25725433"/>
    <w:rsid w:val="25923B82"/>
    <w:rsid w:val="259F55BC"/>
    <w:rsid w:val="25E603F2"/>
    <w:rsid w:val="25F4059D"/>
    <w:rsid w:val="2625173A"/>
    <w:rsid w:val="262D2CEA"/>
    <w:rsid w:val="2640530D"/>
    <w:rsid w:val="26906704"/>
    <w:rsid w:val="26906740"/>
    <w:rsid w:val="26BF07B0"/>
    <w:rsid w:val="26C15D80"/>
    <w:rsid w:val="27086C81"/>
    <w:rsid w:val="27291191"/>
    <w:rsid w:val="273300F9"/>
    <w:rsid w:val="275D14C5"/>
    <w:rsid w:val="275D4733"/>
    <w:rsid w:val="276F380D"/>
    <w:rsid w:val="279F5062"/>
    <w:rsid w:val="27AE7A1C"/>
    <w:rsid w:val="27BD3832"/>
    <w:rsid w:val="27C85C93"/>
    <w:rsid w:val="27F22B4A"/>
    <w:rsid w:val="27F72D92"/>
    <w:rsid w:val="27FA5334"/>
    <w:rsid w:val="280B7B4D"/>
    <w:rsid w:val="2822417C"/>
    <w:rsid w:val="286E6CEE"/>
    <w:rsid w:val="28725D13"/>
    <w:rsid w:val="287E4A40"/>
    <w:rsid w:val="2889657E"/>
    <w:rsid w:val="289164AC"/>
    <w:rsid w:val="28E627FA"/>
    <w:rsid w:val="28F03083"/>
    <w:rsid w:val="293017B3"/>
    <w:rsid w:val="294A6FAC"/>
    <w:rsid w:val="295275B2"/>
    <w:rsid w:val="29884D56"/>
    <w:rsid w:val="29991F77"/>
    <w:rsid w:val="29F4481B"/>
    <w:rsid w:val="2A240A0A"/>
    <w:rsid w:val="2A627EAD"/>
    <w:rsid w:val="2A716A25"/>
    <w:rsid w:val="2ACA0A58"/>
    <w:rsid w:val="2ACF7671"/>
    <w:rsid w:val="2AD17D5A"/>
    <w:rsid w:val="2AD73A9E"/>
    <w:rsid w:val="2AE81BA8"/>
    <w:rsid w:val="2AF37B85"/>
    <w:rsid w:val="2B2B772C"/>
    <w:rsid w:val="2B336F80"/>
    <w:rsid w:val="2B6554BF"/>
    <w:rsid w:val="2B745903"/>
    <w:rsid w:val="2B7506EE"/>
    <w:rsid w:val="2B7729D5"/>
    <w:rsid w:val="2BBD75E9"/>
    <w:rsid w:val="2BFB03EF"/>
    <w:rsid w:val="2C1D5A47"/>
    <w:rsid w:val="2C3D17FF"/>
    <w:rsid w:val="2C521929"/>
    <w:rsid w:val="2C936763"/>
    <w:rsid w:val="2CA33A28"/>
    <w:rsid w:val="2D0F1249"/>
    <w:rsid w:val="2D4C7A9F"/>
    <w:rsid w:val="2D653961"/>
    <w:rsid w:val="2D690A3C"/>
    <w:rsid w:val="2D705273"/>
    <w:rsid w:val="2DB149A7"/>
    <w:rsid w:val="2DB837DA"/>
    <w:rsid w:val="2DF33AFA"/>
    <w:rsid w:val="2DFC44C9"/>
    <w:rsid w:val="2E0174A7"/>
    <w:rsid w:val="2E2F0355"/>
    <w:rsid w:val="2E303217"/>
    <w:rsid w:val="2E4E537D"/>
    <w:rsid w:val="2E655C9B"/>
    <w:rsid w:val="2EA20927"/>
    <w:rsid w:val="2EA9542A"/>
    <w:rsid w:val="2EB22667"/>
    <w:rsid w:val="2EE02C4D"/>
    <w:rsid w:val="2F2E7823"/>
    <w:rsid w:val="2F3E6045"/>
    <w:rsid w:val="2FAD3883"/>
    <w:rsid w:val="2FB0688F"/>
    <w:rsid w:val="2FF661B5"/>
    <w:rsid w:val="302778B1"/>
    <w:rsid w:val="302C3BAF"/>
    <w:rsid w:val="30846403"/>
    <w:rsid w:val="3098609D"/>
    <w:rsid w:val="30E77A70"/>
    <w:rsid w:val="3122712C"/>
    <w:rsid w:val="31263494"/>
    <w:rsid w:val="312752E9"/>
    <w:rsid w:val="3144385E"/>
    <w:rsid w:val="315042A5"/>
    <w:rsid w:val="31694453"/>
    <w:rsid w:val="31822116"/>
    <w:rsid w:val="31AC44D3"/>
    <w:rsid w:val="3200565D"/>
    <w:rsid w:val="32680C5C"/>
    <w:rsid w:val="3276403E"/>
    <w:rsid w:val="327644AD"/>
    <w:rsid w:val="3280289F"/>
    <w:rsid w:val="32A07A1B"/>
    <w:rsid w:val="32BC57A4"/>
    <w:rsid w:val="330A42B9"/>
    <w:rsid w:val="33624110"/>
    <w:rsid w:val="33982B0D"/>
    <w:rsid w:val="33BF20DD"/>
    <w:rsid w:val="33E073F6"/>
    <w:rsid w:val="33E854EA"/>
    <w:rsid w:val="34204EBC"/>
    <w:rsid w:val="3428106A"/>
    <w:rsid w:val="3428396A"/>
    <w:rsid w:val="3435386B"/>
    <w:rsid w:val="343A47E6"/>
    <w:rsid w:val="34450F0F"/>
    <w:rsid w:val="3479736D"/>
    <w:rsid w:val="34985455"/>
    <w:rsid w:val="34B225C6"/>
    <w:rsid w:val="34BB2917"/>
    <w:rsid w:val="34BD5164"/>
    <w:rsid w:val="34C210A7"/>
    <w:rsid w:val="34D1456F"/>
    <w:rsid w:val="34EA406F"/>
    <w:rsid w:val="34EE1DF5"/>
    <w:rsid w:val="351C2551"/>
    <w:rsid w:val="35563D1C"/>
    <w:rsid w:val="357C2A05"/>
    <w:rsid w:val="35AB4E21"/>
    <w:rsid w:val="35BF2B3F"/>
    <w:rsid w:val="35CE4653"/>
    <w:rsid w:val="36231F18"/>
    <w:rsid w:val="364B10A1"/>
    <w:rsid w:val="36907116"/>
    <w:rsid w:val="36A73DC7"/>
    <w:rsid w:val="36B34C24"/>
    <w:rsid w:val="36CB0934"/>
    <w:rsid w:val="36D17FEA"/>
    <w:rsid w:val="36ED4FFD"/>
    <w:rsid w:val="36F729F7"/>
    <w:rsid w:val="3752650F"/>
    <w:rsid w:val="37622A74"/>
    <w:rsid w:val="37723425"/>
    <w:rsid w:val="3799488E"/>
    <w:rsid w:val="37A97E97"/>
    <w:rsid w:val="38272F6F"/>
    <w:rsid w:val="385A2541"/>
    <w:rsid w:val="38602861"/>
    <w:rsid w:val="386D74A7"/>
    <w:rsid w:val="38CB7A8E"/>
    <w:rsid w:val="38D055E4"/>
    <w:rsid w:val="38D37F36"/>
    <w:rsid w:val="39000B48"/>
    <w:rsid w:val="39185CA4"/>
    <w:rsid w:val="3933796B"/>
    <w:rsid w:val="39584F41"/>
    <w:rsid w:val="39681E30"/>
    <w:rsid w:val="398D1058"/>
    <w:rsid w:val="399B3A4B"/>
    <w:rsid w:val="399F5749"/>
    <w:rsid w:val="39AA2099"/>
    <w:rsid w:val="39EB2305"/>
    <w:rsid w:val="3A38740C"/>
    <w:rsid w:val="3A6A6B9D"/>
    <w:rsid w:val="3A8A3950"/>
    <w:rsid w:val="3A993AF0"/>
    <w:rsid w:val="3AB80C27"/>
    <w:rsid w:val="3AE52751"/>
    <w:rsid w:val="3B037894"/>
    <w:rsid w:val="3B1C0B18"/>
    <w:rsid w:val="3B427B3B"/>
    <w:rsid w:val="3B610E8E"/>
    <w:rsid w:val="3B7A37BD"/>
    <w:rsid w:val="3B8426D3"/>
    <w:rsid w:val="3BA13F9C"/>
    <w:rsid w:val="3BB2736E"/>
    <w:rsid w:val="3BDD2218"/>
    <w:rsid w:val="3C2C2022"/>
    <w:rsid w:val="3C320C68"/>
    <w:rsid w:val="3C46340F"/>
    <w:rsid w:val="3C57177A"/>
    <w:rsid w:val="3C6A2569"/>
    <w:rsid w:val="3C8A1A72"/>
    <w:rsid w:val="3CA213EF"/>
    <w:rsid w:val="3CB562EB"/>
    <w:rsid w:val="3CC40365"/>
    <w:rsid w:val="3CC83BB6"/>
    <w:rsid w:val="3CEB2859"/>
    <w:rsid w:val="3D23425D"/>
    <w:rsid w:val="3D5070E6"/>
    <w:rsid w:val="3D627CD2"/>
    <w:rsid w:val="3D792ADE"/>
    <w:rsid w:val="3DAA05F7"/>
    <w:rsid w:val="3DBC76FF"/>
    <w:rsid w:val="3E520665"/>
    <w:rsid w:val="3E575075"/>
    <w:rsid w:val="3E66699F"/>
    <w:rsid w:val="3E7228AF"/>
    <w:rsid w:val="3E8A40ED"/>
    <w:rsid w:val="3E9E3B5A"/>
    <w:rsid w:val="3EA447F0"/>
    <w:rsid w:val="3EEF2948"/>
    <w:rsid w:val="3EFD4B4B"/>
    <w:rsid w:val="3F0119ED"/>
    <w:rsid w:val="3F206D8E"/>
    <w:rsid w:val="3F2B4684"/>
    <w:rsid w:val="3F34687A"/>
    <w:rsid w:val="3F3F6E3A"/>
    <w:rsid w:val="3F47680C"/>
    <w:rsid w:val="3F604315"/>
    <w:rsid w:val="3F887612"/>
    <w:rsid w:val="3F9F6580"/>
    <w:rsid w:val="3FE245A9"/>
    <w:rsid w:val="3FF65186"/>
    <w:rsid w:val="4013408B"/>
    <w:rsid w:val="40201D21"/>
    <w:rsid w:val="40355EE3"/>
    <w:rsid w:val="40492771"/>
    <w:rsid w:val="407035D1"/>
    <w:rsid w:val="40C17DBA"/>
    <w:rsid w:val="40F700A1"/>
    <w:rsid w:val="4121681F"/>
    <w:rsid w:val="41416860"/>
    <w:rsid w:val="414235A0"/>
    <w:rsid w:val="41767D39"/>
    <w:rsid w:val="41C362C9"/>
    <w:rsid w:val="41D85A35"/>
    <w:rsid w:val="41E22D57"/>
    <w:rsid w:val="423C266D"/>
    <w:rsid w:val="42475E76"/>
    <w:rsid w:val="42704376"/>
    <w:rsid w:val="428B3188"/>
    <w:rsid w:val="42AA3126"/>
    <w:rsid w:val="42B83248"/>
    <w:rsid w:val="42BF2B0D"/>
    <w:rsid w:val="42C67D6F"/>
    <w:rsid w:val="43223663"/>
    <w:rsid w:val="43397640"/>
    <w:rsid w:val="43512318"/>
    <w:rsid w:val="437D3464"/>
    <w:rsid w:val="43820130"/>
    <w:rsid w:val="43A33C2F"/>
    <w:rsid w:val="43D0134D"/>
    <w:rsid w:val="43DC402F"/>
    <w:rsid w:val="441B6383"/>
    <w:rsid w:val="444E1B0F"/>
    <w:rsid w:val="445A0713"/>
    <w:rsid w:val="4477680B"/>
    <w:rsid w:val="44D819CF"/>
    <w:rsid w:val="45102E99"/>
    <w:rsid w:val="45381EFA"/>
    <w:rsid w:val="457B5842"/>
    <w:rsid w:val="45820559"/>
    <w:rsid w:val="459C2621"/>
    <w:rsid w:val="45A12E88"/>
    <w:rsid w:val="45BF18F4"/>
    <w:rsid w:val="460C7433"/>
    <w:rsid w:val="46176A13"/>
    <w:rsid w:val="462B5679"/>
    <w:rsid w:val="464374BC"/>
    <w:rsid w:val="465270B4"/>
    <w:rsid w:val="4668184A"/>
    <w:rsid w:val="46802003"/>
    <w:rsid w:val="4693264E"/>
    <w:rsid w:val="46F2628D"/>
    <w:rsid w:val="46F92012"/>
    <w:rsid w:val="470E0179"/>
    <w:rsid w:val="472E3BD0"/>
    <w:rsid w:val="475A2266"/>
    <w:rsid w:val="475F01DF"/>
    <w:rsid w:val="477115CB"/>
    <w:rsid w:val="47867739"/>
    <w:rsid w:val="47AB080E"/>
    <w:rsid w:val="47B21094"/>
    <w:rsid w:val="47B7312B"/>
    <w:rsid w:val="47EA7CD2"/>
    <w:rsid w:val="482724FD"/>
    <w:rsid w:val="482931CF"/>
    <w:rsid w:val="48687865"/>
    <w:rsid w:val="487D0D20"/>
    <w:rsid w:val="487F11CC"/>
    <w:rsid w:val="488F747B"/>
    <w:rsid w:val="48CB02BB"/>
    <w:rsid w:val="48EE74CF"/>
    <w:rsid w:val="494738D7"/>
    <w:rsid w:val="49530025"/>
    <w:rsid w:val="497B2DB5"/>
    <w:rsid w:val="49A362A2"/>
    <w:rsid w:val="49B514D2"/>
    <w:rsid w:val="49BC1900"/>
    <w:rsid w:val="4A01622B"/>
    <w:rsid w:val="4A033056"/>
    <w:rsid w:val="4A3624FB"/>
    <w:rsid w:val="4A79103F"/>
    <w:rsid w:val="4A890364"/>
    <w:rsid w:val="4A9C1286"/>
    <w:rsid w:val="4AA076A3"/>
    <w:rsid w:val="4AA73447"/>
    <w:rsid w:val="4AB57CBD"/>
    <w:rsid w:val="4AF43CE8"/>
    <w:rsid w:val="4AFB6DFA"/>
    <w:rsid w:val="4B262CCB"/>
    <w:rsid w:val="4B5E7D9C"/>
    <w:rsid w:val="4B7270F5"/>
    <w:rsid w:val="4B8C12B7"/>
    <w:rsid w:val="4B8D1ADF"/>
    <w:rsid w:val="4BA64E11"/>
    <w:rsid w:val="4BB72D1E"/>
    <w:rsid w:val="4BD520CC"/>
    <w:rsid w:val="4BFF1DDF"/>
    <w:rsid w:val="4C19187B"/>
    <w:rsid w:val="4C365A81"/>
    <w:rsid w:val="4C420896"/>
    <w:rsid w:val="4C8B52CA"/>
    <w:rsid w:val="4C8C228A"/>
    <w:rsid w:val="4C983D2B"/>
    <w:rsid w:val="4CC41C09"/>
    <w:rsid w:val="4CCE17BA"/>
    <w:rsid w:val="4D22268B"/>
    <w:rsid w:val="4D2568B7"/>
    <w:rsid w:val="4D3957EC"/>
    <w:rsid w:val="4D65049A"/>
    <w:rsid w:val="4D6A5DFA"/>
    <w:rsid w:val="4D6D30FE"/>
    <w:rsid w:val="4D9E570F"/>
    <w:rsid w:val="4DAF79B8"/>
    <w:rsid w:val="4DF25BEA"/>
    <w:rsid w:val="4DF76172"/>
    <w:rsid w:val="4E3F6848"/>
    <w:rsid w:val="4E4C72E7"/>
    <w:rsid w:val="4E983A47"/>
    <w:rsid w:val="4EA65D9D"/>
    <w:rsid w:val="4EC27326"/>
    <w:rsid w:val="4EEA6E26"/>
    <w:rsid w:val="4F0C79FB"/>
    <w:rsid w:val="4F484768"/>
    <w:rsid w:val="4F76659A"/>
    <w:rsid w:val="4F7B1086"/>
    <w:rsid w:val="4FA1188A"/>
    <w:rsid w:val="4FB42DD2"/>
    <w:rsid w:val="4FD7439E"/>
    <w:rsid w:val="4FD7688B"/>
    <w:rsid w:val="4FDC52F1"/>
    <w:rsid w:val="4FFD5650"/>
    <w:rsid w:val="501353FC"/>
    <w:rsid w:val="50253111"/>
    <w:rsid w:val="504A70AF"/>
    <w:rsid w:val="508D2F6F"/>
    <w:rsid w:val="50B43732"/>
    <w:rsid w:val="50B71A6B"/>
    <w:rsid w:val="50F8769B"/>
    <w:rsid w:val="50FE490F"/>
    <w:rsid w:val="51076A16"/>
    <w:rsid w:val="510D01FC"/>
    <w:rsid w:val="514234BE"/>
    <w:rsid w:val="514A0832"/>
    <w:rsid w:val="516558EE"/>
    <w:rsid w:val="51784EA2"/>
    <w:rsid w:val="51797F26"/>
    <w:rsid w:val="51814DFD"/>
    <w:rsid w:val="51B26EF6"/>
    <w:rsid w:val="51CE0DB5"/>
    <w:rsid w:val="51D441AE"/>
    <w:rsid w:val="52100BB9"/>
    <w:rsid w:val="52134880"/>
    <w:rsid w:val="522E5CA5"/>
    <w:rsid w:val="529653ED"/>
    <w:rsid w:val="530B4DD0"/>
    <w:rsid w:val="532F33CA"/>
    <w:rsid w:val="534406F4"/>
    <w:rsid w:val="53440A3E"/>
    <w:rsid w:val="535E5AA2"/>
    <w:rsid w:val="536A531A"/>
    <w:rsid w:val="53AB076B"/>
    <w:rsid w:val="53B15A0B"/>
    <w:rsid w:val="53B84CFC"/>
    <w:rsid w:val="53BE5573"/>
    <w:rsid w:val="53D67D57"/>
    <w:rsid w:val="53DA17B9"/>
    <w:rsid w:val="53F2217D"/>
    <w:rsid w:val="53FF059E"/>
    <w:rsid w:val="541612F9"/>
    <w:rsid w:val="54161C73"/>
    <w:rsid w:val="5443405C"/>
    <w:rsid w:val="545E2C28"/>
    <w:rsid w:val="54787B08"/>
    <w:rsid w:val="54991B6D"/>
    <w:rsid w:val="54A02ECA"/>
    <w:rsid w:val="54AC3B73"/>
    <w:rsid w:val="54E829C6"/>
    <w:rsid w:val="55340C0D"/>
    <w:rsid w:val="5545537E"/>
    <w:rsid w:val="554A7013"/>
    <w:rsid w:val="55714D59"/>
    <w:rsid w:val="55AD33FE"/>
    <w:rsid w:val="55B32645"/>
    <w:rsid w:val="55B47BE1"/>
    <w:rsid w:val="55D15DDB"/>
    <w:rsid w:val="55EE6164"/>
    <w:rsid w:val="562E75DC"/>
    <w:rsid w:val="566426B6"/>
    <w:rsid w:val="56756A2C"/>
    <w:rsid w:val="569C51CF"/>
    <w:rsid w:val="56CA731C"/>
    <w:rsid w:val="56D3785D"/>
    <w:rsid w:val="56D5306F"/>
    <w:rsid w:val="56DD00D7"/>
    <w:rsid w:val="56EE46B4"/>
    <w:rsid w:val="570C13E8"/>
    <w:rsid w:val="57336C81"/>
    <w:rsid w:val="57495808"/>
    <w:rsid w:val="57567833"/>
    <w:rsid w:val="57636FC1"/>
    <w:rsid w:val="578E3D2F"/>
    <w:rsid w:val="57D87B07"/>
    <w:rsid w:val="57E0762E"/>
    <w:rsid w:val="57F05ADF"/>
    <w:rsid w:val="581B0A66"/>
    <w:rsid w:val="585C26CC"/>
    <w:rsid w:val="58631AD9"/>
    <w:rsid w:val="5889227C"/>
    <w:rsid w:val="58913DC7"/>
    <w:rsid w:val="59064937"/>
    <w:rsid w:val="593238AA"/>
    <w:rsid w:val="593C123B"/>
    <w:rsid w:val="5943108B"/>
    <w:rsid w:val="594D6158"/>
    <w:rsid w:val="597A0031"/>
    <w:rsid w:val="597D6746"/>
    <w:rsid w:val="59B40586"/>
    <w:rsid w:val="59BD0AB6"/>
    <w:rsid w:val="5A476CAB"/>
    <w:rsid w:val="5A647585"/>
    <w:rsid w:val="5A653998"/>
    <w:rsid w:val="5A7D6331"/>
    <w:rsid w:val="5A8225D0"/>
    <w:rsid w:val="5AB12028"/>
    <w:rsid w:val="5ACA7E68"/>
    <w:rsid w:val="5B032614"/>
    <w:rsid w:val="5B22635E"/>
    <w:rsid w:val="5B3663FC"/>
    <w:rsid w:val="5B47068E"/>
    <w:rsid w:val="5B576D48"/>
    <w:rsid w:val="5B880B95"/>
    <w:rsid w:val="5BA5674F"/>
    <w:rsid w:val="5BAC49CB"/>
    <w:rsid w:val="5BF20894"/>
    <w:rsid w:val="5C034BF7"/>
    <w:rsid w:val="5C185B30"/>
    <w:rsid w:val="5C2733A4"/>
    <w:rsid w:val="5C375E3C"/>
    <w:rsid w:val="5C88029C"/>
    <w:rsid w:val="5C8C161F"/>
    <w:rsid w:val="5C995FA1"/>
    <w:rsid w:val="5CE34086"/>
    <w:rsid w:val="5D526B00"/>
    <w:rsid w:val="5D5E4EC7"/>
    <w:rsid w:val="5D7752B7"/>
    <w:rsid w:val="5DBF4CFD"/>
    <w:rsid w:val="5DCB1A9B"/>
    <w:rsid w:val="5DDA5580"/>
    <w:rsid w:val="5E0C52DB"/>
    <w:rsid w:val="5E3F1ACE"/>
    <w:rsid w:val="5E9961BC"/>
    <w:rsid w:val="5EA2378F"/>
    <w:rsid w:val="5EC33436"/>
    <w:rsid w:val="5F111510"/>
    <w:rsid w:val="5F3E2124"/>
    <w:rsid w:val="5F4F3FD3"/>
    <w:rsid w:val="5F794BDC"/>
    <w:rsid w:val="60084A04"/>
    <w:rsid w:val="604D6409"/>
    <w:rsid w:val="6059210A"/>
    <w:rsid w:val="607D1E3F"/>
    <w:rsid w:val="60D94DA4"/>
    <w:rsid w:val="60F96FC8"/>
    <w:rsid w:val="610222C2"/>
    <w:rsid w:val="610547C4"/>
    <w:rsid w:val="611A3582"/>
    <w:rsid w:val="612C09AB"/>
    <w:rsid w:val="616517E1"/>
    <w:rsid w:val="616603B3"/>
    <w:rsid w:val="617F74B6"/>
    <w:rsid w:val="619D4678"/>
    <w:rsid w:val="61A90745"/>
    <w:rsid w:val="61C269E5"/>
    <w:rsid w:val="61D52D18"/>
    <w:rsid w:val="61FA71DF"/>
    <w:rsid w:val="62012F3E"/>
    <w:rsid w:val="62117FA2"/>
    <w:rsid w:val="6212556A"/>
    <w:rsid w:val="62141D4E"/>
    <w:rsid w:val="621C7BEC"/>
    <w:rsid w:val="622452CA"/>
    <w:rsid w:val="6244089B"/>
    <w:rsid w:val="62452C5F"/>
    <w:rsid w:val="62C1426D"/>
    <w:rsid w:val="62DC4926"/>
    <w:rsid w:val="62E263A6"/>
    <w:rsid w:val="632250AD"/>
    <w:rsid w:val="63752386"/>
    <w:rsid w:val="637E11E9"/>
    <w:rsid w:val="63822EED"/>
    <w:rsid w:val="63B72415"/>
    <w:rsid w:val="63DF4A92"/>
    <w:rsid w:val="6431226D"/>
    <w:rsid w:val="644248B5"/>
    <w:rsid w:val="6448141F"/>
    <w:rsid w:val="6485714D"/>
    <w:rsid w:val="648C7850"/>
    <w:rsid w:val="648D708B"/>
    <w:rsid w:val="6493106E"/>
    <w:rsid w:val="64B372B9"/>
    <w:rsid w:val="64B66EA9"/>
    <w:rsid w:val="64DD20CB"/>
    <w:rsid w:val="64DD232C"/>
    <w:rsid w:val="64E30C8F"/>
    <w:rsid w:val="64E61C08"/>
    <w:rsid w:val="64F45A15"/>
    <w:rsid w:val="650B4F6F"/>
    <w:rsid w:val="65120F6A"/>
    <w:rsid w:val="655E0798"/>
    <w:rsid w:val="656E09E7"/>
    <w:rsid w:val="656F415D"/>
    <w:rsid w:val="65990BA1"/>
    <w:rsid w:val="659F27E3"/>
    <w:rsid w:val="659F4B54"/>
    <w:rsid w:val="65A25093"/>
    <w:rsid w:val="65BC0429"/>
    <w:rsid w:val="65C779CE"/>
    <w:rsid w:val="65DF6C80"/>
    <w:rsid w:val="65E33A41"/>
    <w:rsid w:val="661109F2"/>
    <w:rsid w:val="661A1C5A"/>
    <w:rsid w:val="66242574"/>
    <w:rsid w:val="6653550C"/>
    <w:rsid w:val="665D5BAD"/>
    <w:rsid w:val="667F515C"/>
    <w:rsid w:val="66875870"/>
    <w:rsid w:val="66AC0458"/>
    <w:rsid w:val="66F02486"/>
    <w:rsid w:val="66F57B2C"/>
    <w:rsid w:val="670A6C1B"/>
    <w:rsid w:val="671944B9"/>
    <w:rsid w:val="677177C9"/>
    <w:rsid w:val="67A559DD"/>
    <w:rsid w:val="67BA68D9"/>
    <w:rsid w:val="67BB0814"/>
    <w:rsid w:val="67C13BD9"/>
    <w:rsid w:val="67FE2259"/>
    <w:rsid w:val="67FE4846"/>
    <w:rsid w:val="687B29A7"/>
    <w:rsid w:val="69204246"/>
    <w:rsid w:val="69252A0E"/>
    <w:rsid w:val="69505BA1"/>
    <w:rsid w:val="69AC133E"/>
    <w:rsid w:val="69BC637B"/>
    <w:rsid w:val="69C45CB7"/>
    <w:rsid w:val="69C861BB"/>
    <w:rsid w:val="69D40009"/>
    <w:rsid w:val="69D63FEE"/>
    <w:rsid w:val="69DF48EF"/>
    <w:rsid w:val="69DF552C"/>
    <w:rsid w:val="6A957C9F"/>
    <w:rsid w:val="6AC71FC7"/>
    <w:rsid w:val="6AE03897"/>
    <w:rsid w:val="6AF365CE"/>
    <w:rsid w:val="6AF4563A"/>
    <w:rsid w:val="6B023494"/>
    <w:rsid w:val="6B0A2230"/>
    <w:rsid w:val="6B4E3EC7"/>
    <w:rsid w:val="6B8F1080"/>
    <w:rsid w:val="6BB86844"/>
    <w:rsid w:val="6BC130D9"/>
    <w:rsid w:val="6BCA4720"/>
    <w:rsid w:val="6BE01549"/>
    <w:rsid w:val="6BE9226C"/>
    <w:rsid w:val="6C26313E"/>
    <w:rsid w:val="6C296E3B"/>
    <w:rsid w:val="6C2F0285"/>
    <w:rsid w:val="6C5E13E6"/>
    <w:rsid w:val="6C6E7F3D"/>
    <w:rsid w:val="6CB12BD8"/>
    <w:rsid w:val="6CB17DF5"/>
    <w:rsid w:val="6CBB0AB1"/>
    <w:rsid w:val="6D5248B3"/>
    <w:rsid w:val="6D822DFD"/>
    <w:rsid w:val="6E032FCE"/>
    <w:rsid w:val="6E0540BB"/>
    <w:rsid w:val="6E0C3712"/>
    <w:rsid w:val="6E267404"/>
    <w:rsid w:val="6E3B7DD1"/>
    <w:rsid w:val="6E4E6E31"/>
    <w:rsid w:val="6E67567B"/>
    <w:rsid w:val="6E693A52"/>
    <w:rsid w:val="6E6C4163"/>
    <w:rsid w:val="6EB03955"/>
    <w:rsid w:val="6ED21749"/>
    <w:rsid w:val="6EE94BF2"/>
    <w:rsid w:val="6F0D6EEC"/>
    <w:rsid w:val="6F212571"/>
    <w:rsid w:val="6F2D1B06"/>
    <w:rsid w:val="6F9E15F3"/>
    <w:rsid w:val="6FBB0ABB"/>
    <w:rsid w:val="6FCD2479"/>
    <w:rsid w:val="6FD41461"/>
    <w:rsid w:val="6FDE2B54"/>
    <w:rsid w:val="6FFA28E7"/>
    <w:rsid w:val="70035526"/>
    <w:rsid w:val="70091F6E"/>
    <w:rsid w:val="702119FE"/>
    <w:rsid w:val="703C736A"/>
    <w:rsid w:val="704709FF"/>
    <w:rsid w:val="70571377"/>
    <w:rsid w:val="70A62EC2"/>
    <w:rsid w:val="70BC13D8"/>
    <w:rsid w:val="7108259C"/>
    <w:rsid w:val="711E6BB3"/>
    <w:rsid w:val="71230042"/>
    <w:rsid w:val="713C2D34"/>
    <w:rsid w:val="714F05F8"/>
    <w:rsid w:val="71572454"/>
    <w:rsid w:val="715809C2"/>
    <w:rsid w:val="71762D47"/>
    <w:rsid w:val="71996CEC"/>
    <w:rsid w:val="71AD059F"/>
    <w:rsid w:val="71DD11BE"/>
    <w:rsid w:val="721561CF"/>
    <w:rsid w:val="722D3A91"/>
    <w:rsid w:val="72394B61"/>
    <w:rsid w:val="72717A45"/>
    <w:rsid w:val="72AF17F0"/>
    <w:rsid w:val="72B1323B"/>
    <w:rsid w:val="72D567C0"/>
    <w:rsid w:val="72E4666D"/>
    <w:rsid w:val="730C318E"/>
    <w:rsid w:val="73117671"/>
    <w:rsid w:val="73585EC7"/>
    <w:rsid w:val="7381429F"/>
    <w:rsid w:val="73A23CAF"/>
    <w:rsid w:val="73C2690D"/>
    <w:rsid w:val="73FC0340"/>
    <w:rsid w:val="74005E3F"/>
    <w:rsid w:val="740E5AAF"/>
    <w:rsid w:val="74186FEE"/>
    <w:rsid w:val="741E2117"/>
    <w:rsid w:val="74273372"/>
    <w:rsid w:val="744F5E6D"/>
    <w:rsid w:val="749F6E56"/>
    <w:rsid w:val="74C54D48"/>
    <w:rsid w:val="74DE1F97"/>
    <w:rsid w:val="7519759B"/>
    <w:rsid w:val="75275527"/>
    <w:rsid w:val="755B0183"/>
    <w:rsid w:val="755D6C89"/>
    <w:rsid w:val="75617CDB"/>
    <w:rsid w:val="76357984"/>
    <w:rsid w:val="76B34856"/>
    <w:rsid w:val="76C521C7"/>
    <w:rsid w:val="770264E1"/>
    <w:rsid w:val="776A01C9"/>
    <w:rsid w:val="779768B0"/>
    <w:rsid w:val="77B7066E"/>
    <w:rsid w:val="77C47EEA"/>
    <w:rsid w:val="77CA1FD3"/>
    <w:rsid w:val="77D12932"/>
    <w:rsid w:val="77DF68FE"/>
    <w:rsid w:val="77E05892"/>
    <w:rsid w:val="77E57CE7"/>
    <w:rsid w:val="78496001"/>
    <w:rsid w:val="78EC087D"/>
    <w:rsid w:val="78EE2B26"/>
    <w:rsid w:val="78FE3844"/>
    <w:rsid w:val="79055A8D"/>
    <w:rsid w:val="792A6E8F"/>
    <w:rsid w:val="79346978"/>
    <w:rsid w:val="793E64F5"/>
    <w:rsid w:val="7981444C"/>
    <w:rsid w:val="7987611D"/>
    <w:rsid w:val="798E7D37"/>
    <w:rsid w:val="799A78E6"/>
    <w:rsid w:val="79A46D11"/>
    <w:rsid w:val="79A864E4"/>
    <w:rsid w:val="79B457DD"/>
    <w:rsid w:val="79D11D22"/>
    <w:rsid w:val="79D865EC"/>
    <w:rsid w:val="7A1076E8"/>
    <w:rsid w:val="7A1371F9"/>
    <w:rsid w:val="7A29629C"/>
    <w:rsid w:val="7A523FFD"/>
    <w:rsid w:val="7A7E3481"/>
    <w:rsid w:val="7ACC7630"/>
    <w:rsid w:val="7B222487"/>
    <w:rsid w:val="7B2660BD"/>
    <w:rsid w:val="7B435321"/>
    <w:rsid w:val="7BA67DEF"/>
    <w:rsid w:val="7BEC0489"/>
    <w:rsid w:val="7C7E324D"/>
    <w:rsid w:val="7CF22CAE"/>
    <w:rsid w:val="7CFD317D"/>
    <w:rsid w:val="7D2C5581"/>
    <w:rsid w:val="7D2C6594"/>
    <w:rsid w:val="7D394B01"/>
    <w:rsid w:val="7D83633C"/>
    <w:rsid w:val="7DA90E58"/>
    <w:rsid w:val="7DB20674"/>
    <w:rsid w:val="7DF70EAE"/>
    <w:rsid w:val="7E2B51DA"/>
    <w:rsid w:val="7E637529"/>
    <w:rsid w:val="7E9964C1"/>
    <w:rsid w:val="7EA96C28"/>
    <w:rsid w:val="7EDA10EF"/>
    <w:rsid w:val="7F561B5F"/>
    <w:rsid w:val="7F703722"/>
    <w:rsid w:val="7FBC7B22"/>
    <w:rsid w:val="7FCC71E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heme="minorHAnsi" w:hAnsiTheme="minorHAnsi" w:eastAsiaTheme="minorEastAsia" w:cstheme="minorBidi"/>
      <w:kern w:val="2"/>
      <w:sz w:val="24"/>
      <w:szCs w:val="22"/>
      <w:lang w:val="en-US" w:eastAsia="zh-CN" w:bidi="ar-SA"/>
    </w:rPr>
  </w:style>
  <w:style w:type="paragraph" w:styleId="6">
    <w:name w:val="heading 1"/>
    <w:basedOn w:val="1"/>
    <w:next w:val="1"/>
    <w:link w:val="44"/>
    <w:qFormat/>
    <w:uiPriority w:val="9"/>
    <w:pPr>
      <w:keepNext/>
      <w:keepLines/>
      <w:ind w:firstLine="0" w:firstLineChars="0"/>
      <w:jc w:val="left"/>
      <w:outlineLvl w:val="0"/>
    </w:pPr>
    <w:rPr>
      <w:b/>
      <w:bCs/>
      <w:kern w:val="44"/>
      <w:sz w:val="30"/>
      <w:szCs w:val="44"/>
    </w:rPr>
  </w:style>
  <w:style w:type="paragraph" w:styleId="7">
    <w:name w:val="heading 2"/>
    <w:basedOn w:val="1"/>
    <w:next w:val="1"/>
    <w:link w:val="45"/>
    <w:unhideWhenUsed/>
    <w:qFormat/>
    <w:uiPriority w:val="9"/>
    <w:pPr>
      <w:keepNext/>
      <w:keepLines/>
      <w:ind w:firstLine="0" w:firstLineChars="0"/>
      <w:outlineLvl w:val="1"/>
    </w:pPr>
    <w:rPr>
      <w:rFonts w:asciiTheme="majorHAnsi" w:hAnsiTheme="majorHAnsi" w:eastAsiaTheme="majorEastAsia" w:cstheme="majorBidi"/>
      <w:b/>
      <w:bCs/>
      <w:sz w:val="28"/>
      <w:szCs w:val="32"/>
    </w:rPr>
  </w:style>
  <w:style w:type="paragraph" w:styleId="8">
    <w:name w:val="heading 3"/>
    <w:basedOn w:val="1"/>
    <w:next w:val="1"/>
    <w:link w:val="43"/>
    <w:unhideWhenUsed/>
    <w:qFormat/>
    <w:uiPriority w:val="9"/>
    <w:pPr>
      <w:keepNext/>
      <w:keepLines/>
      <w:ind w:firstLine="0" w:firstLineChars="0"/>
      <w:outlineLvl w:val="2"/>
    </w:pPr>
    <w:rPr>
      <w:rFonts w:ascii="Times New Roman" w:hAnsi="Times New Roman"/>
      <w:b/>
      <w:bCs/>
      <w:szCs w:val="32"/>
    </w:rPr>
  </w:style>
  <w:style w:type="paragraph" w:styleId="9">
    <w:name w:val="heading 4"/>
    <w:basedOn w:val="1"/>
    <w:next w:val="1"/>
    <w:link w:val="46"/>
    <w:unhideWhenUsed/>
    <w:qFormat/>
    <w:uiPriority w:val="9"/>
    <w:pPr>
      <w:keepNext/>
      <w:keepLines/>
      <w:ind w:firstLine="0" w:firstLineChars="0"/>
      <w:outlineLvl w:val="3"/>
    </w:pPr>
    <w:rPr>
      <w:rFonts w:ascii="Times New Roman" w:hAnsi="Times New Roman" w:eastAsiaTheme="majorEastAsia" w:cstheme="majorBidi"/>
      <w:b/>
      <w:bCs/>
      <w:szCs w:val="28"/>
    </w:rPr>
  </w:style>
  <w:style w:type="paragraph" w:styleId="10">
    <w:name w:val="heading 5"/>
    <w:basedOn w:val="1"/>
    <w:next w:val="1"/>
    <w:link w:val="47"/>
    <w:unhideWhenUsed/>
    <w:qFormat/>
    <w:uiPriority w:val="9"/>
    <w:pPr>
      <w:keepNext/>
      <w:keepLines/>
      <w:spacing w:before="280" w:after="290" w:line="376" w:lineRule="auto"/>
      <w:outlineLvl w:val="4"/>
    </w:pPr>
    <w:rPr>
      <w:b/>
      <w:bCs/>
      <w:szCs w:val="28"/>
    </w:rPr>
  </w:style>
  <w:style w:type="paragraph" w:styleId="11">
    <w:name w:val="heading 7"/>
    <w:basedOn w:val="1"/>
    <w:next w:val="1"/>
    <w:link w:val="77"/>
    <w:semiHidden/>
    <w:unhideWhenUsed/>
    <w:qFormat/>
    <w:uiPriority w:val="9"/>
    <w:pPr>
      <w:keepNext/>
      <w:keepLines/>
      <w:spacing w:before="240" w:after="64" w:line="320" w:lineRule="auto"/>
      <w:outlineLvl w:val="6"/>
    </w:pPr>
    <w:rPr>
      <w:b/>
      <w:bCs/>
      <w:szCs w:val="24"/>
    </w:rPr>
  </w:style>
  <w:style w:type="character" w:default="1" w:styleId="38">
    <w:name w:val="Default Paragraph Font"/>
    <w:semiHidden/>
    <w:unhideWhenUsed/>
    <w:uiPriority w:val="1"/>
  </w:style>
  <w:style w:type="table" w:default="1" w:styleId="36">
    <w:name w:val="Normal Table"/>
    <w:semiHidden/>
    <w:unhideWhenUsed/>
    <w:uiPriority w:val="99"/>
    <w:tblPr>
      <w:tblCellMar>
        <w:top w:w="0" w:type="dxa"/>
        <w:left w:w="108" w:type="dxa"/>
        <w:bottom w:w="0" w:type="dxa"/>
        <w:right w:w="108" w:type="dxa"/>
      </w:tblCellMar>
    </w:tblPr>
  </w:style>
  <w:style w:type="paragraph" w:customStyle="1" w:styleId="2">
    <w:name w:val="Default"/>
    <w:next w:val="3"/>
    <w:link w:val="111"/>
    <w:qFormat/>
    <w:uiPriority w:val="0"/>
    <w:pPr>
      <w:widowControl w:val="0"/>
      <w:autoSpaceDE w:val="0"/>
      <w:autoSpaceDN w:val="0"/>
      <w:adjustRightInd w:val="0"/>
    </w:pPr>
    <w:rPr>
      <w:rFonts w:ascii="仿宋" w:eastAsia="仿宋" w:cs="仿宋" w:hAnsiTheme="minorHAnsi"/>
      <w:color w:val="000000"/>
      <w:sz w:val="24"/>
      <w:szCs w:val="24"/>
      <w:lang w:val="en-US" w:eastAsia="zh-CN" w:bidi="ar-SA"/>
    </w:rPr>
  </w:style>
  <w:style w:type="paragraph" w:styleId="3">
    <w:name w:val="footer"/>
    <w:basedOn w:val="1"/>
    <w:next w:val="4"/>
    <w:link w:val="49"/>
    <w:unhideWhenUsed/>
    <w:qFormat/>
    <w:uiPriority w:val="99"/>
    <w:pPr>
      <w:tabs>
        <w:tab w:val="center" w:pos="4153"/>
        <w:tab w:val="right" w:pos="8306"/>
      </w:tabs>
      <w:snapToGrid w:val="0"/>
      <w:jc w:val="left"/>
    </w:pPr>
    <w:rPr>
      <w:sz w:val="18"/>
      <w:szCs w:val="18"/>
    </w:rPr>
  </w:style>
  <w:style w:type="paragraph" w:customStyle="1" w:styleId="4">
    <w:name w:val="样式正文 + (符号) 宋体 小四 行距: 固定值 24 磅"/>
    <w:basedOn w:val="1"/>
    <w:next w:val="5"/>
    <w:qFormat/>
    <w:uiPriority w:val="0"/>
    <w:pPr>
      <w:ind w:firstLine="148" w:firstLineChars="148"/>
    </w:pPr>
    <w:rPr>
      <w:rFonts w:ascii="宋体" w:hAnsi="宋体" w:cs="宋体"/>
    </w:rPr>
  </w:style>
  <w:style w:type="paragraph" w:customStyle="1" w:styleId="5">
    <w:name w:val="【正文】"/>
    <w:basedOn w:val="1"/>
    <w:qFormat/>
    <w:uiPriority w:val="0"/>
    <w:pPr>
      <w:spacing w:line="440" w:lineRule="exact"/>
      <w:ind w:firstLine="544"/>
    </w:pPr>
    <w:rPr>
      <w:szCs w:val="20"/>
    </w:rPr>
  </w:style>
  <w:style w:type="paragraph" w:styleId="12">
    <w:name w:val="toc 7"/>
    <w:basedOn w:val="1"/>
    <w:next w:val="1"/>
    <w:unhideWhenUsed/>
    <w:qFormat/>
    <w:uiPriority w:val="39"/>
    <w:pPr>
      <w:ind w:left="1440"/>
      <w:jc w:val="left"/>
    </w:pPr>
    <w:rPr>
      <w:rFonts w:cstheme="minorHAnsi"/>
      <w:sz w:val="20"/>
      <w:szCs w:val="20"/>
    </w:rPr>
  </w:style>
  <w:style w:type="paragraph" w:styleId="13">
    <w:name w:val="Normal Indent"/>
    <w:basedOn w:val="1"/>
    <w:link w:val="53"/>
    <w:qFormat/>
    <w:uiPriority w:val="0"/>
    <w:pPr>
      <w:ind w:firstLine="420"/>
    </w:pPr>
    <w:rPr>
      <w:rFonts w:eastAsia="宋体"/>
      <w:szCs w:val="24"/>
    </w:rPr>
  </w:style>
  <w:style w:type="paragraph" w:styleId="14">
    <w:name w:val="caption"/>
    <w:basedOn w:val="1"/>
    <w:next w:val="1"/>
    <w:link w:val="59"/>
    <w:qFormat/>
    <w:uiPriority w:val="0"/>
    <w:pPr>
      <w:adjustRightInd w:val="0"/>
      <w:snapToGrid w:val="0"/>
      <w:spacing w:line="240" w:lineRule="atLeast"/>
      <w:ind w:firstLine="320" w:firstLineChars="100"/>
      <w:jc w:val="center"/>
    </w:pPr>
    <w:rPr>
      <w:rFonts w:ascii="Times New Roman" w:hAnsi="Times New Roman" w:eastAsia="宋体" w:cs="Times New Roman"/>
      <w:b/>
      <w:color w:val="000000"/>
      <w:szCs w:val="20"/>
    </w:rPr>
  </w:style>
  <w:style w:type="paragraph" w:styleId="15">
    <w:name w:val="Document Map"/>
    <w:basedOn w:val="1"/>
    <w:link w:val="65"/>
    <w:semiHidden/>
    <w:unhideWhenUsed/>
    <w:qFormat/>
    <w:uiPriority w:val="99"/>
    <w:rPr>
      <w:rFonts w:ascii="宋体" w:eastAsia="宋体"/>
      <w:sz w:val="18"/>
      <w:szCs w:val="18"/>
    </w:rPr>
  </w:style>
  <w:style w:type="paragraph" w:styleId="16">
    <w:name w:val="annotation text"/>
    <w:basedOn w:val="1"/>
    <w:link w:val="66"/>
    <w:semiHidden/>
    <w:unhideWhenUsed/>
    <w:qFormat/>
    <w:uiPriority w:val="99"/>
    <w:pPr>
      <w:jc w:val="left"/>
    </w:pPr>
  </w:style>
  <w:style w:type="paragraph" w:styleId="17">
    <w:name w:val="Body Text"/>
    <w:basedOn w:val="1"/>
    <w:next w:val="18"/>
    <w:link w:val="100"/>
    <w:qFormat/>
    <w:uiPriority w:val="99"/>
    <w:pPr>
      <w:jc w:val="center"/>
    </w:pPr>
  </w:style>
  <w:style w:type="paragraph" w:styleId="18">
    <w:name w:val="List Bullet 5"/>
    <w:basedOn w:val="1"/>
    <w:semiHidden/>
    <w:unhideWhenUsed/>
    <w:qFormat/>
    <w:uiPriority w:val="99"/>
    <w:pPr>
      <w:numPr>
        <w:ilvl w:val="0"/>
        <w:numId w:val="1"/>
      </w:numPr>
    </w:pPr>
  </w:style>
  <w:style w:type="paragraph" w:styleId="19">
    <w:name w:val="toc 5"/>
    <w:basedOn w:val="1"/>
    <w:next w:val="1"/>
    <w:unhideWhenUsed/>
    <w:qFormat/>
    <w:uiPriority w:val="39"/>
    <w:pPr>
      <w:ind w:left="960"/>
      <w:jc w:val="left"/>
    </w:pPr>
    <w:rPr>
      <w:rFonts w:cstheme="minorHAnsi"/>
      <w:sz w:val="20"/>
      <w:szCs w:val="20"/>
    </w:rPr>
  </w:style>
  <w:style w:type="paragraph" w:styleId="20">
    <w:name w:val="toc 3"/>
    <w:basedOn w:val="1"/>
    <w:next w:val="1"/>
    <w:unhideWhenUsed/>
    <w:qFormat/>
    <w:uiPriority w:val="39"/>
    <w:pPr>
      <w:ind w:left="480"/>
      <w:jc w:val="left"/>
    </w:pPr>
    <w:rPr>
      <w:rFonts w:cstheme="minorHAnsi"/>
      <w:sz w:val="20"/>
      <w:szCs w:val="20"/>
    </w:rPr>
  </w:style>
  <w:style w:type="paragraph" w:styleId="21">
    <w:name w:val="Plain Text"/>
    <w:basedOn w:val="1"/>
    <w:link w:val="54"/>
    <w:qFormat/>
    <w:uiPriority w:val="0"/>
    <w:rPr>
      <w:rFonts w:ascii="宋体" w:hAnsi="Courier New" w:eastAsia="宋体"/>
    </w:rPr>
  </w:style>
  <w:style w:type="paragraph" w:styleId="22">
    <w:name w:val="toc 8"/>
    <w:basedOn w:val="1"/>
    <w:next w:val="1"/>
    <w:unhideWhenUsed/>
    <w:qFormat/>
    <w:uiPriority w:val="39"/>
    <w:pPr>
      <w:ind w:left="1680"/>
      <w:jc w:val="left"/>
    </w:pPr>
    <w:rPr>
      <w:rFonts w:cstheme="minorHAnsi"/>
      <w:sz w:val="20"/>
      <w:szCs w:val="20"/>
    </w:rPr>
  </w:style>
  <w:style w:type="paragraph" w:styleId="23">
    <w:name w:val="Date"/>
    <w:basedOn w:val="1"/>
    <w:next w:val="1"/>
    <w:link w:val="50"/>
    <w:semiHidden/>
    <w:unhideWhenUsed/>
    <w:qFormat/>
    <w:uiPriority w:val="99"/>
    <w:pPr>
      <w:ind w:left="100" w:leftChars="2500"/>
    </w:pPr>
  </w:style>
  <w:style w:type="paragraph" w:styleId="24">
    <w:name w:val="Balloon Text"/>
    <w:basedOn w:val="1"/>
    <w:link w:val="58"/>
    <w:semiHidden/>
    <w:unhideWhenUsed/>
    <w:qFormat/>
    <w:uiPriority w:val="99"/>
    <w:rPr>
      <w:sz w:val="18"/>
      <w:szCs w:val="18"/>
    </w:rPr>
  </w:style>
  <w:style w:type="paragraph" w:styleId="25">
    <w:name w:val="header"/>
    <w:basedOn w:val="1"/>
    <w:link w:val="48"/>
    <w:unhideWhenUsed/>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unhideWhenUsed/>
    <w:qFormat/>
    <w:uiPriority w:val="39"/>
    <w:pPr>
      <w:spacing w:before="120"/>
      <w:jc w:val="left"/>
    </w:pPr>
    <w:rPr>
      <w:rFonts w:cstheme="minorHAnsi"/>
      <w:b/>
      <w:bCs/>
      <w:i/>
      <w:iCs/>
      <w:szCs w:val="24"/>
    </w:rPr>
  </w:style>
  <w:style w:type="paragraph" w:styleId="27">
    <w:name w:val="toc 4"/>
    <w:basedOn w:val="1"/>
    <w:next w:val="1"/>
    <w:unhideWhenUsed/>
    <w:qFormat/>
    <w:uiPriority w:val="39"/>
    <w:pPr>
      <w:ind w:left="720"/>
      <w:jc w:val="left"/>
    </w:pPr>
    <w:rPr>
      <w:rFonts w:cstheme="minorHAnsi"/>
      <w:sz w:val="20"/>
      <w:szCs w:val="20"/>
    </w:rPr>
  </w:style>
  <w:style w:type="paragraph" w:styleId="28">
    <w:name w:val="toc 6"/>
    <w:basedOn w:val="1"/>
    <w:next w:val="1"/>
    <w:unhideWhenUsed/>
    <w:qFormat/>
    <w:uiPriority w:val="39"/>
    <w:pPr>
      <w:ind w:left="1200"/>
      <w:jc w:val="left"/>
    </w:pPr>
    <w:rPr>
      <w:rFonts w:cstheme="minorHAnsi"/>
      <w:sz w:val="20"/>
      <w:szCs w:val="20"/>
    </w:rPr>
  </w:style>
  <w:style w:type="paragraph" w:styleId="29">
    <w:name w:val="toc 2"/>
    <w:basedOn w:val="1"/>
    <w:next w:val="1"/>
    <w:unhideWhenUsed/>
    <w:qFormat/>
    <w:uiPriority w:val="39"/>
    <w:pPr>
      <w:spacing w:before="120"/>
      <w:ind w:left="240"/>
      <w:jc w:val="left"/>
    </w:pPr>
    <w:rPr>
      <w:rFonts w:cstheme="minorHAnsi"/>
      <w:b/>
      <w:bCs/>
      <w:sz w:val="22"/>
    </w:rPr>
  </w:style>
  <w:style w:type="paragraph" w:styleId="30">
    <w:name w:val="toc 9"/>
    <w:basedOn w:val="1"/>
    <w:next w:val="1"/>
    <w:unhideWhenUsed/>
    <w:qFormat/>
    <w:uiPriority w:val="39"/>
    <w:pPr>
      <w:ind w:left="1920"/>
      <w:jc w:val="left"/>
    </w:pPr>
    <w:rPr>
      <w:rFonts w:cstheme="minorHAnsi"/>
      <w:sz w:val="20"/>
      <w:szCs w:val="20"/>
    </w:rPr>
  </w:style>
  <w:style w:type="paragraph" w:styleId="31">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Cs w:val="24"/>
    </w:rPr>
  </w:style>
  <w:style w:type="paragraph" w:styleId="32">
    <w:name w:val="Normal (Web)"/>
    <w:basedOn w:val="1"/>
    <w:qFormat/>
    <w:uiPriority w:val="0"/>
    <w:rPr>
      <w:rFonts w:ascii="Arial" w:hAnsi="Times New Roman" w:eastAsia="楷体_GB2312" w:cs="Times New Roman"/>
      <w:spacing w:val="-6"/>
      <w:kern w:val="0"/>
      <w:szCs w:val="20"/>
    </w:rPr>
  </w:style>
  <w:style w:type="paragraph" w:styleId="33">
    <w:name w:val="Title"/>
    <w:basedOn w:val="1"/>
    <w:link w:val="75"/>
    <w:qFormat/>
    <w:uiPriority w:val="0"/>
    <w:rPr>
      <w:szCs w:val="24"/>
    </w:rPr>
  </w:style>
  <w:style w:type="paragraph" w:styleId="34">
    <w:name w:val="annotation subject"/>
    <w:basedOn w:val="16"/>
    <w:next w:val="16"/>
    <w:link w:val="67"/>
    <w:semiHidden/>
    <w:unhideWhenUsed/>
    <w:qFormat/>
    <w:uiPriority w:val="99"/>
    <w:rPr>
      <w:b/>
      <w:bCs/>
    </w:rPr>
  </w:style>
  <w:style w:type="paragraph" w:styleId="35">
    <w:name w:val="Body Text First Indent"/>
    <w:basedOn w:val="17"/>
    <w:link w:val="112"/>
    <w:autoRedefine/>
    <w:qFormat/>
    <w:uiPriority w:val="0"/>
    <w:pPr>
      <w:spacing w:after="120" w:line="240" w:lineRule="auto"/>
      <w:ind w:firstLine="420" w:firstLineChars="100"/>
      <w:jc w:val="both"/>
    </w:pPr>
    <w:rPr>
      <w:rFonts w:ascii="Times New Roman" w:hAnsi="Times New Roman" w:eastAsia="宋体" w:cs="Times New Roman"/>
      <w:sz w:val="28"/>
    </w:rPr>
  </w:style>
  <w:style w:type="table" w:styleId="37">
    <w:name w:val="Table Grid"/>
    <w:basedOn w:val="3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qFormat/>
    <w:uiPriority w:val="0"/>
    <w:rPr>
      <w:rFonts w:ascii="宋体" w:hAnsi="宋体" w:cs="宋体"/>
      <w:b/>
      <w:bCs/>
      <w:sz w:val="24"/>
    </w:rPr>
  </w:style>
  <w:style w:type="character" w:styleId="40">
    <w:name w:val="FollowedHyperlink"/>
    <w:basedOn w:val="38"/>
    <w:semiHidden/>
    <w:unhideWhenUsed/>
    <w:qFormat/>
    <w:uiPriority w:val="99"/>
    <w:rPr>
      <w:color w:val="800080"/>
      <w:u w:val="single"/>
    </w:rPr>
  </w:style>
  <w:style w:type="character" w:styleId="41">
    <w:name w:val="Hyperlink"/>
    <w:basedOn w:val="38"/>
    <w:unhideWhenUsed/>
    <w:qFormat/>
    <w:uiPriority w:val="99"/>
    <w:rPr>
      <w:color w:val="0000FF" w:themeColor="hyperlink"/>
      <w:u w:val="single"/>
      <w14:textFill>
        <w14:solidFill>
          <w14:schemeClr w14:val="hlink"/>
        </w14:solidFill>
      </w14:textFill>
    </w:rPr>
  </w:style>
  <w:style w:type="character" w:styleId="42">
    <w:name w:val="annotation reference"/>
    <w:basedOn w:val="38"/>
    <w:semiHidden/>
    <w:unhideWhenUsed/>
    <w:qFormat/>
    <w:uiPriority w:val="99"/>
    <w:rPr>
      <w:sz w:val="21"/>
      <w:szCs w:val="21"/>
    </w:rPr>
  </w:style>
  <w:style w:type="character" w:customStyle="1" w:styleId="43">
    <w:name w:val="标题 3 Char"/>
    <w:basedOn w:val="38"/>
    <w:link w:val="8"/>
    <w:qFormat/>
    <w:uiPriority w:val="9"/>
    <w:rPr>
      <w:rFonts w:ascii="Times New Roman" w:hAnsi="Times New Roman"/>
      <w:b/>
      <w:bCs/>
      <w:sz w:val="24"/>
      <w:szCs w:val="32"/>
    </w:rPr>
  </w:style>
  <w:style w:type="character" w:customStyle="1" w:styleId="44">
    <w:name w:val="标题 1 Char"/>
    <w:basedOn w:val="38"/>
    <w:link w:val="6"/>
    <w:qFormat/>
    <w:uiPriority w:val="9"/>
    <w:rPr>
      <w:b/>
      <w:bCs/>
      <w:kern w:val="44"/>
      <w:sz w:val="30"/>
      <w:szCs w:val="44"/>
    </w:rPr>
  </w:style>
  <w:style w:type="character" w:customStyle="1" w:styleId="45">
    <w:name w:val="标题 2 Char"/>
    <w:basedOn w:val="38"/>
    <w:link w:val="7"/>
    <w:qFormat/>
    <w:uiPriority w:val="9"/>
    <w:rPr>
      <w:rFonts w:asciiTheme="majorHAnsi" w:hAnsiTheme="majorHAnsi" w:eastAsiaTheme="majorEastAsia" w:cstheme="majorBidi"/>
      <w:b/>
      <w:bCs/>
      <w:sz w:val="28"/>
      <w:szCs w:val="32"/>
    </w:rPr>
  </w:style>
  <w:style w:type="character" w:customStyle="1" w:styleId="46">
    <w:name w:val="标题 4 Char"/>
    <w:basedOn w:val="38"/>
    <w:link w:val="9"/>
    <w:qFormat/>
    <w:uiPriority w:val="9"/>
    <w:rPr>
      <w:rFonts w:ascii="Times New Roman" w:hAnsi="Times New Roman" w:eastAsiaTheme="majorEastAsia" w:cstheme="majorBidi"/>
      <w:b/>
      <w:bCs/>
      <w:sz w:val="24"/>
      <w:szCs w:val="28"/>
    </w:rPr>
  </w:style>
  <w:style w:type="character" w:customStyle="1" w:styleId="47">
    <w:name w:val="标题 5 Char"/>
    <w:basedOn w:val="38"/>
    <w:link w:val="10"/>
    <w:qFormat/>
    <w:uiPriority w:val="9"/>
    <w:rPr>
      <w:b/>
      <w:bCs/>
      <w:sz w:val="24"/>
      <w:szCs w:val="28"/>
    </w:rPr>
  </w:style>
  <w:style w:type="character" w:customStyle="1" w:styleId="48">
    <w:name w:val="页眉 Char"/>
    <w:basedOn w:val="38"/>
    <w:link w:val="25"/>
    <w:autoRedefine/>
    <w:qFormat/>
    <w:uiPriority w:val="99"/>
    <w:rPr>
      <w:sz w:val="18"/>
      <w:szCs w:val="18"/>
    </w:rPr>
  </w:style>
  <w:style w:type="character" w:customStyle="1" w:styleId="49">
    <w:name w:val="页脚 Char"/>
    <w:basedOn w:val="38"/>
    <w:link w:val="3"/>
    <w:autoRedefine/>
    <w:qFormat/>
    <w:uiPriority w:val="99"/>
    <w:rPr>
      <w:sz w:val="18"/>
      <w:szCs w:val="18"/>
    </w:rPr>
  </w:style>
  <w:style w:type="character" w:customStyle="1" w:styleId="50">
    <w:name w:val="日期 Char"/>
    <w:basedOn w:val="38"/>
    <w:link w:val="23"/>
    <w:autoRedefine/>
    <w:semiHidden/>
    <w:qFormat/>
    <w:uiPriority w:val="99"/>
  </w:style>
  <w:style w:type="paragraph" w:customStyle="1" w:styleId="51">
    <w:name w:val="样式-wc"/>
    <w:basedOn w:val="1"/>
    <w:link w:val="52"/>
    <w:autoRedefine/>
    <w:qFormat/>
    <w:uiPriority w:val="0"/>
    <w:pPr>
      <w:snapToGrid w:val="0"/>
      <w:spacing w:line="500" w:lineRule="exact"/>
    </w:pPr>
    <w:rPr>
      <w:rFonts w:ascii="宋体" w:hAnsi="Times New Roman" w:eastAsia="宋体" w:cs="Times New Roman"/>
      <w:szCs w:val="20"/>
    </w:rPr>
  </w:style>
  <w:style w:type="character" w:customStyle="1" w:styleId="52">
    <w:name w:val="样式-wc Char"/>
    <w:link w:val="51"/>
    <w:autoRedefine/>
    <w:qFormat/>
    <w:uiPriority w:val="0"/>
    <w:rPr>
      <w:rFonts w:ascii="宋体" w:hAnsi="Times New Roman" w:eastAsia="宋体" w:cs="Times New Roman"/>
      <w:sz w:val="24"/>
      <w:szCs w:val="20"/>
    </w:rPr>
  </w:style>
  <w:style w:type="character" w:customStyle="1" w:styleId="53">
    <w:name w:val="正文缩进 Char"/>
    <w:link w:val="13"/>
    <w:autoRedefine/>
    <w:qFormat/>
    <w:uiPriority w:val="0"/>
    <w:rPr>
      <w:rFonts w:eastAsia="宋体"/>
      <w:szCs w:val="24"/>
    </w:rPr>
  </w:style>
  <w:style w:type="character" w:customStyle="1" w:styleId="54">
    <w:name w:val="纯文本 Char"/>
    <w:link w:val="21"/>
    <w:autoRedefine/>
    <w:qFormat/>
    <w:uiPriority w:val="0"/>
    <w:rPr>
      <w:rFonts w:ascii="宋体" w:hAnsi="Courier New" w:eastAsia="宋体"/>
    </w:rPr>
  </w:style>
  <w:style w:type="character" w:customStyle="1" w:styleId="55">
    <w:name w:val="纯文本 Char1"/>
    <w:basedOn w:val="38"/>
    <w:autoRedefine/>
    <w:semiHidden/>
    <w:qFormat/>
    <w:uiPriority w:val="99"/>
    <w:rPr>
      <w:rFonts w:ascii="宋体" w:hAnsi="Courier New" w:eastAsia="宋体" w:cs="Courier New"/>
      <w:szCs w:val="21"/>
    </w:rPr>
  </w:style>
  <w:style w:type="character" w:customStyle="1" w:styleId="56">
    <w:name w:val="1-正文 Char Char"/>
    <w:link w:val="57"/>
    <w:autoRedefine/>
    <w:qFormat/>
    <w:locked/>
    <w:uiPriority w:val="0"/>
    <w:rPr>
      <w:sz w:val="24"/>
    </w:rPr>
  </w:style>
  <w:style w:type="paragraph" w:customStyle="1" w:styleId="57">
    <w:name w:val="1-正文"/>
    <w:basedOn w:val="1"/>
    <w:link w:val="56"/>
    <w:autoRedefine/>
    <w:qFormat/>
    <w:uiPriority w:val="0"/>
    <w:pPr>
      <w:spacing w:after="60"/>
    </w:pPr>
  </w:style>
  <w:style w:type="character" w:customStyle="1" w:styleId="58">
    <w:name w:val="批注框文本 Char"/>
    <w:basedOn w:val="38"/>
    <w:link w:val="24"/>
    <w:autoRedefine/>
    <w:semiHidden/>
    <w:qFormat/>
    <w:uiPriority w:val="99"/>
    <w:rPr>
      <w:sz w:val="18"/>
      <w:szCs w:val="18"/>
    </w:rPr>
  </w:style>
  <w:style w:type="character" w:customStyle="1" w:styleId="59">
    <w:name w:val="题注 Char"/>
    <w:link w:val="14"/>
    <w:autoRedefine/>
    <w:qFormat/>
    <w:uiPriority w:val="0"/>
    <w:rPr>
      <w:rFonts w:ascii="Times New Roman" w:hAnsi="Times New Roman" w:eastAsia="宋体" w:cs="Times New Roman"/>
      <w:b/>
      <w:color w:val="000000"/>
      <w:szCs w:val="20"/>
    </w:rPr>
  </w:style>
  <w:style w:type="paragraph" w:styleId="60">
    <w:name w:val="List Paragraph"/>
    <w:basedOn w:val="1"/>
    <w:autoRedefine/>
    <w:qFormat/>
    <w:uiPriority w:val="34"/>
    <w:pPr>
      <w:ind w:firstLine="420"/>
    </w:pPr>
  </w:style>
  <w:style w:type="character" w:customStyle="1" w:styleId="61">
    <w:name w:val="正文小四 Char Char"/>
    <w:link w:val="62"/>
    <w:autoRedefine/>
    <w:qFormat/>
    <w:uiPriority w:val="0"/>
    <w:rPr>
      <w:rFonts w:eastAsia="宋体"/>
      <w:sz w:val="24"/>
    </w:rPr>
  </w:style>
  <w:style w:type="paragraph" w:customStyle="1" w:styleId="62">
    <w:name w:val="正文小四"/>
    <w:basedOn w:val="1"/>
    <w:link w:val="61"/>
    <w:autoRedefine/>
    <w:qFormat/>
    <w:uiPriority w:val="0"/>
    <w:rPr>
      <w:rFonts w:eastAsia="宋体"/>
    </w:rPr>
  </w:style>
  <w:style w:type="paragraph" w:customStyle="1" w:styleId="63">
    <w:name w:val="环科院表格文字"/>
    <w:basedOn w:val="1"/>
    <w:autoRedefine/>
    <w:qFormat/>
    <w:uiPriority w:val="0"/>
    <w:pPr>
      <w:jc w:val="center"/>
    </w:pPr>
    <w:rPr>
      <w:rFonts w:ascii="Times New Roman" w:hAnsi="宋体" w:eastAsia="宋体" w:cs="Times New Roman"/>
      <w:sz w:val="18"/>
      <w:szCs w:val="18"/>
    </w:rPr>
  </w:style>
  <w:style w:type="paragraph" w:customStyle="1" w:styleId="64">
    <w:name w:val="Header Even"/>
    <w:basedOn w:val="25"/>
    <w:autoRedefine/>
    <w:qFormat/>
    <w:uiPriority w:val="0"/>
    <w:pPr>
      <w:keepLines/>
      <w:widowControl/>
      <w:pBdr>
        <w:bottom w:val="none" w:color="auto" w:sz="0" w:space="0"/>
      </w:pBdr>
      <w:tabs>
        <w:tab w:val="center" w:pos="4320"/>
        <w:tab w:val="right" w:pos="8640"/>
        <w:tab w:val="clear" w:pos="4153"/>
        <w:tab w:val="clear" w:pos="8306"/>
      </w:tabs>
      <w:overflowPunct w:val="0"/>
      <w:autoSpaceDE w:val="0"/>
      <w:autoSpaceDN w:val="0"/>
      <w:adjustRightInd w:val="0"/>
      <w:snapToGrid/>
      <w:jc w:val="left"/>
      <w:textAlignment w:val="baseline"/>
    </w:pPr>
    <w:rPr>
      <w:rFonts w:ascii="Times New Roman" w:hAnsi="Times New Roman" w:eastAsia="宋体" w:cs="Times New Roman"/>
      <w:kern w:val="0"/>
      <w:sz w:val="20"/>
      <w:szCs w:val="20"/>
    </w:rPr>
  </w:style>
  <w:style w:type="character" w:customStyle="1" w:styleId="65">
    <w:name w:val="文档结构图 Char"/>
    <w:basedOn w:val="38"/>
    <w:link w:val="15"/>
    <w:autoRedefine/>
    <w:semiHidden/>
    <w:qFormat/>
    <w:uiPriority w:val="99"/>
    <w:rPr>
      <w:rFonts w:ascii="宋体" w:eastAsia="宋体"/>
      <w:sz w:val="18"/>
      <w:szCs w:val="18"/>
    </w:rPr>
  </w:style>
  <w:style w:type="character" w:customStyle="1" w:styleId="66">
    <w:name w:val="批注文字 Char"/>
    <w:basedOn w:val="38"/>
    <w:link w:val="16"/>
    <w:autoRedefine/>
    <w:semiHidden/>
    <w:qFormat/>
    <w:uiPriority w:val="99"/>
  </w:style>
  <w:style w:type="character" w:customStyle="1" w:styleId="67">
    <w:name w:val="批注主题 Char"/>
    <w:basedOn w:val="66"/>
    <w:link w:val="34"/>
    <w:semiHidden/>
    <w:qFormat/>
    <w:uiPriority w:val="99"/>
    <w:rPr>
      <w:b/>
      <w:bCs/>
    </w:rPr>
  </w:style>
  <w:style w:type="paragraph" w:customStyle="1" w:styleId="68">
    <w:name w:val="表 头"/>
    <w:basedOn w:val="1"/>
    <w:link w:val="69"/>
    <w:autoRedefine/>
    <w:semiHidden/>
    <w:qFormat/>
    <w:uiPriority w:val="0"/>
    <w:pPr>
      <w:tabs>
        <w:tab w:val="left" w:pos="1418"/>
      </w:tabs>
      <w:adjustRightInd w:val="0"/>
      <w:spacing w:before="120" w:after="120" w:line="360" w:lineRule="atLeast"/>
      <w:ind w:right="-120"/>
      <w:jc w:val="center"/>
    </w:pPr>
    <w:rPr>
      <w:rFonts w:ascii="Times New Roman" w:hAnsi="Calibri" w:eastAsia="黑体" w:cs="Times New Roman"/>
      <w:b/>
      <w:color w:val="0000FF"/>
      <w:kern w:val="0"/>
      <w:sz w:val="21"/>
      <w:szCs w:val="20"/>
    </w:rPr>
  </w:style>
  <w:style w:type="character" w:customStyle="1" w:styleId="69">
    <w:name w:val="表 头 Char"/>
    <w:link w:val="68"/>
    <w:autoRedefine/>
    <w:semiHidden/>
    <w:qFormat/>
    <w:uiPriority w:val="0"/>
    <w:rPr>
      <w:rFonts w:ascii="Times New Roman" w:hAnsi="Calibri" w:eastAsia="黑体" w:cs="Times New Roman"/>
      <w:b/>
      <w:color w:val="0000FF"/>
      <w:kern w:val="0"/>
      <w:szCs w:val="20"/>
    </w:rPr>
  </w:style>
  <w:style w:type="character" w:customStyle="1" w:styleId="70">
    <w:name w:val="环科院正文 Char Char Char"/>
    <w:link w:val="71"/>
    <w:autoRedefine/>
    <w:qFormat/>
    <w:uiPriority w:val="0"/>
    <w:rPr>
      <w:sz w:val="24"/>
      <w:szCs w:val="24"/>
    </w:rPr>
  </w:style>
  <w:style w:type="paragraph" w:customStyle="1" w:styleId="71">
    <w:name w:val="环科院正文"/>
    <w:basedOn w:val="1"/>
    <w:link w:val="70"/>
    <w:autoRedefine/>
    <w:qFormat/>
    <w:uiPriority w:val="0"/>
    <w:pPr>
      <w:spacing w:line="300" w:lineRule="auto"/>
      <w:ind w:firstLine="480"/>
    </w:pPr>
    <w:rPr>
      <w:szCs w:val="24"/>
    </w:rPr>
  </w:style>
  <w:style w:type="paragraph" w:customStyle="1" w:styleId="72">
    <w:name w:val="仿宋正文"/>
    <w:basedOn w:val="1"/>
    <w:autoRedefine/>
    <w:qFormat/>
    <w:uiPriority w:val="0"/>
    <w:pPr>
      <w:tabs>
        <w:tab w:val="left" w:pos="1260"/>
      </w:tabs>
      <w:ind w:firstLine="480"/>
    </w:pPr>
    <w:rPr>
      <w:rFonts w:ascii="Times New Roman" w:hAnsi="Times New Roman" w:eastAsia="仿宋_GB2312" w:cs="Times New Roman"/>
      <w:color w:val="000000"/>
      <w:kern w:val="0"/>
      <w:szCs w:val="24"/>
    </w:rPr>
  </w:style>
  <w:style w:type="character" w:customStyle="1" w:styleId="73">
    <w:name w:val="正文样式 Char Char"/>
    <w:link w:val="74"/>
    <w:autoRedefine/>
    <w:qFormat/>
    <w:uiPriority w:val="0"/>
    <w:rPr>
      <w:rFonts w:cs="宋体"/>
      <w:sz w:val="24"/>
    </w:rPr>
  </w:style>
  <w:style w:type="paragraph" w:customStyle="1" w:styleId="74">
    <w:name w:val="正文样式"/>
    <w:basedOn w:val="1"/>
    <w:link w:val="73"/>
    <w:autoRedefine/>
    <w:qFormat/>
    <w:uiPriority w:val="0"/>
    <w:pPr>
      <w:ind w:firstLine="420"/>
    </w:pPr>
    <w:rPr>
      <w:rFonts w:cs="宋体"/>
    </w:rPr>
  </w:style>
  <w:style w:type="character" w:customStyle="1" w:styleId="75">
    <w:name w:val="标题 Char1"/>
    <w:link w:val="33"/>
    <w:autoRedefine/>
    <w:qFormat/>
    <w:uiPriority w:val="0"/>
    <w:rPr>
      <w:sz w:val="24"/>
      <w:szCs w:val="24"/>
    </w:rPr>
  </w:style>
  <w:style w:type="character" w:customStyle="1" w:styleId="76">
    <w:name w:val="标题 Char"/>
    <w:basedOn w:val="38"/>
    <w:autoRedefine/>
    <w:qFormat/>
    <w:uiPriority w:val="10"/>
    <w:rPr>
      <w:rFonts w:eastAsia="宋体" w:asciiTheme="majorHAnsi" w:hAnsiTheme="majorHAnsi" w:cstheme="majorBidi"/>
      <w:b/>
      <w:bCs/>
      <w:sz w:val="32"/>
      <w:szCs w:val="32"/>
    </w:rPr>
  </w:style>
  <w:style w:type="character" w:customStyle="1" w:styleId="77">
    <w:name w:val="标题 7 Char"/>
    <w:basedOn w:val="38"/>
    <w:link w:val="11"/>
    <w:autoRedefine/>
    <w:semiHidden/>
    <w:qFormat/>
    <w:uiPriority w:val="9"/>
    <w:rPr>
      <w:b/>
      <w:bCs/>
      <w:sz w:val="24"/>
      <w:szCs w:val="24"/>
    </w:rPr>
  </w:style>
  <w:style w:type="table" w:customStyle="1" w:styleId="78">
    <w:name w:val="网格型1"/>
    <w:basedOn w:val="3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79">
    <w:name w:val="网格型2"/>
    <w:basedOn w:val="3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80">
    <w:name w:val="报告书标题2"/>
    <w:basedOn w:val="7"/>
    <w:autoRedefine/>
    <w:qFormat/>
    <w:uiPriority w:val="0"/>
    <w:pPr>
      <w:spacing w:line="300" w:lineRule="auto"/>
    </w:pPr>
    <w:rPr>
      <w:rFonts w:ascii="黑体" w:hAnsi="黑体"/>
      <w:b w:val="0"/>
      <w:sz w:val="24"/>
      <w:szCs w:val="24"/>
    </w:rPr>
  </w:style>
  <w:style w:type="paragraph" w:customStyle="1" w:styleId="81">
    <w:name w:val="正文01"/>
    <w:basedOn w:val="13"/>
    <w:link w:val="82"/>
    <w:autoRedefine/>
    <w:qFormat/>
    <w:uiPriority w:val="0"/>
    <w:pPr>
      <w:ind w:firstLine="480"/>
    </w:pPr>
    <w:rPr>
      <w:rFonts w:ascii="Times New Roman" w:hAnsi="Times New Roman" w:cs="Times New Roman"/>
      <w:szCs w:val="20"/>
    </w:rPr>
  </w:style>
  <w:style w:type="character" w:customStyle="1" w:styleId="82">
    <w:name w:val="正文01 Char"/>
    <w:basedOn w:val="38"/>
    <w:link w:val="81"/>
    <w:autoRedefine/>
    <w:qFormat/>
    <w:uiPriority w:val="0"/>
    <w:rPr>
      <w:rFonts w:ascii="Times New Roman" w:hAnsi="Times New Roman"/>
      <w:kern w:val="2"/>
      <w:sz w:val="24"/>
    </w:rPr>
  </w:style>
  <w:style w:type="paragraph" w:customStyle="1" w:styleId="83">
    <w:name w:val="表格内容"/>
    <w:basedOn w:val="1"/>
    <w:next w:val="1"/>
    <w:autoRedefine/>
    <w:qFormat/>
    <w:uiPriority w:val="0"/>
    <w:pPr>
      <w:spacing w:line="0" w:lineRule="atLeast"/>
      <w:ind w:firstLine="0" w:firstLineChars="0"/>
      <w:jc w:val="center"/>
    </w:pPr>
    <w:rPr>
      <w:rFonts w:ascii="Times New Roman" w:hAnsi="Times New Roman" w:eastAsia="宋体" w:cs="Times New Roman"/>
      <w:szCs w:val="28"/>
    </w:rPr>
  </w:style>
  <w:style w:type="paragraph" w:customStyle="1" w:styleId="84">
    <w:name w:val="表格00"/>
    <w:basedOn w:val="1"/>
    <w:autoRedefine/>
    <w:qFormat/>
    <w:uiPriority w:val="0"/>
    <w:pPr>
      <w:spacing w:line="240" w:lineRule="auto"/>
      <w:ind w:firstLine="0" w:firstLineChars="0"/>
      <w:jc w:val="center"/>
    </w:pPr>
    <w:rPr>
      <w:rFonts w:ascii="Times New Roman" w:hAnsi="Times New Roman" w:eastAsia="仿宋" w:cs="Times New Roman"/>
      <w:szCs w:val="20"/>
    </w:rPr>
  </w:style>
  <w:style w:type="paragraph" w:customStyle="1" w:styleId="85">
    <w:name w:val="表格"/>
    <w:basedOn w:val="1"/>
    <w:autoRedefine/>
    <w:qFormat/>
    <w:uiPriority w:val="0"/>
    <w:pPr>
      <w:spacing w:line="300" w:lineRule="auto"/>
      <w:jc w:val="center"/>
    </w:pPr>
    <w:rPr>
      <w:szCs w:val="21"/>
    </w:rPr>
  </w:style>
  <w:style w:type="paragraph" w:customStyle="1" w:styleId="86">
    <w:name w:val="表内格式"/>
    <w:basedOn w:val="1"/>
    <w:next w:val="1"/>
    <w:link w:val="87"/>
    <w:autoRedefine/>
    <w:qFormat/>
    <w:uiPriority w:val="0"/>
    <w:pPr>
      <w:spacing w:line="0" w:lineRule="atLeast"/>
      <w:ind w:firstLine="0" w:firstLineChars="0"/>
      <w:jc w:val="center"/>
    </w:pPr>
    <w:rPr>
      <w:rFonts w:ascii="Times New Roman" w:hAnsi="Times New Roman" w:eastAsia="宋体" w:cs="Times New Roman"/>
      <w:sz w:val="18"/>
      <w:szCs w:val="20"/>
    </w:rPr>
  </w:style>
  <w:style w:type="character" w:customStyle="1" w:styleId="87">
    <w:name w:val="表内格式 Char1"/>
    <w:link w:val="86"/>
    <w:autoRedefine/>
    <w:qFormat/>
    <w:uiPriority w:val="0"/>
    <w:rPr>
      <w:rFonts w:ascii="Times New Roman" w:hAnsi="Times New Roman"/>
      <w:kern w:val="2"/>
      <w:sz w:val="18"/>
    </w:rPr>
  </w:style>
  <w:style w:type="character" w:customStyle="1" w:styleId="88">
    <w:name w:val="表头样式1 Char1"/>
    <w:link w:val="89"/>
    <w:autoRedefine/>
    <w:qFormat/>
    <w:uiPriority w:val="0"/>
    <w:rPr>
      <w:rFonts w:hAnsi="黑体" w:eastAsia="黑体"/>
      <w:b/>
      <w:kern w:val="2"/>
      <w:sz w:val="24"/>
    </w:rPr>
  </w:style>
  <w:style w:type="paragraph" w:customStyle="1" w:styleId="89">
    <w:name w:val="表头样式1"/>
    <w:basedOn w:val="1"/>
    <w:link w:val="88"/>
    <w:autoRedefine/>
    <w:qFormat/>
    <w:uiPriority w:val="0"/>
    <w:pPr>
      <w:spacing w:before="120" w:beforeLines="50" w:line="240" w:lineRule="auto"/>
      <w:ind w:firstLine="0" w:firstLineChars="0"/>
      <w:jc w:val="center"/>
    </w:pPr>
    <w:rPr>
      <w:rFonts w:ascii="Calibri" w:hAnsi="黑体" w:eastAsia="黑体" w:cs="Times New Roman"/>
      <w:b/>
      <w:szCs w:val="20"/>
    </w:rPr>
  </w:style>
  <w:style w:type="character" w:customStyle="1" w:styleId="90">
    <w:name w:val="君邦表内格式 Char Char"/>
    <w:link w:val="91"/>
    <w:autoRedefine/>
    <w:qFormat/>
    <w:uiPriority w:val="0"/>
    <w:rPr>
      <w:kern w:val="2"/>
      <w:sz w:val="18"/>
    </w:rPr>
  </w:style>
  <w:style w:type="paragraph" w:customStyle="1" w:styleId="91">
    <w:name w:val="君邦表内格式"/>
    <w:basedOn w:val="1"/>
    <w:link w:val="90"/>
    <w:autoRedefine/>
    <w:qFormat/>
    <w:uiPriority w:val="0"/>
    <w:pPr>
      <w:spacing w:line="240" w:lineRule="auto"/>
      <w:ind w:firstLine="0" w:firstLineChars="0"/>
      <w:jc w:val="center"/>
    </w:pPr>
    <w:rPr>
      <w:rFonts w:ascii="Calibri" w:hAnsi="Calibri" w:eastAsia="宋体" w:cs="Times New Roman"/>
      <w:sz w:val="18"/>
      <w:szCs w:val="20"/>
    </w:rPr>
  </w:style>
  <w:style w:type="character" w:customStyle="1" w:styleId="92">
    <w:name w:val="君邦正文 Char2"/>
    <w:link w:val="93"/>
    <w:autoRedefine/>
    <w:qFormat/>
    <w:uiPriority w:val="0"/>
    <w:rPr>
      <w:bCs/>
      <w:snapToGrid w:val="0"/>
      <w:sz w:val="24"/>
    </w:rPr>
  </w:style>
  <w:style w:type="paragraph" w:customStyle="1" w:styleId="93">
    <w:name w:val="君邦正文"/>
    <w:link w:val="92"/>
    <w:autoRedefine/>
    <w:qFormat/>
    <w:uiPriority w:val="0"/>
    <w:pPr>
      <w:spacing w:after="60" w:line="360" w:lineRule="auto"/>
      <w:ind w:firstLine="200" w:firstLineChars="200"/>
      <w:jc w:val="both"/>
    </w:pPr>
    <w:rPr>
      <w:rFonts w:ascii="Calibri" w:hAnsi="Calibri" w:eastAsia="宋体" w:cs="Times New Roman"/>
      <w:bCs/>
      <w:snapToGrid w:val="0"/>
      <w:sz w:val="24"/>
      <w:lang w:val="en-US" w:eastAsia="zh-CN" w:bidi="ar-SA"/>
    </w:rPr>
  </w:style>
  <w:style w:type="character" w:customStyle="1" w:styleId="94">
    <w:name w:val="正文缩进 Char2"/>
    <w:autoRedefine/>
    <w:qFormat/>
    <w:uiPriority w:val="0"/>
    <w:rPr>
      <w:rFonts w:eastAsia="宋体"/>
      <w:kern w:val="2"/>
      <w:sz w:val="24"/>
      <w:lang w:val="en-US" w:eastAsia="zh-CN" w:bidi="ar-SA"/>
    </w:rPr>
  </w:style>
  <w:style w:type="character" w:customStyle="1" w:styleId="95">
    <w:name w:val="君邦正文格式 Char"/>
    <w:basedOn w:val="92"/>
    <w:link w:val="96"/>
    <w:autoRedefine/>
    <w:qFormat/>
    <w:uiPriority w:val="0"/>
    <w:rPr>
      <w:snapToGrid w:val="0"/>
      <w:sz w:val="24"/>
    </w:rPr>
  </w:style>
  <w:style w:type="paragraph" w:customStyle="1" w:styleId="96">
    <w:name w:val="君邦正文格式"/>
    <w:basedOn w:val="93"/>
    <w:link w:val="95"/>
    <w:autoRedefine/>
    <w:qFormat/>
    <w:uiPriority w:val="0"/>
  </w:style>
  <w:style w:type="paragraph" w:customStyle="1" w:styleId="97">
    <w:name w:val="慧智正文"/>
    <w:autoRedefine/>
    <w:qFormat/>
    <w:uiPriority w:val="0"/>
    <w:pPr>
      <w:adjustRightInd w:val="0"/>
      <w:snapToGrid w:val="0"/>
      <w:spacing w:line="360" w:lineRule="auto"/>
      <w:ind w:firstLine="200" w:firstLineChars="200"/>
      <w:jc w:val="both"/>
    </w:pPr>
    <w:rPr>
      <w:rFonts w:ascii="Times New Roman" w:hAnsi="Times New Roman" w:eastAsia="宋体" w:cs="Times New Roman"/>
      <w:bCs/>
      <w:snapToGrid w:val="0"/>
      <w:kern w:val="2"/>
      <w:sz w:val="24"/>
      <w:szCs w:val="21"/>
      <w:lang w:val="en-US" w:eastAsia="zh-CN" w:bidi="ar-SA"/>
    </w:rPr>
  </w:style>
  <w:style w:type="paragraph" w:customStyle="1" w:styleId="98">
    <w:name w:val="慧智表头"/>
    <w:basedOn w:val="1"/>
    <w:autoRedefine/>
    <w:qFormat/>
    <w:uiPriority w:val="0"/>
    <w:pPr>
      <w:spacing w:before="50" w:beforeLines="50"/>
      <w:jc w:val="center"/>
    </w:pPr>
    <w:rPr>
      <w:rFonts w:ascii="Calibri" w:hAnsi="Calibri" w:eastAsia="黑体" w:cs="宋体"/>
      <w:b/>
      <w:bCs/>
    </w:rPr>
  </w:style>
  <w:style w:type="paragraph" w:customStyle="1" w:styleId="99">
    <w:name w:val="慧智表格"/>
    <w:basedOn w:val="97"/>
    <w:autoRedefine/>
    <w:qFormat/>
    <w:uiPriority w:val="0"/>
    <w:pPr>
      <w:spacing w:line="240" w:lineRule="auto"/>
      <w:ind w:firstLine="0" w:firstLineChars="0"/>
      <w:jc w:val="center"/>
    </w:pPr>
    <w:rPr>
      <w:sz w:val="18"/>
    </w:rPr>
  </w:style>
  <w:style w:type="character" w:customStyle="1" w:styleId="100">
    <w:name w:val="正文文本 Char"/>
    <w:basedOn w:val="38"/>
    <w:link w:val="17"/>
    <w:autoRedefine/>
    <w:qFormat/>
    <w:uiPriority w:val="99"/>
    <w:rPr>
      <w:rFonts w:hint="default" w:ascii="Calibri" w:hAnsi="Calibri" w:eastAsia="宋体" w:cs="Times New Roman"/>
      <w:kern w:val="2"/>
      <w:sz w:val="24"/>
      <w:szCs w:val="22"/>
    </w:rPr>
  </w:style>
  <w:style w:type="paragraph" w:customStyle="1" w:styleId="101">
    <w:name w:val="修订1"/>
    <w:autoRedefine/>
    <w:hidden/>
    <w:unhideWhenUsed/>
    <w:qFormat/>
    <w:uiPriority w:val="99"/>
    <w:rPr>
      <w:rFonts w:asciiTheme="minorHAnsi" w:hAnsiTheme="minorHAnsi" w:eastAsiaTheme="minorEastAsia" w:cstheme="minorBidi"/>
      <w:kern w:val="2"/>
      <w:sz w:val="24"/>
      <w:szCs w:val="22"/>
      <w:lang w:val="en-US" w:eastAsia="zh-CN" w:bidi="ar-SA"/>
    </w:rPr>
  </w:style>
  <w:style w:type="paragraph" w:customStyle="1" w:styleId="102">
    <w:name w:val="1正文"/>
    <w:basedOn w:val="1"/>
    <w:autoRedefine/>
    <w:qFormat/>
    <w:uiPriority w:val="0"/>
    <w:pPr>
      <w:adjustRightInd w:val="0"/>
      <w:snapToGrid w:val="0"/>
      <w:ind w:firstLine="560"/>
    </w:pPr>
    <w:rPr>
      <w:rFonts w:eastAsia="仿宋_GB2312"/>
      <w:sz w:val="28"/>
      <w:szCs w:val="20"/>
    </w:rPr>
  </w:style>
  <w:style w:type="paragraph" w:customStyle="1" w:styleId="103">
    <w:name w:val="Table Paragraph"/>
    <w:basedOn w:val="1"/>
    <w:autoRedefine/>
    <w:qFormat/>
    <w:uiPriority w:val="1"/>
    <w:pPr>
      <w:jc w:val="center"/>
    </w:pPr>
    <w:rPr>
      <w:rFonts w:ascii="宋体" w:hAnsi="宋体" w:eastAsia="宋体" w:cs="宋体"/>
      <w:lang w:val="zh-CN" w:bidi="zh-CN"/>
    </w:rPr>
  </w:style>
  <w:style w:type="paragraph" w:customStyle="1" w:styleId="104">
    <w:name w:val="表头"/>
    <w:basedOn w:val="1"/>
    <w:next w:val="1"/>
    <w:link w:val="107"/>
    <w:autoRedefine/>
    <w:qFormat/>
    <w:uiPriority w:val="0"/>
    <w:pPr>
      <w:ind w:firstLine="0" w:firstLineChars="0"/>
      <w:jc w:val="center"/>
    </w:pPr>
    <w:rPr>
      <w:b/>
      <w:bCs/>
    </w:rPr>
  </w:style>
  <w:style w:type="paragraph" w:customStyle="1" w:styleId="105">
    <w:name w:val="表格内容字体"/>
    <w:basedOn w:val="1"/>
    <w:autoRedefine/>
    <w:qFormat/>
    <w:uiPriority w:val="0"/>
    <w:pPr>
      <w:spacing w:line="320" w:lineRule="exact"/>
      <w:ind w:firstLine="0" w:firstLineChars="0"/>
      <w:jc w:val="center"/>
    </w:pPr>
    <w:rPr>
      <w:rFonts w:eastAsia="仿宋_GB2312"/>
      <w:sz w:val="21"/>
    </w:rPr>
  </w:style>
  <w:style w:type="paragraph" w:customStyle="1" w:styleId="106">
    <w:name w:val="w正文"/>
    <w:basedOn w:val="1"/>
    <w:autoRedefine/>
    <w:qFormat/>
    <w:uiPriority w:val="0"/>
    <w:pPr>
      <w:ind w:firstLine="480"/>
    </w:pPr>
    <w:rPr>
      <w:rFonts w:eastAsia="仿宋_GB2312"/>
      <w:color w:val="000000"/>
      <w:szCs w:val="30"/>
    </w:rPr>
  </w:style>
  <w:style w:type="character" w:customStyle="1" w:styleId="107">
    <w:name w:val="表头 Char"/>
    <w:link w:val="104"/>
    <w:autoRedefine/>
    <w:qFormat/>
    <w:uiPriority w:val="0"/>
    <w:rPr>
      <w:b/>
      <w:bCs/>
    </w:rPr>
  </w:style>
  <w:style w:type="paragraph" w:customStyle="1" w:styleId="108">
    <w:name w:val="xl27"/>
    <w:basedOn w:val="1"/>
    <w:next w:val="109"/>
    <w:autoRedefine/>
    <w:qFormat/>
    <w:uiPriority w:val="0"/>
    <w:pPr>
      <w:widowControl/>
      <w:pBdr>
        <w:left w:val="single" w:color="auto" w:sz="4" w:space="0"/>
      </w:pBdr>
      <w:spacing w:before="100" w:beforeAutospacing="1" w:after="100" w:afterAutospacing="1"/>
      <w:jc w:val="center"/>
    </w:pPr>
    <w:rPr>
      <w:rFonts w:ascii="Times New Roman" w:hAnsi="Times New Roman" w:eastAsia="Arial Unicode MS"/>
      <w:kern w:val="0"/>
      <w:szCs w:val="21"/>
    </w:rPr>
  </w:style>
  <w:style w:type="paragraph" w:customStyle="1" w:styleId="109">
    <w:name w:val="7级正文"/>
    <w:basedOn w:val="1"/>
    <w:autoRedefine/>
    <w:qFormat/>
    <w:uiPriority w:val="0"/>
    <w:pPr>
      <w:ind w:firstLine="480"/>
    </w:pPr>
  </w:style>
  <w:style w:type="paragraph" w:customStyle="1" w:styleId="110">
    <w:name w:val="默认段落字体 Para Char Char Char Char Char Char Char Char Char1 Char"/>
    <w:basedOn w:val="1"/>
    <w:autoRedefine/>
    <w:qFormat/>
    <w:uiPriority w:val="0"/>
    <w:pPr>
      <w:spacing w:line="240" w:lineRule="auto"/>
      <w:ind w:firstLine="0" w:firstLineChars="0"/>
    </w:pPr>
    <w:rPr>
      <w:rFonts w:ascii="Tahoma" w:hAnsi="Tahoma" w:eastAsia="宋体" w:cs="Times New Roman"/>
      <w:szCs w:val="20"/>
    </w:rPr>
  </w:style>
  <w:style w:type="character" w:customStyle="1" w:styleId="111">
    <w:name w:val="Default Char"/>
    <w:link w:val="2"/>
    <w:autoRedefine/>
    <w:unhideWhenUsed/>
    <w:qFormat/>
    <w:uiPriority w:val="0"/>
    <w:rPr>
      <w:rFonts w:ascii="仿宋" w:eastAsia="仿宋" w:cs="仿宋" w:hAnsiTheme="minorHAnsi"/>
      <w:color w:val="000000"/>
      <w:sz w:val="24"/>
      <w:szCs w:val="24"/>
    </w:rPr>
  </w:style>
  <w:style w:type="character" w:customStyle="1" w:styleId="112">
    <w:name w:val="正文首行缩进 Char"/>
    <w:link w:val="35"/>
    <w:autoRedefine/>
    <w:qFormat/>
    <w:uiPriority w:val="0"/>
    <w:rPr>
      <w:kern w:val="2"/>
      <w:sz w:val="28"/>
      <w:szCs w:val="22"/>
    </w:rPr>
  </w:style>
  <w:style w:type="character" w:customStyle="1" w:styleId="113">
    <w:name w:val="正文首行缩进 Char1"/>
    <w:basedOn w:val="100"/>
    <w:autoRedefine/>
    <w:semiHidden/>
    <w:qFormat/>
    <w:uiPriority w:val="99"/>
    <w:rPr>
      <w:rFonts w:hint="default" w:asciiTheme="minorHAnsi" w:hAnsiTheme="minorHAnsi" w:eastAsiaTheme="minorEastAsia" w:cstheme="minorBidi"/>
      <w:kern w:val="2"/>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19.jpeg"/><Relationship Id="rId46" Type="http://schemas.openxmlformats.org/officeDocument/2006/relationships/image" Target="media/image18.jpeg"/><Relationship Id="rId45" Type="http://schemas.openxmlformats.org/officeDocument/2006/relationships/image" Target="media/image17.jpeg"/><Relationship Id="rId44" Type="http://schemas.openxmlformats.org/officeDocument/2006/relationships/image" Target="media/image16.jpeg"/><Relationship Id="rId43" Type="http://schemas.openxmlformats.org/officeDocument/2006/relationships/image" Target="media/image15.jpeg"/><Relationship Id="rId42" Type="http://schemas.openxmlformats.org/officeDocument/2006/relationships/image" Target="media/image14.jpeg"/><Relationship Id="rId41" Type="http://schemas.openxmlformats.org/officeDocument/2006/relationships/image" Target="media/image13.jpeg"/><Relationship Id="rId40" Type="http://schemas.openxmlformats.org/officeDocument/2006/relationships/image" Target="media/image12.jpeg"/><Relationship Id="rId4" Type="http://schemas.openxmlformats.org/officeDocument/2006/relationships/endnotes" Target="endnotes.xml"/><Relationship Id="rId39" Type="http://schemas.openxmlformats.org/officeDocument/2006/relationships/image" Target="media/image11.png"/><Relationship Id="rId38" Type="http://schemas.openxmlformats.org/officeDocument/2006/relationships/image" Target="media/image10.emf"/><Relationship Id="rId37" Type="http://schemas.openxmlformats.org/officeDocument/2006/relationships/oleObject" Target="embeddings/oleObject5.bin"/><Relationship Id="rId36" Type="http://schemas.openxmlformats.org/officeDocument/2006/relationships/image" Target="media/image9.emf"/><Relationship Id="rId35" Type="http://schemas.openxmlformats.org/officeDocument/2006/relationships/oleObject" Target="embeddings/oleObject4.bin"/><Relationship Id="rId34" Type="http://schemas.openxmlformats.org/officeDocument/2006/relationships/image" Target="media/image8.png"/><Relationship Id="rId33" Type="http://schemas.openxmlformats.org/officeDocument/2006/relationships/image" Target="media/image7.emf"/><Relationship Id="rId32" Type="http://schemas.openxmlformats.org/officeDocument/2006/relationships/oleObject" Target="embeddings/oleObject3.bin"/><Relationship Id="rId31" Type="http://schemas.openxmlformats.org/officeDocument/2006/relationships/image" Target="media/image6.png"/><Relationship Id="rId30" Type="http://schemas.openxmlformats.org/officeDocument/2006/relationships/image" Target="media/image5.emf"/><Relationship Id="rId3" Type="http://schemas.openxmlformats.org/officeDocument/2006/relationships/footnotes" Target="footnotes.xml"/><Relationship Id="rId29" Type="http://schemas.openxmlformats.org/officeDocument/2006/relationships/oleObject" Target="embeddings/oleObject2.bin"/><Relationship Id="rId28" Type="http://schemas.openxmlformats.org/officeDocument/2006/relationships/image" Target="media/image4.emf"/><Relationship Id="rId27" Type="http://schemas.openxmlformats.org/officeDocument/2006/relationships/oleObject" Target="embeddings/oleObject1.bin"/><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04CADA-1070-4019-AE9D-8475BEAAF1B4}">
  <ds:schemaRefs/>
</ds:datastoreItem>
</file>

<file path=docProps/app.xml><?xml version="1.0" encoding="utf-8"?>
<Properties xmlns="http://schemas.openxmlformats.org/officeDocument/2006/extended-properties" xmlns:vt="http://schemas.openxmlformats.org/officeDocument/2006/docPropsVTypes">
  <Template>Normal.dotm</Template>
  <Company>中国石油大学</Company>
  <Pages>118</Pages>
  <Words>12448</Words>
  <Characters>70956</Characters>
  <Lines>591</Lines>
  <Paragraphs>166</Paragraphs>
  <TotalTime>3</TotalTime>
  <ScaleCrop>false</ScaleCrop>
  <LinksUpToDate>false</LinksUpToDate>
  <CharactersWithSpaces>83238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2024-02-25T01:27:00Z</dcterms:created>
  <dc:creator>WISDRI_SSD</dc:creator>
  <cp:lastModifiedBy>李也</cp:lastModifiedBy>
  <cp:lastPrinted>2020-12-28T13:31:00Z</cp:lastPrinted>
  <dcterms:modified xsi:type="dcterms:W3CDTF">2024-02-27T06:55:49Z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01E4AC8AC1B44405A3DA1F027CDEC197_13</vt:lpwstr>
  </property>
</Properties>
</file>