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tabs>
          <w:tab w:val="left" w:pos="8104"/>
          <w:tab w:val="left" w:pos="8135"/>
        </w:tabs>
        <w:spacing w:before="63" w:line="266" w:lineRule="auto"/>
        <w:ind w:left="7008" w:right="237" w:hanging="120"/>
        <w:rPr>
          <w:rFonts w:ascii="宋体" w:eastAsia="宋体"/>
        </w:rPr>
      </w:pPr>
      <w:r>
        <w:rPr>
          <w:rFonts w:hint="eastAsia" w:ascii="宋体" w:eastAsia="宋体"/>
        </w:rPr>
        <w:t>预案编号</w:t>
      </w:r>
      <w:r>
        <w:rPr>
          <w:rFonts w:hint="eastAsia" w:ascii="宋体" w:eastAsia="宋体"/>
        </w:rPr>
        <w:tab/>
      </w:r>
      <w:r>
        <w:rPr>
          <w:rFonts w:hint="eastAsia" w:ascii="宋体" w:eastAsia="宋体"/>
        </w:rPr>
        <w:tab/>
      </w:r>
      <w:r>
        <w:rPr>
          <w:rFonts w:hint="eastAsia" w:ascii="宋体" w:eastAsia="宋体"/>
          <w:lang w:val="en-US"/>
        </w:rPr>
        <w:t>TBFS</w:t>
      </w:r>
      <w:r>
        <w:rPr>
          <w:rFonts w:ascii="Times New Roman" w:eastAsia="Times New Roman"/>
        </w:rPr>
        <w:t>202</w:t>
      </w:r>
      <w:r>
        <w:rPr>
          <w:rFonts w:hint="eastAsia" w:ascii="Times New Roman" w:eastAsia="宋体"/>
          <w:lang w:val="en-US"/>
        </w:rPr>
        <w:t>2</w:t>
      </w:r>
      <w:r>
        <w:rPr>
          <w:rFonts w:ascii="Times New Roman" w:eastAsia="Times New Roman"/>
        </w:rPr>
        <w:t>001</w:t>
      </w:r>
      <w:r>
        <w:rPr>
          <w:rFonts w:ascii="Times New Roman" w:eastAsia="Times New Roman"/>
          <w:spacing w:val="-4"/>
        </w:rPr>
        <w:t xml:space="preserve"> </w:t>
      </w:r>
      <w:r>
        <w:rPr>
          <w:rFonts w:hint="eastAsia" w:ascii="宋体" w:eastAsia="宋体"/>
        </w:rPr>
        <w:t>号版本号</w:t>
      </w:r>
      <w:r>
        <w:rPr>
          <w:rFonts w:hint="eastAsia" w:ascii="宋体" w:eastAsia="宋体"/>
        </w:rPr>
        <w:tab/>
      </w:r>
      <w:r>
        <w:rPr>
          <w:rFonts w:ascii="Times New Roman" w:eastAsia="Times New Roman"/>
        </w:rPr>
        <w:t>202</w:t>
      </w:r>
      <w:r>
        <w:rPr>
          <w:rFonts w:hint="eastAsia" w:ascii="Times New Roman" w:eastAsia="宋体"/>
          <w:lang w:val="en-US"/>
        </w:rPr>
        <w:t>2</w:t>
      </w:r>
      <w:r>
        <w:rPr>
          <w:rFonts w:hint="eastAsia" w:ascii="宋体" w:eastAsia="宋体"/>
        </w:rPr>
        <w:t>年</w:t>
      </w:r>
      <w:r>
        <w:rPr>
          <w:rFonts w:hint="eastAsia" w:ascii="宋体" w:eastAsia="宋体"/>
          <w:spacing w:val="-48"/>
        </w:rPr>
        <w:t>第</w:t>
      </w:r>
      <w:r>
        <w:rPr>
          <w:rFonts w:hint="eastAsia" w:ascii="宋体" w:eastAsia="宋体"/>
        </w:rPr>
        <w:t>（一</w:t>
      </w:r>
      <w:r>
        <w:rPr>
          <w:rFonts w:hint="eastAsia" w:ascii="宋体" w:eastAsia="宋体"/>
          <w:spacing w:val="-51"/>
        </w:rPr>
        <w:t>）</w:t>
      </w:r>
      <w:r>
        <w:rPr>
          <w:rFonts w:hint="eastAsia" w:ascii="宋体" w:eastAsia="宋体"/>
          <w:spacing w:val="-16"/>
        </w:rPr>
        <w:t>版</w:t>
      </w:r>
    </w:p>
    <w:p>
      <w:pPr>
        <w:pStyle w:val="10"/>
        <w:rPr>
          <w:rFonts w:ascii="宋体"/>
          <w:b/>
          <w:sz w:val="26"/>
        </w:rPr>
      </w:pPr>
    </w:p>
    <w:p>
      <w:pPr>
        <w:pStyle w:val="10"/>
        <w:rPr>
          <w:rFonts w:ascii="宋体"/>
          <w:b/>
          <w:sz w:val="26"/>
        </w:rPr>
      </w:pPr>
    </w:p>
    <w:p>
      <w:pPr>
        <w:pStyle w:val="10"/>
        <w:rPr>
          <w:rFonts w:ascii="宋体"/>
          <w:b/>
          <w:sz w:val="26"/>
        </w:rPr>
      </w:pPr>
    </w:p>
    <w:p>
      <w:pPr>
        <w:pStyle w:val="10"/>
        <w:rPr>
          <w:rFonts w:ascii="宋体"/>
          <w:b/>
          <w:sz w:val="26"/>
        </w:rPr>
      </w:pPr>
    </w:p>
    <w:p>
      <w:pPr>
        <w:pStyle w:val="10"/>
        <w:rPr>
          <w:rFonts w:ascii="宋体"/>
          <w:b/>
          <w:sz w:val="26"/>
        </w:rPr>
      </w:pPr>
    </w:p>
    <w:p>
      <w:pPr>
        <w:pStyle w:val="10"/>
        <w:rPr>
          <w:rFonts w:ascii="宋体"/>
          <w:b/>
          <w:sz w:val="26"/>
        </w:rPr>
      </w:pPr>
    </w:p>
    <w:p>
      <w:pPr>
        <w:pStyle w:val="10"/>
        <w:rPr>
          <w:rFonts w:ascii="宋体"/>
          <w:b/>
          <w:sz w:val="26"/>
        </w:rPr>
      </w:pPr>
    </w:p>
    <w:p>
      <w:pPr>
        <w:pStyle w:val="10"/>
        <w:rPr>
          <w:rFonts w:ascii="宋体"/>
          <w:b/>
          <w:sz w:val="26"/>
        </w:rPr>
      </w:pPr>
    </w:p>
    <w:p>
      <w:pPr>
        <w:pStyle w:val="10"/>
        <w:rPr>
          <w:rFonts w:ascii="宋体"/>
          <w:b/>
          <w:sz w:val="26"/>
        </w:rPr>
      </w:pPr>
    </w:p>
    <w:p>
      <w:pPr>
        <w:pStyle w:val="10"/>
        <w:rPr>
          <w:rFonts w:ascii="宋体"/>
          <w:b/>
          <w:sz w:val="26"/>
        </w:rPr>
      </w:pPr>
    </w:p>
    <w:p>
      <w:pPr>
        <w:pStyle w:val="10"/>
        <w:spacing w:before="1"/>
        <w:rPr>
          <w:rFonts w:ascii="宋体"/>
          <w:b/>
          <w:sz w:val="21"/>
        </w:rPr>
      </w:pPr>
    </w:p>
    <w:p>
      <w:pPr>
        <w:spacing w:before="1"/>
        <w:ind w:left="3" w:right="1"/>
        <w:jc w:val="center"/>
        <w:rPr>
          <w:rFonts w:ascii="宋体" w:eastAsia="宋体"/>
          <w:b/>
          <w:sz w:val="64"/>
        </w:rPr>
      </w:pPr>
      <w:r>
        <w:rPr>
          <w:rFonts w:hint="eastAsia" w:ascii="宋体" w:eastAsia="宋体"/>
          <w:b/>
          <w:sz w:val="64"/>
        </w:rPr>
        <w:t>突发环境事件应急预案</w:t>
      </w:r>
    </w:p>
    <w:p>
      <w:pPr>
        <w:pStyle w:val="10"/>
        <w:rPr>
          <w:rFonts w:ascii="宋体"/>
          <w:b/>
          <w:sz w:val="64"/>
        </w:rPr>
      </w:pPr>
    </w:p>
    <w:p>
      <w:pPr>
        <w:pStyle w:val="10"/>
        <w:rPr>
          <w:rFonts w:ascii="宋体"/>
          <w:b/>
          <w:sz w:val="64"/>
        </w:rPr>
      </w:pPr>
    </w:p>
    <w:p>
      <w:pPr>
        <w:pStyle w:val="10"/>
        <w:rPr>
          <w:rFonts w:ascii="宋体"/>
          <w:b/>
          <w:sz w:val="64"/>
        </w:rPr>
      </w:pPr>
    </w:p>
    <w:p>
      <w:pPr>
        <w:pStyle w:val="10"/>
        <w:rPr>
          <w:rFonts w:ascii="宋体"/>
          <w:b/>
          <w:sz w:val="64"/>
        </w:rPr>
      </w:pPr>
    </w:p>
    <w:p>
      <w:pPr>
        <w:pStyle w:val="10"/>
        <w:rPr>
          <w:rFonts w:ascii="宋体"/>
          <w:b/>
          <w:sz w:val="64"/>
        </w:rPr>
      </w:pPr>
    </w:p>
    <w:p>
      <w:pPr>
        <w:pStyle w:val="10"/>
        <w:rPr>
          <w:rFonts w:ascii="宋体"/>
          <w:b/>
          <w:sz w:val="64"/>
        </w:rPr>
      </w:pPr>
    </w:p>
    <w:p>
      <w:pPr>
        <w:pStyle w:val="10"/>
        <w:rPr>
          <w:rFonts w:ascii="宋体"/>
          <w:b/>
          <w:sz w:val="64"/>
        </w:rPr>
      </w:pPr>
    </w:p>
    <w:p>
      <w:pPr>
        <w:pStyle w:val="10"/>
        <w:rPr>
          <w:rFonts w:ascii="宋体"/>
          <w:b/>
          <w:sz w:val="64"/>
        </w:rPr>
      </w:pPr>
    </w:p>
    <w:p>
      <w:pPr>
        <w:pStyle w:val="10"/>
        <w:spacing w:before="8"/>
        <w:rPr>
          <w:rFonts w:ascii="宋体"/>
          <w:b/>
          <w:sz w:val="47"/>
        </w:rPr>
      </w:pPr>
    </w:p>
    <w:p>
      <w:pPr>
        <w:spacing w:before="1" w:line="362" w:lineRule="auto"/>
        <w:ind w:right="2942"/>
        <w:jc w:val="center"/>
        <w:rPr>
          <w:rFonts w:ascii="宋体" w:eastAsia="宋体"/>
          <w:b/>
          <w:sz w:val="36"/>
        </w:rPr>
      </w:pPr>
      <w:r>
        <w:rPr>
          <w:rFonts w:hint="eastAsia" w:ascii="宋体" w:eastAsia="宋体"/>
          <w:b/>
          <w:sz w:val="36"/>
          <w:lang w:val="en-US"/>
        </w:rPr>
        <w:t xml:space="preserve">           </w:t>
      </w:r>
      <w:r>
        <w:rPr>
          <w:rFonts w:hint="eastAsia" w:ascii="宋体" w:eastAsia="宋体"/>
          <w:b/>
          <w:sz w:val="36"/>
        </w:rPr>
        <w:t>赤壁市泰博服饰股份有限公司</w:t>
      </w:r>
    </w:p>
    <w:p>
      <w:pPr>
        <w:spacing w:before="1" w:line="362" w:lineRule="auto"/>
        <w:ind w:right="2942"/>
        <w:jc w:val="center"/>
        <w:rPr>
          <w:rFonts w:ascii="宋体" w:eastAsia="宋体"/>
          <w:b/>
          <w:sz w:val="36"/>
        </w:rPr>
      </w:pPr>
      <w:r>
        <w:rPr>
          <w:rFonts w:hint="eastAsia" w:ascii="宋体" w:eastAsia="宋体"/>
          <w:b/>
          <w:sz w:val="36"/>
          <w:lang w:val="en-US"/>
        </w:rPr>
        <w:t xml:space="preserve">           2022年6月</w:t>
      </w:r>
    </w:p>
    <w:p>
      <w:pPr>
        <w:spacing w:line="362" w:lineRule="auto"/>
        <w:jc w:val="center"/>
        <w:rPr>
          <w:rFonts w:ascii="宋体" w:eastAsia="宋体"/>
          <w:sz w:val="36"/>
        </w:rPr>
        <w:sectPr>
          <w:type w:val="continuous"/>
          <w:pgSz w:w="11910" w:h="16840"/>
          <w:pgMar w:top="1360" w:right="840" w:bottom="280" w:left="840" w:header="720" w:footer="720" w:gutter="0"/>
          <w:cols w:space="720" w:num="1"/>
        </w:sectPr>
      </w:pPr>
    </w:p>
    <w:p>
      <w:pPr>
        <w:pStyle w:val="10"/>
        <w:rPr>
          <w:rFonts w:ascii="宋体"/>
          <w:b/>
          <w:sz w:val="20"/>
        </w:rPr>
      </w:pPr>
    </w:p>
    <w:p>
      <w:pPr>
        <w:pStyle w:val="10"/>
        <w:rPr>
          <w:rFonts w:ascii="宋体"/>
          <w:b/>
          <w:sz w:val="20"/>
        </w:rPr>
      </w:pPr>
    </w:p>
    <w:p>
      <w:pPr>
        <w:pStyle w:val="10"/>
        <w:rPr>
          <w:rFonts w:ascii="宋体"/>
          <w:b/>
          <w:sz w:val="20"/>
        </w:rPr>
      </w:pPr>
    </w:p>
    <w:p>
      <w:pPr>
        <w:pStyle w:val="10"/>
        <w:rPr>
          <w:rFonts w:ascii="宋体"/>
          <w:b/>
          <w:sz w:val="20"/>
        </w:rPr>
      </w:pPr>
    </w:p>
    <w:p>
      <w:pPr>
        <w:pStyle w:val="10"/>
        <w:rPr>
          <w:rFonts w:ascii="宋体"/>
          <w:b/>
          <w:sz w:val="20"/>
        </w:rPr>
      </w:pPr>
    </w:p>
    <w:p>
      <w:pPr>
        <w:pStyle w:val="10"/>
        <w:spacing w:before="9"/>
        <w:rPr>
          <w:rFonts w:ascii="宋体"/>
          <w:b/>
          <w:sz w:val="15"/>
        </w:rPr>
      </w:pPr>
    </w:p>
    <w:p>
      <w:pPr>
        <w:spacing w:before="54" w:line="364" w:lineRule="auto"/>
        <w:ind w:left="2788" w:leftChars="1117" w:right="2220" w:hanging="331" w:hangingChars="103"/>
        <w:rPr>
          <w:b/>
          <w:sz w:val="32"/>
        </w:rPr>
      </w:pPr>
      <w:r>
        <w:rPr>
          <w:rFonts w:hint="eastAsia"/>
          <w:b/>
          <w:sz w:val="32"/>
        </w:rPr>
        <w:t>赤壁市泰博服饰股份有限公司</w:t>
      </w:r>
      <w:r>
        <w:rPr>
          <w:b/>
          <w:sz w:val="32"/>
        </w:rPr>
        <w:t>应急预</w:t>
      </w:r>
    </w:p>
    <w:p>
      <w:pPr>
        <w:spacing w:before="54" w:line="364" w:lineRule="auto"/>
        <w:ind w:left="3095" w:leftChars="1407" w:right="2220" w:firstLine="636" w:firstLineChars="198"/>
        <w:rPr>
          <w:b/>
          <w:sz w:val="32"/>
        </w:rPr>
      </w:pPr>
      <w:r>
        <w:rPr>
          <w:b/>
          <w:sz w:val="32"/>
        </w:rPr>
        <w:t>案编制小组成员名单</w:t>
      </w:r>
    </w:p>
    <w:p>
      <w:pPr>
        <w:pStyle w:val="10"/>
        <w:rPr>
          <w:b/>
          <w:sz w:val="32"/>
        </w:rPr>
      </w:pPr>
    </w:p>
    <w:p>
      <w:pPr>
        <w:pStyle w:val="10"/>
        <w:rPr>
          <w:b/>
          <w:sz w:val="32"/>
        </w:rPr>
      </w:pPr>
    </w:p>
    <w:p>
      <w:pPr>
        <w:tabs>
          <w:tab w:val="left" w:pos="2882"/>
        </w:tabs>
        <w:spacing w:before="282"/>
        <w:ind w:left="957"/>
        <w:rPr>
          <w:b/>
          <w:sz w:val="28"/>
        </w:rPr>
      </w:pPr>
      <w:r>
        <w:rPr>
          <w:b/>
          <w:sz w:val="28"/>
        </w:rPr>
        <w:t>编</w:t>
      </w:r>
      <w:r>
        <w:rPr>
          <w:b/>
          <w:spacing w:val="-66"/>
          <w:sz w:val="28"/>
        </w:rPr>
        <w:t xml:space="preserve"> </w:t>
      </w:r>
      <w:r>
        <w:rPr>
          <w:b/>
          <w:sz w:val="28"/>
        </w:rPr>
        <w:t>制</w:t>
      </w:r>
      <w:r>
        <w:rPr>
          <w:b/>
          <w:spacing w:val="-65"/>
          <w:sz w:val="28"/>
        </w:rPr>
        <w:t xml:space="preserve"> </w:t>
      </w:r>
      <w:r>
        <w:rPr>
          <w:b/>
          <w:sz w:val="28"/>
        </w:rPr>
        <w:t>单</w:t>
      </w:r>
      <w:r>
        <w:rPr>
          <w:b/>
          <w:spacing w:val="-65"/>
          <w:sz w:val="28"/>
        </w:rPr>
        <w:t xml:space="preserve"> </w:t>
      </w:r>
      <w:r>
        <w:rPr>
          <w:b/>
          <w:sz w:val="28"/>
        </w:rPr>
        <w:t>位</w:t>
      </w:r>
      <w:r>
        <w:rPr>
          <w:b/>
          <w:spacing w:val="-65"/>
          <w:sz w:val="28"/>
        </w:rPr>
        <w:t xml:space="preserve"> </w:t>
      </w:r>
      <w:r>
        <w:rPr>
          <w:b/>
          <w:sz w:val="28"/>
        </w:rPr>
        <w:t>：</w:t>
      </w:r>
      <w:r>
        <w:rPr>
          <w:b/>
          <w:sz w:val="28"/>
        </w:rPr>
        <w:tab/>
      </w:r>
      <w:r>
        <w:rPr>
          <w:rFonts w:hint="eastAsia"/>
          <w:b/>
          <w:sz w:val="32"/>
        </w:rPr>
        <w:t>赤壁市泰博服饰股份有限公司</w:t>
      </w:r>
    </w:p>
    <w:p>
      <w:pPr>
        <w:pStyle w:val="10"/>
        <w:spacing w:before="10"/>
        <w:rPr>
          <w:b/>
          <w:sz w:val="28"/>
        </w:rPr>
      </w:pPr>
    </w:p>
    <w:p>
      <w:pPr>
        <w:tabs>
          <w:tab w:val="left" w:pos="2882"/>
        </w:tabs>
        <w:spacing w:line="364" w:lineRule="auto"/>
        <w:ind w:left="2882" w:right="815" w:hanging="1925"/>
        <w:rPr>
          <w:sz w:val="28"/>
        </w:rPr>
        <w:sectPr>
          <w:headerReference r:id="rId3" w:type="default"/>
          <w:pgSz w:w="11910" w:h="16840"/>
          <w:pgMar w:top="1360" w:right="840" w:bottom="280" w:left="840" w:header="882" w:footer="0" w:gutter="0"/>
          <w:cols w:space="720" w:num="1"/>
        </w:sectPr>
      </w:pPr>
      <w:r>
        <w:rPr>
          <w:b/>
          <w:sz w:val="28"/>
        </w:rPr>
        <w:t>编制组成员：</w:t>
      </w:r>
      <w:r>
        <w:rPr>
          <w:b/>
          <w:sz w:val="28"/>
        </w:rPr>
        <w:tab/>
      </w:r>
      <w:r>
        <w:rPr>
          <w:rFonts w:hint="eastAsia"/>
          <w:szCs w:val="21"/>
        </w:rPr>
        <w:t>刘智东、马奇、童漫、周海平、刘亚美、柒楚英、</w:t>
      </w:r>
      <w:r>
        <w:rPr>
          <w:b/>
          <w:w w:val="95"/>
          <w:sz w:val="28"/>
        </w:rPr>
        <w:t xml:space="preserve"> </w:t>
      </w:r>
      <w:r>
        <w:rPr>
          <w:rFonts w:hint="eastAsia"/>
          <w:szCs w:val="21"/>
        </w:rPr>
        <w:t>徐萍、马景新、刘亚美、刘佳、刘高云</w:t>
      </w:r>
    </w:p>
    <w:p>
      <w:pPr>
        <w:pStyle w:val="10"/>
        <w:rPr>
          <w:b/>
          <w:sz w:val="20"/>
        </w:rPr>
      </w:pPr>
    </w:p>
    <w:p>
      <w:pPr>
        <w:pStyle w:val="10"/>
        <w:rPr>
          <w:b/>
          <w:sz w:val="20"/>
        </w:rPr>
      </w:pPr>
    </w:p>
    <w:p>
      <w:pPr>
        <w:pStyle w:val="10"/>
        <w:rPr>
          <w:b/>
          <w:sz w:val="20"/>
        </w:rPr>
      </w:pPr>
    </w:p>
    <w:p>
      <w:pPr>
        <w:pStyle w:val="10"/>
        <w:rPr>
          <w:b/>
          <w:sz w:val="19"/>
        </w:rPr>
      </w:pPr>
    </w:p>
    <w:p>
      <w:pPr>
        <w:spacing w:before="20"/>
        <w:ind w:left="1" w:right="1" w:firstLine="480" w:firstLineChars="100"/>
        <w:jc w:val="both"/>
        <w:rPr>
          <w:rFonts w:ascii="宋体" w:eastAsia="宋体"/>
          <w:b/>
          <w:sz w:val="48"/>
          <w:szCs w:val="48"/>
        </w:rPr>
      </w:pPr>
      <w:r>
        <w:rPr>
          <w:color w:val="FF0000"/>
          <w:sz w:val="48"/>
          <w:szCs w:val="48"/>
        </w:rPr>
        <mc:AlternateContent>
          <mc:Choice Requires="wps">
            <w:drawing>
              <wp:anchor distT="0" distB="0" distL="114300" distR="114300" simplePos="0" relativeHeight="251680768" behindDoc="1" locked="0" layoutInCell="1" allowOverlap="1">
                <wp:simplePos x="0" y="0"/>
                <wp:positionH relativeFrom="page">
                  <wp:posOffset>635635</wp:posOffset>
                </wp:positionH>
                <wp:positionV relativeFrom="paragraph">
                  <wp:posOffset>516890</wp:posOffset>
                </wp:positionV>
                <wp:extent cx="6157595" cy="0"/>
                <wp:effectExtent l="0" t="19050" r="14605" b="38100"/>
                <wp:wrapTopAndBottom/>
                <wp:docPr id="23" name="直线 2"/>
                <wp:cNvGraphicFramePr/>
                <a:graphic xmlns:a="http://schemas.openxmlformats.org/drawingml/2006/main">
                  <a:graphicData uri="http://schemas.microsoft.com/office/word/2010/wordprocessingShape">
                    <wps:wsp>
                      <wps:cNvSpPr/>
                      <wps:spPr>
                        <a:xfrm>
                          <a:off x="0" y="0"/>
                          <a:ext cx="6157595" cy="0"/>
                        </a:xfrm>
                        <a:prstGeom prst="line">
                          <a:avLst/>
                        </a:prstGeom>
                        <a:ln w="38735" cap="flat" cmpd="sng">
                          <a:solidFill>
                            <a:srgbClr val="FF0000"/>
                          </a:solidFill>
                          <a:prstDash val="solid"/>
                          <a:headEnd type="none" w="med" len="med"/>
                          <a:tailEnd type="none" w="med" len="med"/>
                        </a:ln>
                      </wps:spPr>
                      <wps:bodyPr upright="1"/>
                    </wps:wsp>
                  </a:graphicData>
                </a:graphic>
              </wp:anchor>
            </w:drawing>
          </mc:Choice>
          <mc:Fallback>
            <w:pict>
              <v:line id="直线 2" o:spid="_x0000_s1026" o:spt="20" style="position:absolute;left:0pt;margin-left:50.05pt;margin-top:40.7pt;height:0pt;width:484.85pt;mso-position-horizontal-relative:page;mso-wrap-distance-bottom:0pt;mso-wrap-distance-top:0pt;z-index:-251635712;mso-width-relative:page;mso-height-relative:page;" filled="f" stroked="t" coordsize="21600,21600" o:gfxdata="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0UpOPT&#10;AAAACgEAAA8AAAAAAAAAAQAgAAAAIgAAAGRycy9kb3ducmV2LnhtbFBLAQIUABQAAAAIAIdO4kDk&#10;1cA87AEAAN0DAAAOAAAAAAAAAAEAIAAAACIBAABkcnMvZTJvRG9jLnhtbFBLBQYAAAAABgAGAFkB&#10;AACABQAAAAA=&#10;">
                <v:fill on="f" focussize="0,0"/>
                <v:stroke weight="3.05pt" color="#FF0000" joinstyle="round"/>
                <v:imagedata o:title=""/>
                <o:lock v:ext="edit" aspectratio="f"/>
                <w10:wrap type="topAndBottom"/>
              </v:line>
            </w:pict>
          </mc:Fallback>
        </mc:AlternateContent>
      </w:r>
      <w:r>
        <w:rPr>
          <w:rFonts w:hint="eastAsia"/>
          <w:b/>
          <w:color w:val="FF0000"/>
          <w:sz w:val="48"/>
          <w:szCs w:val="48"/>
        </w:rPr>
        <w:t>赤</w:t>
      </w:r>
      <w:r>
        <w:rPr>
          <w:rFonts w:hint="eastAsia"/>
          <w:b/>
          <w:color w:val="FF0000"/>
          <w:sz w:val="48"/>
          <w:szCs w:val="48"/>
          <w:lang w:val="en-US"/>
        </w:rPr>
        <w:t xml:space="preserve"> </w:t>
      </w:r>
      <w:r>
        <w:rPr>
          <w:rFonts w:hint="eastAsia"/>
          <w:b/>
          <w:color w:val="FF0000"/>
          <w:sz w:val="48"/>
          <w:szCs w:val="48"/>
        </w:rPr>
        <w:t>壁</w:t>
      </w:r>
      <w:r>
        <w:rPr>
          <w:rFonts w:hint="eastAsia"/>
          <w:b/>
          <w:color w:val="FF0000"/>
          <w:sz w:val="48"/>
          <w:szCs w:val="48"/>
          <w:lang w:val="en-US"/>
        </w:rPr>
        <w:t xml:space="preserve"> </w:t>
      </w:r>
      <w:r>
        <w:rPr>
          <w:rFonts w:hint="eastAsia"/>
          <w:b/>
          <w:color w:val="FF0000"/>
          <w:sz w:val="48"/>
          <w:szCs w:val="48"/>
        </w:rPr>
        <w:t>市</w:t>
      </w:r>
      <w:r>
        <w:rPr>
          <w:rFonts w:hint="eastAsia"/>
          <w:b/>
          <w:color w:val="FF0000"/>
          <w:sz w:val="48"/>
          <w:szCs w:val="48"/>
          <w:lang w:val="en-US"/>
        </w:rPr>
        <w:t xml:space="preserve"> </w:t>
      </w:r>
      <w:r>
        <w:rPr>
          <w:rFonts w:hint="eastAsia"/>
          <w:b/>
          <w:color w:val="FF0000"/>
          <w:sz w:val="48"/>
          <w:szCs w:val="48"/>
        </w:rPr>
        <w:t>泰</w:t>
      </w:r>
      <w:r>
        <w:rPr>
          <w:rFonts w:hint="eastAsia"/>
          <w:b/>
          <w:color w:val="FF0000"/>
          <w:sz w:val="48"/>
          <w:szCs w:val="48"/>
          <w:lang w:val="en-US"/>
        </w:rPr>
        <w:t xml:space="preserve"> </w:t>
      </w:r>
      <w:r>
        <w:rPr>
          <w:rFonts w:hint="eastAsia"/>
          <w:b/>
          <w:color w:val="FF0000"/>
          <w:sz w:val="48"/>
          <w:szCs w:val="48"/>
        </w:rPr>
        <w:t>博</w:t>
      </w:r>
      <w:r>
        <w:rPr>
          <w:rFonts w:hint="eastAsia"/>
          <w:b/>
          <w:color w:val="FF0000"/>
          <w:sz w:val="48"/>
          <w:szCs w:val="48"/>
          <w:lang w:val="en-US"/>
        </w:rPr>
        <w:t xml:space="preserve"> </w:t>
      </w:r>
      <w:r>
        <w:rPr>
          <w:rFonts w:hint="eastAsia"/>
          <w:b/>
          <w:color w:val="FF0000"/>
          <w:sz w:val="48"/>
          <w:szCs w:val="48"/>
        </w:rPr>
        <w:t>服</w:t>
      </w:r>
      <w:r>
        <w:rPr>
          <w:rFonts w:hint="eastAsia"/>
          <w:b/>
          <w:color w:val="FF0000"/>
          <w:sz w:val="48"/>
          <w:szCs w:val="48"/>
          <w:lang w:val="en-US"/>
        </w:rPr>
        <w:t xml:space="preserve"> </w:t>
      </w:r>
      <w:r>
        <w:rPr>
          <w:rFonts w:hint="eastAsia"/>
          <w:b/>
          <w:color w:val="FF0000"/>
          <w:sz w:val="48"/>
          <w:szCs w:val="48"/>
        </w:rPr>
        <w:t>饰</w:t>
      </w:r>
      <w:r>
        <w:rPr>
          <w:rFonts w:hint="eastAsia"/>
          <w:b/>
          <w:color w:val="FF0000"/>
          <w:sz w:val="48"/>
          <w:szCs w:val="48"/>
          <w:lang w:val="en-US"/>
        </w:rPr>
        <w:t xml:space="preserve"> </w:t>
      </w:r>
      <w:r>
        <w:rPr>
          <w:rFonts w:hint="eastAsia"/>
          <w:b/>
          <w:color w:val="FF0000"/>
          <w:sz w:val="48"/>
          <w:szCs w:val="48"/>
        </w:rPr>
        <w:t>股</w:t>
      </w:r>
      <w:r>
        <w:rPr>
          <w:rFonts w:hint="eastAsia"/>
          <w:b/>
          <w:color w:val="FF0000"/>
          <w:sz w:val="48"/>
          <w:szCs w:val="48"/>
          <w:lang w:val="en-US"/>
        </w:rPr>
        <w:t xml:space="preserve"> </w:t>
      </w:r>
      <w:r>
        <w:rPr>
          <w:rFonts w:hint="eastAsia"/>
          <w:b/>
          <w:color w:val="FF0000"/>
          <w:sz w:val="48"/>
          <w:szCs w:val="48"/>
        </w:rPr>
        <w:t>份</w:t>
      </w:r>
      <w:r>
        <w:rPr>
          <w:rFonts w:hint="eastAsia"/>
          <w:b/>
          <w:color w:val="FF0000"/>
          <w:sz w:val="48"/>
          <w:szCs w:val="48"/>
          <w:lang w:val="en-US"/>
        </w:rPr>
        <w:t xml:space="preserve"> </w:t>
      </w:r>
      <w:r>
        <w:rPr>
          <w:rFonts w:hint="eastAsia"/>
          <w:b/>
          <w:color w:val="FF0000"/>
          <w:sz w:val="48"/>
          <w:szCs w:val="48"/>
        </w:rPr>
        <w:t>有</w:t>
      </w:r>
      <w:r>
        <w:rPr>
          <w:rFonts w:hint="eastAsia"/>
          <w:b/>
          <w:color w:val="FF0000"/>
          <w:sz w:val="48"/>
          <w:szCs w:val="48"/>
          <w:lang w:val="en-US"/>
        </w:rPr>
        <w:t xml:space="preserve"> </w:t>
      </w:r>
      <w:r>
        <w:rPr>
          <w:rFonts w:hint="eastAsia"/>
          <w:b/>
          <w:color w:val="FF0000"/>
          <w:sz w:val="48"/>
          <w:szCs w:val="48"/>
        </w:rPr>
        <w:t>限</w:t>
      </w:r>
      <w:r>
        <w:rPr>
          <w:rFonts w:hint="eastAsia"/>
          <w:b/>
          <w:color w:val="FF0000"/>
          <w:sz w:val="48"/>
          <w:szCs w:val="48"/>
          <w:lang w:val="en-US"/>
        </w:rPr>
        <w:t xml:space="preserve"> </w:t>
      </w:r>
      <w:r>
        <w:rPr>
          <w:rFonts w:hint="eastAsia"/>
          <w:b/>
          <w:color w:val="FF0000"/>
          <w:sz w:val="48"/>
          <w:szCs w:val="48"/>
        </w:rPr>
        <w:t>公</w:t>
      </w:r>
      <w:r>
        <w:rPr>
          <w:rFonts w:hint="eastAsia"/>
          <w:b/>
          <w:color w:val="FF0000"/>
          <w:sz w:val="48"/>
          <w:szCs w:val="48"/>
          <w:lang w:val="en-US"/>
        </w:rPr>
        <w:t xml:space="preserve"> </w:t>
      </w:r>
      <w:r>
        <w:rPr>
          <w:rFonts w:hint="eastAsia"/>
          <w:b/>
          <w:color w:val="FF0000"/>
          <w:sz w:val="48"/>
          <w:szCs w:val="48"/>
        </w:rPr>
        <w:t>司</w:t>
      </w:r>
      <w:r>
        <w:rPr>
          <w:rFonts w:hint="eastAsia" w:ascii="宋体" w:eastAsia="宋体"/>
          <w:b/>
          <w:color w:val="FF0000"/>
          <w:sz w:val="48"/>
          <w:szCs w:val="48"/>
        </w:rPr>
        <w:t xml:space="preserve"> </w:t>
      </w:r>
    </w:p>
    <w:p>
      <w:pPr>
        <w:pStyle w:val="10"/>
        <w:spacing w:before="6"/>
        <w:rPr>
          <w:rFonts w:ascii="宋体" w:eastAsia="宋体"/>
          <w:b/>
          <w:spacing w:val="-2"/>
          <w:sz w:val="36"/>
          <w:szCs w:val="22"/>
        </w:rPr>
      </w:pPr>
    </w:p>
    <w:p>
      <w:pPr>
        <w:spacing w:before="1" w:line="364" w:lineRule="auto"/>
        <w:ind w:left="2764" w:right="2762" w:firstLine="2"/>
        <w:jc w:val="center"/>
        <w:rPr>
          <w:rFonts w:ascii="宋体" w:eastAsia="宋体"/>
          <w:b/>
          <w:sz w:val="36"/>
        </w:rPr>
      </w:pPr>
      <w:r>
        <w:rPr>
          <w:rFonts w:hint="eastAsia" w:ascii="宋体" w:eastAsia="宋体"/>
          <w:b/>
          <w:spacing w:val="-2"/>
          <w:sz w:val="36"/>
        </w:rPr>
        <w:t>赤壁市泰博服饰股份有限公司 突发环境事件应急预案发布令</w:t>
      </w:r>
    </w:p>
    <w:p>
      <w:pPr>
        <w:pStyle w:val="10"/>
        <w:spacing w:before="6"/>
        <w:rPr>
          <w:rFonts w:ascii="宋体"/>
          <w:b/>
          <w:sz w:val="48"/>
        </w:rPr>
      </w:pPr>
    </w:p>
    <w:p>
      <w:pPr>
        <w:pStyle w:val="8"/>
        <w:spacing w:line="364" w:lineRule="auto"/>
      </w:pPr>
      <w:r>
        <w:rPr>
          <w:spacing w:val="-7"/>
        </w:rPr>
        <w:t>根据《突发环境事件应急预案管理暂行办法》和《企业事业单位突发环境事</w:t>
      </w:r>
      <w:r>
        <w:rPr>
          <w:spacing w:val="-4"/>
        </w:rPr>
        <w:t>件应急预案备案管理办法</w:t>
      </w:r>
      <w:r>
        <w:rPr>
          <w:spacing w:val="-3"/>
        </w:rPr>
        <w:t>（</w:t>
      </w:r>
      <w:r>
        <w:t>试行</w:t>
      </w:r>
      <w:r>
        <w:rPr>
          <w:spacing w:val="-13"/>
        </w:rPr>
        <w:t>）</w:t>
      </w:r>
      <w:r>
        <w:rPr>
          <w:spacing w:val="-7"/>
        </w:rPr>
        <w:t>》规定，结合湖北省环保厅关于转发《企业事</w:t>
      </w:r>
      <w:r>
        <w:rPr>
          <w:spacing w:val="-4"/>
        </w:rPr>
        <w:t>业单位突发环境事件应急预案备案管理办法</w:t>
      </w:r>
      <w:r>
        <w:rPr>
          <w:spacing w:val="-3"/>
        </w:rPr>
        <w:t>（</w:t>
      </w:r>
      <w:r>
        <w:t>试行</w:t>
      </w:r>
      <w:r>
        <w:rPr>
          <w:spacing w:val="-15"/>
        </w:rPr>
        <w:t>）</w:t>
      </w:r>
      <w:r>
        <w:rPr>
          <w:spacing w:val="-7"/>
        </w:rPr>
        <w:t>》的通知要求，为进一步规范和加强突发环境事件应急预案管理，加快推进全省突发环境事件应急预案的备</w:t>
      </w:r>
      <w:r>
        <w:rPr>
          <w:spacing w:val="-3"/>
        </w:rPr>
        <w:t xml:space="preserve">案工作， </w:t>
      </w:r>
      <w:r>
        <w:rPr>
          <w:rFonts w:hint="eastAsia"/>
          <w:spacing w:val="-3"/>
        </w:rPr>
        <w:t>赤壁市泰博服饰股份有限公司</w:t>
      </w:r>
      <w:r>
        <w:rPr>
          <w:spacing w:val="-3"/>
        </w:rPr>
        <w:t>组织本公司环保技术团队制定的《</w:t>
      </w:r>
      <w:r>
        <w:rPr>
          <w:rFonts w:hint="eastAsia"/>
          <w:spacing w:val="-3"/>
        </w:rPr>
        <w:t>赤壁市泰博服饰股份有限公</w:t>
      </w:r>
      <w:r>
        <w:rPr>
          <w:spacing w:val="-7"/>
        </w:rPr>
        <w:t>突发环境事件应急预案》，已审议通过，现予以公布，自公</w:t>
      </w:r>
      <w:r>
        <w:rPr>
          <w:spacing w:val="-3"/>
        </w:rPr>
        <w:t>布之日起施行。</w:t>
      </w:r>
    </w:p>
    <w:p>
      <w:pPr>
        <w:pStyle w:val="10"/>
        <w:rPr>
          <w:sz w:val="28"/>
        </w:rPr>
      </w:pPr>
    </w:p>
    <w:p>
      <w:pPr>
        <w:pStyle w:val="10"/>
        <w:rPr>
          <w:sz w:val="28"/>
        </w:rPr>
      </w:pPr>
    </w:p>
    <w:p>
      <w:pPr>
        <w:pStyle w:val="10"/>
        <w:rPr>
          <w:sz w:val="28"/>
        </w:rPr>
      </w:pPr>
    </w:p>
    <w:p>
      <w:pPr>
        <w:pStyle w:val="10"/>
        <w:rPr>
          <w:sz w:val="28"/>
        </w:rPr>
      </w:pPr>
    </w:p>
    <w:p>
      <w:pPr>
        <w:pStyle w:val="10"/>
        <w:rPr>
          <w:sz w:val="28"/>
        </w:rPr>
      </w:pPr>
    </w:p>
    <w:p>
      <w:pPr>
        <w:pStyle w:val="10"/>
        <w:rPr>
          <w:sz w:val="28"/>
        </w:rPr>
      </w:pPr>
    </w:p>
    <w:p>
      <w:pPr>
        <w:pStyle w:val="10"/>
        <w:spacing w:before="5"/>
        <w:rPr>
          <w:sz w:val="25"/>
        </w:rPr>
      </w:pPr>
    </w:p>
    <w:p>
      <w:pPr>
        <w:pStyle w:val="8"/>
        <w:spacing w:before="186"/>
        <w:ind w:left="0" w:right="518" w:firstLine="0"/>
        <w:jc w:val="right"/>
        <w:rPr>
          <w:rFonts w:ascii="Times New Roman" w:eastAsia="Times New Roman"/>
        </w:rPr>
      </w:pPr>
      <w:r>
        <w:rPr>
          <w:rFonts w:hint="eastAsia" w:ascii="Times New Roman" w:eastAsia="Times New Roman"/>
        </w:rPr>
        <w:t>赤壁市泰博服饰股份有限公司</w:t>
      </w:r>
    </w:p>
    <w:p>
      <w:pPr>
        <w:pStyle w:val="8"/>
        <w:spacing w:before="186"/>
        <w:ind w:left="0" w:right="518" w:firstLine="0"/>
        <w:jc w:val="right"/>
      </w:pPr>
      <w:r>
        <w:rPr>
          <w:rFonts w:ascii="Times New Roman" w:eastAsia="Times New Roman"/>
        </w:rPr>
        <w:t>202</w:t>
      </w:r>
      <w:r>
        <w:rPr>
          <w:rFonts w:hint="eastAsia" w:ascii="Times New Roman" w:eastAsia="宋体"/>
          <w:lang w:val="en-US"/>
        </w:rPr>
        <w:t>2</w:t>
      </w:r>
      <w:r>
        <w:t>年</w:t>
      </w:r>
      <w:r>
        <w:rPr>
          <w:rFonts w:hint="eastAsia"/>
          <w:lang w:val="en-US"/>
        </w:rPr>
        <w:t>6</w:t>
      </w:r>
      <w:r>
        <w:t>月</w:t>
      </w:r>
      <w:r>
        <w:rPr>
          <w:rFonts w:hint="eastAsia"/>
          <w:lang w:val="en-US"/>
        </w:rPr>
        <w:t>27</w:t>
      </w:r>
      <w:r>
        <w:t>日</w:t>
      </w:r>
    </w:p>
    <w:p>
      <w:pPr>
        <w:jc w:val="right"/>
        <w:sectPr>
          <w:pgSz w:w="11910" w:h="16840"/>
          <w:pgMar w:top="1360" w:right="840" w:bottom="280" w:left="840" w:header="882" w:footer="0" w:gutter="0"/>
          <w:cols w:space="720" w:num="1"/>
        </w:sectPr>
      </w:pPr>
    </w:p>
    <w:p>
      <w:pPr>
        <w:spacing w:before="64"/>
        <w:ind w:left="3" w:right="1"/>
        <w:jc w:val="center"/>
        <w:rPr>
          <w:b/>
          <w:sz w:val="36"/>
        </w:rPr>
      </w:pPr>
      <w:r>
        <w:rPr>
          <w:b/>
          <w:sz w:val="36"/>
        </w:rPr>
        <w:t>编制说明</w:t>
      </w:r>
    </w:p>
    <w:p>
      <w:pPr>
        <w:pStyle w:val="8"/>
        <w:spacing w:before="240" w:line="364" w:lineRule="auto"/>
        <w:ind w:right="105"/>
        <w:jc w:val="left"/>
      </w:pPr>
      <w:r>
        <w:rPr>
          <w:rFonts w:hint="eastAsia"/>
          <w:spacing w:val="-3"/>
        </w:rPr>
        <w:t>赤壁市泰博服饰股份有限公司</w:t>
      </w:r>
      <w:r>
        <w:rPr>
          <w:spacing w:val="-3"/>
        </w:rPr>
        <w:t>成立</w:t>
      </w:r>
      <w:r>
        <w:rPr>
          <w:rFonts w:hint="eastAsia"/>
          <w:spacing w:val="-3"/>
        </w:rPr>
        <w:t>于</w:t>
      </w:r>
      <w:r>
        <w:rPr>
          <w:rFonts w:hint="eastAsia"/>
          <w:lang w:val="en-US"/>
        </w:rPr>
        <w:t>2017年11月20日</w:t>
      </w:r>
      <w:r>
        <w:rPr>
          <w:spacing w:val="-3"/>
        </w:rPr>
        <w:t>，</w:t>
      </w:r>
      <w:r>
        <w:rPr>
          <w:rFonts w:hint="eastAsia"/>
          <w:spacing w:val="-3"/>
        </w:rPr>
        <w:t>是一家专门生产和销售一次性塑料雨衣及塑料包装袋的厂家，</w:t>
      </w:r>
      <w:r>
        <w:rPr>
          <w:spacing w:val="-3"/>
        </w:rPr>
        <w:t>公司</w:t>
      </w:r>
      <w:r>
        <w:rPr>
          <w:rFonts w:hint="eastAsia"/>
          <w:spacing w:val="-3"/>
        </w:rPr>
        <w:t>于</w:t>
      </w:r>
      <w:r>
        <w:rPr>
          <w:rFonts w:hint="eastAsia"/>
          <w:spacing w:val="-3"/>
          <w:lang w:val="en-US"/>
        </w:rPr>
        <w:t>2018年8月</w:t>
      </w:r>
      <w:r>
        <w:rPr>
          <w:spacing w:val="-3"/>
        </w:rPr>
        <w:t>投资</w:t>
      </w:r>
      <w:r>
        <w:rPr>
          <w:rFonts w:hint="eastAsia"/>
          <w:spacing w:val="-1"/>
          <w:lang w:val="en-US"/>
        </w:rPr>
        <w:t>2700万</w:t>
      </w:r>
      <w:r>
        <w:rPr>
          <w:spacing w:val="-2"/>
        </w:rPr>
        <w:t>元在</w:t>
      </w:r>
      <w:r>
        <w:rPr>
          <w:rFonts w:hint="eastAsia"/>
          <w:spacing w:val="-1"/>
        </w:rPr>
        <w:t>赤壁市车站路</w:t>
      </w:r>
      <w:r>
        <w:rPr>
          <w:rFonts w:hint="eastAsia"/>
          <w:spacing w:val="-1"/>
          <w:lang w:val="en-US"/>
        </w:rPr>
        <w:t>70号，租赁湖北陆海科技实业有限公司内闲置厂房及办公楼</w:t>
      </w:r>
      <w:r>
        <w:rPr>
          <w:spacing w:val="-6"/>
        </w:rPr>
        <w:t>，</w:t>
      </w:r>
      <w:r>
        <w:rPr>
          <w:rFonts w:hint="eastAsia"/>
          <w:spacing w:val="-6"/>
        </w:rPr>
        <w:t>对产品的升级，企业现有注塑机</w:t>
      </w:r>
      <w:r>
        <w:rPr>
          <w:rFonts w:hint="eastAsia"/>
          <w:spacing w:val="-6"/>
          <w:lang w:val="en-US"/>
        </w:rPr>
        <w:t>5台，切纸机1台，印刷机4台</w:t>
      </w:r>
      <w:r>
        <w:rPr>
          <w:spacing w:val="-15"/>
        </w:rPr>
        <w:t>，</w:t>
      </w:r>
      <w:r>
        <w:rPr>
          <w:rFonts w:hint="eastAsia"/>
          <w:spacing w:val="-15"/>
        </w:rPr>
        <w:t>自动钉扣机</w:t>
      </w:r>
      <w:r>
        <w:rPr>
          <w:rFonts w:hint="eastAsia"/>
          <w:spacing w:val="-15"/>
          <w:lang w:val="en-US"/>
        </w:rPr>
        <w:t>9套、制袋机7台等 设备，项目总占地面积约</w:t>
      </w:r>
      <w:r>
        <w:rPr>
          <w:rFonts w:hint="eastAsia"/>
          <w:spacing w:val="-1"/>
          <w:lang w:val="en-US"/>
        </w:rPr>
        <w:t>3000</w:t>
      </w:r>
      <w:r>
        <w:t>㎡</w:t>
      </w:r>
      <w:r>
        <w:rPr>
          <w:rFonts w:hint="eastAsia"/>
        </w:rPr>
        <w:t>，总建筑面积约</w:t>
      </w:r>
      <w:r>
        <w:rPr>
          <w:rFonts w:hint="eastAsia"/>
          <w:lang w:val="en-US"/>
        </w:rPr>
        <w:t>26000</w:t>
      </w:r>
      <w:r>
        <w:t>㎡</w:t>
      </w:r>
      <w:r>
        <w:rPr>
          <w:spacing w:val="-3"/>
        </w:rPr>
        <w:t xml:space="preserve">项目生产过程中产生的环境污染因子对周围环境有一定影响， </w:t>
      </w:r>
      <w:r>
        <w:rPr>
          <w:spacing w:val="-6"/>
        </w:rPr>
        <w:t>处置不当会对厂区及周边生态环境造成破坏，为加强企业风险管理有效预防突发</w:t>
      </w:r>
      <w:r>
        <w:rPr>
          <w:spacing w:val="-8"/>
        </w:rPr>
        <w:t>环境事件的发生，确保在环境污染事件发生时及时予以控制、保护环境，</w:t>
      </w:r>
      <w:r>
        <w:rPr>
          <w:rFonts w:hint="eastAsia"/>
          <w:spacing w:val="-8"/>
        </w:rPr>
        <w:t>赤壁市泰博服饰股份有限公司</w:t>
      </w:r>
      <w:r>
        <w:rPr>
          <w:spacing w:val="-7"/>
        </w:rPr>
        <w:t>组织编制了《</w:t>
      </w:r>
      <w:r>
        <w:rPr>
          <w:rFonts w:hint="eastAsia"/>
          <w:spacing w:val="-8"/>
        </w:rPr>
        <w:t>赤壁市泰博服饰股份有限公司</w:t>
      </w:r>
      <w:r>
        <w:rPr>
          <w:spacing w:val="-7"/>
        </w:rPr>
        <w:t>突发环境事件应急</w:t>
      </w:r>
      <w:r>
        <w:rPr>
          <w:spacing w:val="-3"/>
        </w:rPr>
        <w:t>预案》。</w:t>
      </w:r>
    </w:p>
    <w:p>
      <w:pPr>
        <w:spacing w:before="152"/>
        <w:ind w:left="240"/>
        <w:rPr>
          <w:b/>
          <w:sz w:val="28"/>
        </w:rPr>
      </w:pPr>
      <w:r>
        <w:rPr>
          <w:b/>
          <w:sz w:val="28"/>
        </w:rPr>
        <w:t>一、编制过程概述</w:t>
      </w:r>
    </w:p>
    <w:p>
      <w:pPr>
        <w:pStyle w:val="10"/>
        <w:spacing w:before="9"/>
        <w:rPr>
          <w:b/>
          <w:sz w:val="26"/>
        </w:rPr>
      </w:pPr>
    </w:p>
    <w:p>
      <w:pPr>
        <w:pStyle w:val="8"/>
        <w:spacing w:line="364" w:lineRule="auto"/>
        <w:jc w:val="left"/>
      </w:pPr>
      <w:r>
        <w:rPr>
          <w:spacing w:val="-24"/>
        </w:rPr>
        <w:t xml:space="preserve">根据 </w:t>
      </w:r>
      <w:r>
        <w:rPr>
          <w:rFonts w:ascii="Times New Roman" w:eastAsia="Times New Roman"/>
        </w:rPr>
        <w:t xml:space="preserve">2014 </w:t>
      </w:r>
      <w:r>
        <w:rPr>
          <w:spacing w:val="-3"/>
        </w:rPr>
        <w:t>年修订的《中华人民共和国环境保护法》第四十七条规定，企业</w:t>
      </w:r>
      <w:r>
        <w:rPr>
          <w:spacing w:val="-6"/>
        </w:rPr>
        <w:t>单位应按照国家有关规定制定突发环境事件应急预案，报环境保护主管部门和有</w:t>
      </w:r>
      <w:r>
        <w:rPr>
          <w:spacing w:val="-8"/>
        </w:rPr>
        <w:t>关部门备案，以及环境保护部《企业事业单位突发环境事件应急预案备案管理办法</w:t>
      </w:r>
      <w:r>
        <w:rPr>
          <w:spacing w:val="-3"/>
        </w:rPr>
        <w:t>（</w:t>
      </w:r>
      <w:r>
        <w:t>试行</w:t>
      </w:r>
      <w:r>
        <w:rPr>
          <w:spacing w:val="-3"/>
        </w:rPr>
        <w:t>）</w:t>
      </w:r>
      <w:r>
        <w:t>》（</w:t>
      </w:r>
      <w:r>
        <w:rPr>
          <w:spacing w:val="-2"/>
        </w:rPr>
        <w:t>环发</w:t>
      </w:r>
      <w:r>
        <w:rPr>
          <w:rFonts w:ascii="Times New Roman" w:eastAsia="Times New Roman"/>
        </w:rPr>
        <w:t xml:space="preserve">[2015]4 </w:t>
      </w:r>
      <w:r>
        <w:t>号</w:t>
      </w:r>
      <w:r>
        <w:rPr>
          <w:spacing w:val="-3"/>
        </w:rPr>
        <w:t>）的规定，向环境排放污染物的企事业单位，生</w:t>
      </w:r>
      <w:r>
        <w:rPr>
          <w:spacing w:val="-8"/>
        </w:rPr>
        <w:t>产、贮存、经营、使用、运输化学危险品的企事业单位，产生、收集、贮存、运</w:t>
      </w:r>
      <w:r>
        <w:rPr>
          <w:spacing w:val="-9"/>
        </w:rPr>
        <w:t>输、利用、处置危险废物的企业事业单位，以及其他可能发生突发环境事件的企</w:t>
      </w:r>
      <w:r>
        <w:rPr>
          <w:spacing w:val="-3"/>
        </w:rPr>
        <w:t>业事业单位，应当编制环境应急预案。</w:t>
      </w:r>
    </w:p>
    <w:p>
      <w:pPr>
        <w:pStyle w:val="8"/>
        <w:spacing w:line="364" w:lineRule="auto"/>
        <w:rPr>
          <w:rFonts w:ascii="Times New Roman" w:eastAsia="宋体"/>
        </w:rPr>
      </w:pPr>
      <w:r>
        <w:rPr>
          <w:spacing w:val="-7"/>
        </w:rPr>
        <w:t>因此，</w:t>
      </w:r>
      <w:r>
        <w:rPr>
          <w:rFonts w:hint="eastAsia"/>
          <w:spacing w:val="-7"/>
        </w:rPr>
        <w:t>赤壁市泰博服饰股份有限公</w:t>
      </w:r>
      <w:r>
        <w:rPr>
          <w:spacing w:val="-7"/>
        </w:rPr>
        <w:t xml:space="preserve">于 </w:t>
      </w:r>
      <w:r>
        <w:rPr>
          <w:rFonts w:ascii="Times New Roman" w:eastAsia="Times New Roman"/>
        </w:rPr>
        <w:t>202</w:t>
      </w:r>
      <w:r>
        <w:rPr>
          <w:rFonts w:hint="eastAsia" w:ascii="Times New Roman" w:eastAsia="宋体"/>
          <w:lang w:val="en-US"/>
        </w:rPr>
        <w:t>2</w:t>
      </w:r>
      <w:r>
        <w:rPr>
          <w:rFonts w:ascii="Times New Roman" w:eastAsia="Times New Roman"/>
        </w:rPr>
        <w:t xml:space="preserve"> </w:t>
      </w:r>
      <w:r>
        <w:rPr>
          <w:spacing w:val="-36"/>
        </w:rPr>
        <w:t xml:space="preserve">年 </w:t>
      </w:r>
      <w:r>
        <w:rPr>
          <w:rFonts w:hint="eastAsia" w:ascii="Times New Roman" w:eastAsia="宋体"/>
          <w:lang w:val="en-US"/>
        </w:rPr>
        <w:t>5</w:t>
      </w:r>
      <w:r>
        <w:rPr>
          <w:spacing w:val="-3"/>
        </w:rPr>
        <w:t>月开展《突发环境事件应急</w:t>
      </w:r>
      <w:r>
        <w:rPr>
          <w:spacing w:val="-9"/>
        </w:rPr>
        <w:t>预案》编制工作，成立了预案编制小组，收集了项目环评报告等资料，并现场调</w:t>
      </w:r>
      <w:r>
        <w:rPr>
          <w:spacing w:val="-6"/>
        </w:rPr>
        <w:t>查核实了企业建设情况及周边环境敏感目标的分布情况。结合企业的生产工艺流</w:t>
      </w:r>
      <w:r>
        <w:rPr>
          <w:spacing w:val="-9"/>
        </w:rPr>
        <w:t>程、产排污情况、污染防治措施、危险化学品的使用情况，根据《企业事业单位</w:t>
      </w:r>
      <w:r>
        <w:rPr>
          <w:spacing w:val="-6"/>
        </w:rPr>
        <w:t>突发环境事件应急预案备案管理办法</w:t>
      </w:r>
      <w:r>
        <w:rPr>
          <w:spacing w:val="-3"/>
        </w:rPr>
        <w:t>（</w:t>
      </w:r>
      <w:r>
        <w:t>试行</w:t>
      </w:r>
      <w:r>
        <w:rPr>
          <w:spacing w:val="-41"/>
        </w:rPr>
        <w:t>）</w:t>
      </w:r>
      <w:r>
        <w:rPr>
          <w:spacing w:val="-82"/>
        </w:rPr>
        <w:t>》</w:t>
      </w:r>
      <w:r>
        <w:t>（</w:t>
      </w:r>
      <w:r>
        <w:rPr>
          <w:spacing w:val="-2"/>
        </w:rPr>
        <w:t>环发</w:t>
      </w:r>
      <w:r>
        <w:rPr>
          <w:rFonts w:ascii="Times New Roman" w:eastAsia="Times New Roman"/>
        </w:rPr>
        <w:t xml:space="preserve">[2015]4 </w:t>
      </w:r>
      <w:r>
        <w:rPr>
          <w:spacing w:val="-3"/>
        </w:rPr>
        <w:t>号</w:t>
      </w:r>
      <w:r>
        <w:rPr>
          <w:spacing w:val="-41"/>
        </w:rPr>
        <w:t>）</w:t>
      </w:r>
      <w:r>
        <w:rPr>
          <w:spacing w:val="-23"/>
        </w:rPr>
        <w:t xml:space="preserve">要求，于 </w:t>
      </w:r>
      <w:r>
        <w:rPr>
          <w:rFonts w:ascii="Times New Roman" w:eastAsia="Times New Roman"/>
        </w:rPr>
        <w:t>202</w:t>
      </w:r>
      <w:r>
        <w:rPr>
          <w:rFonts w:hint="eastAsia" w:ascii="Times New Roman" w:eastAsia="宋体"/>
          <w:lang w:val="en-US"/>
        </w:rPr>
        <w:t>2</w:t>
      </w:r>
    </w:p>
    <w:p>
      <w:pPr>
        <w:pStyle w:val="8"/>
        <w:spacing w:line="364" w:lineRule="auto"/>
        <w:ind w:right="463" w:firstLine="0"/>
      </w:pPr>
      <w:r>
        <w:rPr>
          <w:spacing w:val="-33"/>
        </w:rPr>
        <w:t xml:space="preserve">年 </w:t>
      </w:r>
      <w:r>
        <w:rPr>
          <w:rFonts w:hint="eastAsia"/>
          <w:spacing w:val="-33"/>
          <w:lang w:val="en-US"/>
        </w:rPr>
        <w:t>5</w:t>
      </w:r>
      <w:r>
        <w:rPr>
          <w:rFonts w:ascii="Times New Roman" w:eastAsia="Times New Roman"/>
        </w:rPr>
        <w:t xml:space="preserve"> </w:t>
      </w:r>
      <w:r>
        <w:rPr>
          <w:spacing w:val="-3"/>
        </w:rPr>
        <w:t>月编制完成了《</w:t>
      </w:r>
      <w:r>
        <w:rPr>
          <w:rFonts w:hint="eastAsia"/>
          <w:spacing w:val="-3"/>
        </w:rPr>
        <w:t>赤壁市泰博服饰股份有限公司</w:t>
      </w:r>
      <w:r>
        <w:rPr>
          <w:spacing w:val="-3"/>
        </w:rPr>
        <w:t>突发环境事件应急预案（</w:t>
      </w:r>
      <w:r>
        <w:t>送审版</w:t>
      </w:r>
      <w:r>
        <w:rPr>
          <w:spacing w:val="-3"/>
        </w:rPr>
        <w:t>）》，现由建设单位呈报环境保护行政主管部门审查。编制程序见下图。</w:t>
      </w:r>
    </w:p>
    <w:p>
      <w:pPr>
        <w:spacing w:line="364" w:lineRule="auto"/>
        <w:sectPr>
          <w:pgSz w:w="11910" w:h="16840"/>
          <w:pgMar w:top="1360" w:right="840" w:bottom="280" w:left="840" w:header="882" w:footer="0" w:gutter="0"/>
          <w:cols w:space="720" w:num="1"/>
        </w:sectPr>
      </w:pPr>
    </w:p>
    <w:p>
      <w:pPr>
        <w:pStyle w:val="10"/>
        <w:spacing w:before="11"/>
        <w:rPr>
          <w:sz w:val="4"/>
        </w:rPr>
      </w:pPr>
    </w:p>
    <w:p>
      <w:pPr>
        <w:pStyle w:val="10"/>
        <w:ind w:left="1502"/>
        <w:rPr>
          <w:sz w:val="20"/>
        </w:rPr>
      </w:pPr>
      <w:r>
        <w:rPr>
          <w:sz w:val="20"/>
          <w:lang w:val="en-US" w:bidi="ar-SA"/>
        </w:rPr>
        <w:drawing>
          <wp:inline distT="0" distB="0" distL="0" distR="0">
            <wp:extent cx="4681220" cy="394716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21" cstate="print"/>
                    <a:stretch>
                      <a:fillRect/>
                    </a:stretch>
                  </pic:blipFill>
                  <pic:spPr>
                    <a:xfrm>
                      <a:off x="0" y="0"/>
                      <a:ext cx="4681366" cy="3947160"/>
                    </a:xfrm>
                    <a:prstGeom prst="rect">
                      <a:avLst/>
                    </a:prstGeom>
                  </pic:spPr>
                </pic:pic>
              </a:graphicData>
            </a:graphic>
          </wp:inline>
        </w:drawing>
      </w:r>
    </w:p>
    <w:p>
      <w:pPr>
        <w:pStyle w:val="10"/>
        <w:spacing w:before="5"/>
        <w:rPr>
          <w:sz w:val="21"/>
        </w:rPr>
      </w:pPr>
    </w:p>
    <w:p>
      <w:pPr>
        <w:spacing w:before="62"/>
        <w:ind w:left="1" w:right="1"/>
        <w:jc w:val="center"/>
        <w:rPr>
          <w:b/>
          <w:sz w:val="28"/>
        </w:rPr>
      </w:pPr>
      <w:r>
        <w:rPr>
          <w:b/>
          <w:sz w:val="28"/>
        </w:rPr>
        <w:t>突发环境事件应急预案编制程序图</w:t>
      </w:r>
    </w:p>
    <w:p>
      <w:pPr>
        <w:pStyle w:val="10"/>
        <w:spacing w:before="11"/>
        <w:rPr>
          <w:b/>
          <w:sz w:val="21"/>
        </w:rPr>
      </w:pPr>
    </w:p>
    <w:p>
      <w:pPr>
        <w:spacing w:before="62"/>
        <w:ind w:left="240"/>
        <w:rPr>
          <w:b/>
          <w:sz w:val="28"/>
        </w:rPr>
      </w:pPr>
      <w:r>
        <w:rPr>
          <w:b/>
          <w:sz w:val="28"/>
        </w:rPr>
        <w:t>二、重点内容说明</w:t>
      </w:r>
    </w:p>
    <w:p>
      <w:pPr>
        <w:pStyle w:val="10"/>
        <w:spacing w:before="8"/>
        <w:rPr>
          <w:b/>
          <w:sz w:val="26"/>
        </w:rPr>
      </w:pPr>
    </w:p>
    <w:p>
      <w:pPr>
        <w:pStyle w:val="8"/>
        <w:spacing w:before="1" w:line="364" w:lineRule="auto"/>
        <w:ind w:right="182"/>
      </w:pPr>
      <w:r>
        <w:rPr>
          <w:spacing w:val="3"/>
        </w:rPr>
        <w:t>本突发环境事件应急预案包括综合环境应急预案和现场专项应急处置预案</w:t>
      </w:r>
      <w:r>
        <w:rPr>
          <w:spacing w:val="-9"/>
        </w:rPr>
        <w:t>二部分组成。其中综合环境应急预案预案中根据湖北省生态环境厅办公室文件鄂环办</w:t>
      </w:r>
      <w:r>
        <w:rPr>
          <w:rFonts w:ascii="Times New Roman" w:eastAsia="Times New Roman"/>
          <w:spacing w:val="-9"/>
        </w:rPr>
        <w:t>[2015]126</w:t>
      </w:r>
      <w:r>
        <w:rPr>
          <w:rFonts w:ascii="Times New Roman" w:eastAsia="Times New Roman"/>
          <w:spacing w:val="41"/>
        </w:rPr>
        <w:t xml:space="preserve"> </w:t>
      </w:r>
      <w:r>
        <w:t>号省环保厅关于转发《企业事业单位突发环境事件应急预案手续</w:t>
      </w:r>
      <w:r>
        <w:rPr>
          <w:spacing w:val="-3"/>
        </w:rPr>
        <w:t>相关问题处理意见的函》等相关文件要求编制了《突发环境事件风险评估报告》</w:t>
      </w:r>
      <w:r>
        <w:rPr>
          <w:spacing w:val="-2"/>
        </w:rPr>
        <w:t>专题附件。</w:t>
      </w:r>
    </w:p>
    <w:p>
      <w:pPr>
        <w:pStyle w:val="8"/>
        <w:numPr>
          <w:ilvl w:val="0"/>
          <w:numId w:val="1"/>
        </w:numPr>
        <w:tabs>
          <w:tab w:val="left" w:pos="1502"/>
        </w:tabs>
        <w:spacing w:line="364" w:lineRule="auto"/>
        <w:ind w:firstLine="559"/>
        <w:jc w:val="both"/>
      </w:pPr>
      <w:r>
        <w:rPr>
          <w:spacing w:val="-3"/>
        </w:rPr>
        <w:t>综合环境应急预案分十个部分，分别为总则、企业概况、应急组织机</w:t>
      </w:r>
      <w:r>
        <w:rPr>
          <w:spacing w:val="-9"/>
        </w:rPr>
        <w:t>构与职责、预防与预警机制、信息报告与通报、应急响应与措施、后期处置、应</w:t>
      </w:r>
      <w:r>
        <w:rPr>
          <w:spacing w:val="-3"/>
        </w:rPr>
        <w:t>急保障、预案管理、附则等。</w:t>
      </w:r>
    </w:p>
    <w:p>
      <w:pPr>
        <w:pStyle w:val="8"/>
        <w:numPr>
          <w:ilvl w:val="0"/>
          <w:numId w:val="1"/>
        </w:numPr>
        <w:tabs>
          <w:tab w:val="left" w:pos="1502"/>
        </w:tabs>
        <w:spacing w:line="364" w:lineRule="auto"/>
        <w:ind w:right="323" w:firstLine="559"/>
      </w:pPr>
      <w:r>
        <w:rPr>
          <w:spacing w:val="-3"/>
        </w:rPr>
        <w:t>总则包括编制目的、编制依据、事件分级、适用范围、工作原则、应急预案关系等。</w:t>
      </w:r>
    </w:p>
    <w:p>
      <w:pPr>
        <w:pStyle w:val="8"/>
        <w:numPr>
          <w:ilvl w:val="0"/>
          <w:numId w:val="1"/>
        </w:numPr>
        <w:tabs>
          <w:tab w:val="left" w:pos="1502"/>
        </w:tabs>
        <w:ind w:left="1501" w:right="0" w:hanging="703"/>
      </w:pPr>
      <w:r>
        <w:rPr>
          <w:spacing w:val="-3"/>
        </w:rPr>
        <w:t>在应急预案外部衔接关系中对互相衔接的外部预案关系进行了说明，</w:t>
      </w:r>
    </w:p>
    <w:p>
      <w:pPr>
        <w:sectPr>
          <w:pgSz w:w="11910" w:h="16840"/>
          <w:pgMar w:top="1360" w:right="840" w:bottom="280" w:left="840" w:header="882" w:footer="0" w:gutter="0"/>
          <w:cols w:space="720" w:num="1"/>
        </w:sectPr>
      </w:pPr>
    </w:p>
    <w:p>
      <w:pPr>
        <w:pStyle w:val="8"/>
        <w:spacing w:before="64"/>
        <w:ind w:right="0" w:firstLine="0"/>
        <w:jc w:val="left"/>
      </w:pPr>
      <w:r>
        <w:t>外部衔接的预案明确了本预案的上级预案为《咸宁市突发环境事件应急预案》、</w:t>
      </w:r>
    </w:p>
    <w:p>
      <w:pPr>
        <w:pStyle w:val="8"/>
        <w:spacing w:before="186"/>
        <w:ind w:right="0" w:firstLine="0"/>
        <w:jc w:val="left"/>
      </w:pPr>
      <w:r>
        <w:t>《赤壁市突发环境事件应急预案》。</w:t>
      </w:r>
    </w:p>
    <w:p>
      <w:pPr>
        <w:pStyle w:val="8"/>
        <w:numPr>
          <w:ilvl w:val="0"/>
          <w:numId w:val="1"/>
        </w:numPr>
        <w:tabs>
          <w:tab w:val="left" w:pos="1502"/>
        </w:tabs>
        <w:spacing w:before="186" w:line="364" w:lineRule="auto"/>
        <w:ind w:firstLine="559"/>
        <w:jc w:val="both"/>
      </w:pPr>
      <w:r>
        <w:rPr>
          <w:spacing w:val="-3"/>
        </w:rPr>
        <w:t>在应急组织指挥体系与职责中，根据本企业内部组织架构，设立了突</w:t>
      </w:r>
      <w:r>
        <w:rPr>
          <w:spacing w:val="-7"/>
        </w:rPr>
        <w:t>发环境应急指挥部为指挥机构，下设应急指挥部办公室、疏散救援组、环境监测</w:t>
      </w:r>
      <w:r>
        <w:rPr>
          <w:spacing w:val="-4"/>
        </w:rPr>
        <w:t>组、医疗后勤组等，明确了各个应急工作组和现场应急工作小组的工作职责。</w:t>
      </w:r>
    </w:p>
    <w:p>
      <w:pPr>
        <w:pStyle w:val="8"/>
        <w:numPr>
          <w:ilvl w:val="0"/>
          <w:numId w:val="1"/>
        </w:numPr>
        <w:tabs>
          <w:tab w:val="left" w:pos="1502"/>
        </w:tabs>
        <w:spacing w:line="364" w:lineRule="auto"/>
        <w:ind w:right="98" w:firstLine="559"/>
      </w:pPr>
      <w:r>
        <w:rPr>
          <w:spacing w:val="-3"/>
        </w:rPr>
        <w:t>预防与预警部分本着预防为主的原则，对危险源的监控和企业环境风</w:t>
      </w:r>
      <w:r>
        <w:rPr>
          <w:spacing w:val="-16"/>
        </w:rPr>
        <w:t>险预防措施提出明确要求。对预警条件、预防措施是结合本企业的具体情况制定。</w:t>
      </w:r>
      <w:r>
        <w:rPr>
          <w:spacing w:val="-8"/>
        </w:rPr>
        <w:t>针对本企业生产经营的特点，对危险源监控、总平面布置和建筑方面安全防范措</w:t>
      </w:r>
      <w:r>
        <w:rPr>
          <w:spacing w:val="-3"/>
        </w:rPr>
        <w:t>施、营运过程风险防范措施等作了重点阐述。</w:t>
      </w:r>
    </w:p>
    <w:p>
      <w:pPr>
        <w:pStyle w:val="8"/>
        <w:numPr>
          <w:ilvl w:val="0"/>
          <w:numId w:val="1"/>
        </w:numPr>
        <w:tabs>
          <w:tab w:val="left" w:pos="1502"/>
        </w:tabs>
        <w:spacing w:line="364" w:lineRule="auto"/>
        <w:ind w:firstLine="559"/>
        <w:jc w:val="both"/>
      </w:pPr>
      <w:r>
        <w:rPr>
          <w:spacing w:val="-3"/>
        </w:rPr>
        <w:t>在应急处置部分制定了有效先期处置措施来防止污染物的扩散，根据</w:t>
      </w:r>
      <w:r>
        <w:rPr>
          <w:spacing w:val="-6"/>
        </w:rPr>
        <w:t>本企业发生突发环境事件的危害程度、影响范围和本企业对事件的可控能力，对</w:t>
      </w:r>
      <w:r>
        <w:rPr>
          <w:spacing w:val="-7"/>
        </w:rPr>
        <w:t>突发环境事件进行了响应分级，明确了各级突发环境事件的应急响应程序和启动</w:t>
      </w:r>
      <w:r>
        <w:rPr>
          <w:spacing w:val="-3"/>
        </w:rPr>
        <w:t>程序，并结合企业的实际情况制定了应急监测方案。</w:t>
      </w:r>
    </w:p>
    <w:p>
      <w:pPr>
        <w:pStyle w:val="8"/>
        <w:numPr>
          <w:ilvl w:val="0"/>
          <w:numId w:val="1"/>
        </w:numPr>
        <w:tabs>
          <w:tab w:val="left" w:pos="1502"/>
        </w:tabs>
        <w:spacing w:line="364" w:lineRule="auto"/>
        <w:ind w:firstLine="559"/>
        <w:jc w:val="both"/>
      </w:pPr>
      <w:r>
        <w:rPr>
          <w:spacing w:val="-3"/>
        </w:rPr>
        <w:t>在应急终止章节中，明确了突发环境事件应急处置的条件、应急终止</w:t>
      </w:r>
      <w:r>
        <w:rPr>
          <w:spacing w:val="-6"/>
        </w:rPr>
        <w:t>的程序和事故现场的保护措施、事故后的生态环境恢复措施、事故现场清洁净化</w:t>
      </w:r>
      <w:r>
        <w:rPr>
          <w:spacing w:val="-3"/>
        </w:rPr>
        <w:t>和环境恢复的方法和要求等。</w:t>
      </w:r>
    </w:p>
    <w:p>
      <w:pPr>
        <w:pStyle w:val="8"/>
        <w:numPr>
          <w:ilvl w:val="0"/>
          <w:numId w:val="1"/>
        </w:numPr>
        <w:tabs>
          <w:tab w:val="left" w:pos="1502"/>
        </w:tabs>
        <w:spacing w:line="364" w:lineRule="auto"/>
        <w:ind w:firstLine="559"/>
        <w:jc w:val="both"/>
      </w:pPr>
      <w:r>
        <w:rPr>
          <w:spacing w:val="-3"/>
        </w:rPr>
        <w:t>在后期处置环节中，明确了应急设备维护保养、撤离和交接程序、受</w:t>
      </w:r>
      <w:r>
        <w:rPr>
          <w:spacing w:val="-7"/>
        </w:rPr>
        <w:t>灾人员的安置和赔偿、恢复与重建、事后评估与总结、事故损失调查和责任认定</w:t>
      </w:r>
      <w:r>
        <w:rPr>
          <w:spacing w:val="-3"/>
        </w:rPr>
        <w:t>等相关内容。</w:t>
      </w:r>
    </w:p>
    <w:p>
      <w:pPr>
        <w:pStyle w:val="8"/>
        <w:numPr>
          <w:ilvl w:val="0"/>
          <w:numId w:val="1"/>
        </w:numPr>
        <w:tabs>
          <w:tab w:val="left" w:pos="1502"/>
        </w:tabs>
        <w:spacing w:line="364" w:lineRule="auto"/>
        <w:ind w:firstLine="559"/>
        <w:jc w:val="both"/>
      </w:pPr>
      <w:r>
        <w:rPr>
          <w:spacing w:val="-3"/>
        </w:rPr>
        <w:t>在应急保障章节中，制定了为应对突发环境事件应急处置所能需提供</w:t>
      </w:r>
      <w:r>
        <w:rPr>
          <w:spacing w:val="-9"/>
        </w:rPr>
        <w:t>的人力资源保障、资金保障、物资保障、医疗卫生保障、交通运输保障、通信与</w:t>
      </w:r>
      <w:r>
        <w:rPr>
          <w:spacing w:val="-3"/>
        </w:rPr>
        <w:t>信息保障、科学技术保障和其他必要的保障资源和措施。</w:t>
      </w:r>
    </w:p>
    <w:p>
      <w:pPr>
        <w:pStyle w:val="8"/>
        <w:numPr>
          <w:ilvl w:val="0"/>
          <w:numId w:val="1"/>
        </w:numPr>
        <w:tabs>
          <w:tab w:val="left" w:pos="1643"/>
        </w:tabs>
        <w:spacing w:line="364" w:lineRule="auto"/>
        <w:ind w:firstLine="559"/>
        <w:jc w:val="both"/>
      </w:pPr>
      <w:r>
        <w:rPr>
          <w:spacing w:val="-6"/>
        </w:rPr>
        <w:t>在企业内部监督管理中，制定了突发环境事件应急预案演练方式、演</w:t>
      </w:r>
      <w:r>
        <w:rPr>
          <w:spacing w:val="-8"/>
        </w:rPr>
        <w:t>练组织与级别、演练准备、演练频次与范围、演练内容等演练要求，同时制定了各应急组织宣教培训要求、培训主要内容和员工在突发环境事件应急救援处置的</w:t>
      </w:r>
    </w:p>
    <w:p>
      <w:pPr>
        <w:spacing w:line="364" w:lineRule="auto"/>
        <w:jc w:val="both"/>
        <w:sectPr>
          <w:pgSz w:w="11910" w:h="16840"/>
          <w:pgMar w:top="1360" w:right="840" w:bottom="280" w:left="840" w:header="882" w:footer="0" w:gutter="0"/>
          <w:cols w:space="720" w:num="1"/>
        </w:sectPr>
      </w:pPr>
    </w:p>
    <w:p>
      <w:pPr>
        <w:pStyle w:val="8"/>
        <w:spacing w:before="64"/>
        <w:ind w:right="0" w:firstLine="0"/>
        <w:jc w:val="left"/>
      </w:pPr>
      <w:r>
        <w:t>奖励、惩罚、追究刑事责任的情形。</w:t>
      </w:r>
    </w:p>
    <w:p>
      <w:pPr>
        <w:pStyle w:val="8"/>
        <w:numPr>
          <w:ilvl w:val="0"/>
          <w:numId w:val="1"/>
        </w:numPr>
        <w:tabs>
          <w:tab w:val="left" w:pos="1631"/>
        </w:tabs>
        <w:spacing w:before="186" w:line="364" w:lineRule="auto"/>
        <w:ind w:right="98" w:firstLine="559"/>
      </w:pPr>
      <w:r>
        <w:rPr>
          <w:spacing w:val="-5"/>
        </w:rPr>
        <w:t>参照《建设项目环境风险评价技术导则》</w:t>
      </w:r>
      <w:r>
        <w:t>（</w:t>
      </w:r>
      <w:r>
        <w:rPr>
          <w:rFonts w:ascii="Times New Roman" w:eastAsia="Times New Roman"/>
        </w:rPr>
        <w:t>HJ/T</w:t>
      </w:r>
      <w:r>
        <w:rPr>
          <w:rFonts w:ascii="Times New Roman" w:eastAsia="Times New Roman"/>
          <w:spacing w:val="-9"/>
        </w:rPr>
        <w:t xml:space="preserve"> </w:t>
      </w:r>
      <w:r>
        <w:rPr>
          <w:rFonts w:ascii="Times New Roman" w:eastAsia="Times New Roman"/>
        </w:rPr>
        <w:t>169-2018</w:t>
      </w:r>
      <w:r>
        <w:t>）</w:t>
      </w:r>
      <w:r>
        <w:rPr>
          <w:spacing w:val="-6"/>
        </w:rPr>
        <w:t>、《危险</w:t>
      </w:r>
      <w:r>
        <w:rPr>
          <w:spacing w:val="-8"/>
        </w:rPr>
        <w:t>化学品重大危险源辨识》</w:t>
      </w:r>
      <w:r>
        <w:rPr>
          <w:spacing w:val="-3"/>
        </w:rPr>
        <w:t>（</w:t>
      </w:r>
      <w:r>
        <w:rPr>
          <w:rFonts w:ascii="Times New Roman" w:eastAsia="Times New Roman"/>
          <w:spacing w:val="-3"/>
        </w:rPr>
        <w:t>GB18218-2018</w:t>
      </w:r>
      <w:r>
        <w:rPr>
          <w:spacing w:val="-3"/>
        </w:rPr>
        <w:t>）</w:t>
      </w:r>
      <w:r>
        <w:rPr>
          <w:spacing w:val="-8"/>
        </w:rPr>
        <w:t>编制本应急预案。在编制《突发环境</w:t>
      </w:r>
      <w:r>
        <w:rPr>
          <w:spacing w:val="-7"/>
        </w:rPr>
        <w:t>事件风险评估报告》过程中，在经充分了解企业基本情况、周边环境风险受体情</w:t>
      </w:r>
      <w:r>
        <w:rPr>
          <w:spacing w:val="-3"/>
        </w:rPr>
        <w:t>况、涉及环境风险物质情况、生产工艺及污染源状况、厂区安全生产管理现状、</w:t>
      </w:r>
      <w:r>
        <w:rPr>
          <w:spacing w:val="-6"/>
        </w:rPr>
        <w:t>现有环境风险防控与应急措施情况、现有应急物资与装备、救援队伍情况等情况</w:t>
      </w:r>
      <w:r>
        <w:rPr>
          <w:spacing w:val="-8"/>
        </w:rPr>
        <w:t>后，在借鉴国内外同类企业突发环境事件有关经验教训的情况下，对企业突发环</w:t>
      </w:r>
      <w:r>
        <w:rPr>
          <w:spacing w:val="-15"/>
        </w:rPr>
        <w:t>境事件做出情景分析和假设，确定最大可信事故，并对突发环境事件情景的源强、</w:t>
      </w:r>
      <w:r>
        <w:rPr>
          <w:spacing w:val="-9"/>
        </w:rPr>
        <w:t>释放环境风险物质的释放途径、突发环境事件后果、风险防控与应急措施、应急</w:t>
      </w:r>
      <w:r>
        <w:rPr>
          <w:spacing w:val="-7"/>
        </w:rPr>
        <w:t>资源配置情况进行了详细的分析；同时对本企业现有环境风险防控和应急措施差</w:t>
      </w:r>
      <w:r>
        <w:rPr>
          <w:spacing w:val="-3"/>
        </w:rPr>
        <w:t>距进行分析，提出了完善环境风险防控和应急措施的实施计划。</w:t>
      </w:r>
    </w:p>
    <w:p>
      <w:pPr>
        <w:spacing w:before="151"/>
        <w:ind w:left="240"/>
        <w:rPr>
          <w:b/>
          <w:sz w:val="28"/>
        </w:rPr>
      </w:pPr>
      <w:r>
        <w:rPr>
          <w:b/>
          <w:sz w:val="28"/>
        </w:rPr>
        <w:t>三、征求意见及采纳情况说明</w:t>
      </w:r>
    </w:p>
    <w:p>
      <w:pPr>
        <w:pStyle w:val="10"/>
        <w:spacing w:before="9"/>
        <w:rPr>
          <w:b/>
          <w:sz w:val="26"/>
        </w:rPr>
      </w:pPr>
    </w:p>
    <w:p>
      <w:pPr>
        <w:pStyle w:val="8"/>
        <w:spacing w:line="364" w:lineRule="auto"/>
      </w:pPr>
      <w:r>
        <w:rPr>
          <w:spacing w:val="-8"/>
        </w:rPr>
        <w:t>在编制《</w:t>
      </w:r>
      <w:r>
        <w:rPr>
          <w:rFonts w:hint="eastAsia"/>
          <w:spacing w:val="-8"/>
        </w:rPr>
        <w:t>赤壁市泰博服饰股份有限公司</w:t>
      </w:r>
      <w:r>
        <w:rPr>
          <w:spacing w:val="-8"/>
        </w:rPr>
        <w:t>突发环境事件应急预案》过程中，征求</w:t>
      </w:r>
      <w:r>
        <w:rPr>
          <w:spacing w:val="-6"/>
        </w:rPr>
        <w:t>了本企业各部门负责人和职工意见，沟通后积极采纳相关意见并进行修改。同时</w:t>
      </w:r>
      <w:r>
        <w:rPr>
          <w:spacing w:val="3"/>
        </w:rPr>
        <w:t>征求了可能受影响居民和单位的意见，主要针对突发环境事件发生时居民的联</w:t>
      </w:r>
      <w:r>
        <w:rPr>
          <w:spacing w:val="-9"/>
        </w:rPr>
        <w:t>系、撤离等以及周边居民的应急环境保护，积极采纳所征求意见并对预案进行了</w:t>
      </w:r>
      <w:r>
        <w:rPr>
          <w:spacing w:val="-4"/>
        </w:rPr>
        <w:t>完善。</w:t>
      </w:r>
    </w:p>
    <w:p>
      <w:pPr>
        <w:spacing w:before="151"/>
        <w:ind w:left="240"/>
        <w:rPr>
          <w:b/>
          <w:sz w:val="28"/>
        </w:rPr>
      </w:pPr>
      <w:r>
        <w:rPr>
          <w:b/>
          <w:sz w:val="28"/>
        </w:rPr>
        <w:t>四、评审情况说明</w:t>
      </w:r>
    </w:p>
    <w:p>
      <w:pPr>
        <w:pStyle w:val="10"/>
        <w:spacing w:before="9"/>
        <w:rPr>
          <w:b/>
          <w:sz w:val="26"/>
        </w:rPr>
      </w:pPr>
    </w:p>
    <w:p>
      <w:pPr>
        <w:pStyle w:val="8"/>
        <w:spacing w:before="189" w:line="364" w:lineRule="auto"/>
        <w:ind w:right="235" w:firstLine="0"/>
      </w:pPr>
      <w:r>
        <w:rPr>
          <w:spacing w:val="-11"/>
        </w:rPr>
        <w:t xml:space="preserve">预案编制工作组于 </w:t>
      </w:r>
      <w:r>
        <w:rPr>
          <w:rFonts w:ascii="Times New Roman" w:eastAsia="Times New Roman"/>
        </w:rPr>
        <w:t>202</w:t>
      </w:r>
      <w:r>
        <w:rPr>
          <w:rFonts w:hint="eastAsia" w:ascii="Times New Roman" w:eastAsia="宋体"/>
          <w:lang w:val="en-US"/>
        </w:rPr>
        <w:t>2</w:t>
      </w:r>
      <w:r>
        <w:rPr>
          <w:spacing w:val="-35"/>
        </w:rPr>
        <w:t xml:space="preserve">年 </w:t>
      </w:r>
      <w:r>
        <w:rPr>
          <w:rFonts w:hint="eastAsia" w:ascii="Times New Roman" w:eastAsia="宋体"/>
          <w:lang w:val="en-US"/>
        </w:rPr>
        <w:t>5</w:t>
      </w:r>
      <w:r>
        <w:rPr>
          <w:spacing w:val="-36"/>
        </w:rPr>
        <w:t xml:space="preserve">月 </w:t>
      </w:r>
      <w:r>
        <w:rPr>
          <w:rFonts w:ascii="Times New Roman" w:eastAsia="Times New Roman"/>
        </w:rPr>
        <w:t>2</w:t>
      </w:r>
      <w:r>
        <w:rPr>
          <w:rFonts w:hint="eastAsia" w:ascii="Times New Roman" w:eastAsia="宋体"/>
          <w:lang w:val="en-US"/>
        </w:rPr>
        <w:t>8</w:t>
      </w:r>
      <w:r>
        <w:rPr>
          <w:rFonts w:ascii="Times New Roman" w:eastAsia="Times New Roman"/>
        </w:rPr>
        <w:t xml:space="preserve"> </w:t>
      </w:r>
      <w:r>
        <w:rPr>
          <w:spacing w:val="-9"/>
        </w:rPr>
        <w:t>日编制完成了《</w:t>
      </w:r>
      <w:r>
        <w:rPr>
          <w:rFonts w:hint="eastAsia"/>
          <w:spacing w:val="-8"/>
        </w:rPr>
        <w:t>赤壁市泰博服饰股份有限公司</w:t>
      </w:r>
      <w:r>
        <w:rPr>
          <w:spacing w:val="-7"/>
        </w:rPr>
        <w:t>突发环境事件应急预案》</w:t>
      </w:r>
      <w:r>
        <w:rPr>
          <w:spacing w:val="-3"/>
        </w:rPr>
        <w:t>（</w:t>
      </w:r>
      <w:r>
        <w:rPr>
          <w:spacing w:val="-2"/>
        </w:rPr>
        <w:t>送审稿</w:t>
      </w:r>
      <w:r>
        <w:rPr>
          <w:spacing w:val="-9"/>
        </w:rPr>
        <w:t>），</w:t>
      </w:r>
      <w:r>
        <w:rPr>
          <w:rFonts w:ascii="Times New Roman" w:hAnsi="Times New Roman" w:eastAsia="Times New Roman"/>
          <w:spacing w:val="-9"/>
          <w:u w:val="single"/>
        </w:rPr>
        <w:t>202</w:t>
      </w:r>
      <w:r>
        <w:rPr>
          <w:rFonts w:hint="eastAsia" w:ascii="Times New Roman" w:hAnsi="Times New Roman" w:eastAsia="宋体"/>
          <w:spacing w:val="-9"/>
          <w:u w:val="single"/>
          <w:lang w:val="en-US"/>
        </w:rPr>
        <w:t>2</w:t>
      </w:r>
      <w:r>
        <w:rPr>
          <w:rFonts w:ascii="Times New Roman" w:hAnsi="Times New Roman" w:eastAsia="Times New Roman"/>
          <w:spacing w:val="-9"/>
          <w:u w:val="single"/>
        </w:rPr>
        <w:t xml:space="preserve"> </w:t>
      </w:r>
      <w:r>
        <w:rPr>
          <w:spacing w:val="-34"/>
          <w:u w:val="single"/>
        </w:rPr>
        <w:t xml:space="preserve">年 </w:t>
      </w:r>
      <w:r>
        <w:rPr>
          <w:rFonts w:hint="eastAsia"/>
          <w:spacing w:val="-34"/>
          <w:u w:val="single"/>
          <w:lang w:val="en-US"/>
        </w:rPr>
        <w:t>6</w:t>
      </w:r>
      <w:r>
        <w:rPr>
          <w:spacing w:val="-34"/>
          <w:u w:val="single"/>
        </w:rPr>
        <w:t xml:space="preserve">月 </w:t>
      </w:r>
      <w:r>
        <w:rPr>
          <w:rFonts w:hint="eastAsia"/>
          <w:spacing w:val="-34"/>
          <w:u w:val="single"/>
          <w:lang w:val="en-US"/>
        </w:rPr>
        <w:t>20</w:t>
      </w:r>
      <w:r>
        <w:rPr>
          <w:rFonts w:ascii="Times New Roman" w:hAnsi="Times New Roman" w:eastAsia="Times New Roman"/>
          <w:u w:val="single"/>
        </w:rPr>
        <w:t xml:space="preserve"> </w:t>
      </w:r>
      <w:r>
        <w:rPr>
          <w:spacing w:val="-15"/>
          <w:u w:val="single"/>
        </w:rPr>
        <w:t>日，</w:t>
      </w:r>
      <w:r>
        <w:rPr>
          <w:rFonts w:hint="eastAsia"/>
          <w:spacing w:val="-8"/>
        </w:rPr>
        <w:t>赤壁市泰博服饰股份有限公</w:t>
      </w:r>
      <w:r>
        <w:rPr>
          <w:spacing w:val="-3"/>
        </w:rPr>
        <w:t>组织专家对</w:t>
      </w:r>
      <w:r>
        <w:rPr>
          <w:rFonts w:ascii="Times New Roman" w:hAnsi="Times New Roman" w:eastAsia="Times New Roman"/>
        </w:rPr>
        <w:t>“</w:t>
      </w:r>
      <w:r>
        <w:rPr>
          <w:spacing w:val="-2"/>
        </w:rPr>
        <w:t>送审稿</w:t>
      </w:r>
      <w:r>
        <w:rPr>
          <w:rFonts w:ascii="Times New Roman" w:hAnsi="Times New Roman" w:eastAsia="Times New Roman"/>
        </w:rPr>
        <w:t>”</w:t>
      </w:r>
      <w:r>
        <w:rPr>
          <w:spacing w:val="-6"/>
        </w:rPr>
        <w:t>进行了评审，形成了《</w:t>
      </w:r>
      <w:r>
        <w:rPr>
          <w:rFonts w:hint="eastAsia"/>
          <w:spacing w:val="-8"/>
        </w:rPr>
        <w:t>赤壁市泰博服饰股份有限公司</w:t>
      </w:r>
      <w:r>
        <w:rPr>
          <w:spacing w:val="-7"/>
        </w:rPr>
        <w:t>突发环境事件应急预案评审意见》，会后我单位根据专家组意见对报告进行了修</w:t>
      </w:r>
      <w:r>
        <w:rPr>
          <w:spacing w:val="-19"/>
        </w:rPr>
        <w:t xml:space="preserve">改完善，于 </w:t>
      </w:r>
      <w:r>
        <w:rPr>
          <w:rFonts w:ascii="Times New Roman" w:hAnsi="Times New Roman" w:eastAsia="Times New Roman"/>
          <w:u w:val="single"/>
        </w:rPr>
        <w:t>202</w:t>
      </w:r>
      <w:r>
        <w:rPr>
          <w:rFonts w:hint="eastAsia" w:ascii="Times New Roman" w:hAnsi="Times New Roman" w:eastAsia="宋体"/>
          <w:u w:val="single"/>
          <w:lang w:val="en-US"/>
        </w:rPr>
        <w:t>2</w:t>
      </w:r>
      <w:r>
        <w:rPr>
          <w:rFonts w:ascii="Times New Roman" w:hAnsi="Times New Roman" w:eastAsia="Times New Roman"/>
          <w:u w:val="single"/>
        </w:rPr>
        <w:t xml:space="preserve"> </w:t>
      </w:r>
      <w:r>
        <w:rPr>
          <w:spacing w:val="-34"/>
          <w:u w:val="single"/>
        </w:rPr>
        <w:t xml:space="preserve">年 </w:t>
      </w:r>
      <w:r>
        <w:rPr>
          <w:rFonts w:hint="eastAsia"/>
          <w:spacing w:val="-34"/>
          <w:u w:val="single"/>
          <w:lang w:val="en-US"/>
        </w:rPr>
        <w:t>6</w:t>
      </w:r>
      <w:r>
        <w:rPr>
          <w:u w:val="single"/>
        </w:rPr>
        <w:t>月</w:t>
      </w:r>
      <w:r>
        <w:rPr>
          <w:spacing w:val="-6"/>
        </w:rPr>
        <w:t>形成《</w:t>
      </w:r>
      <w:r>
        <w:rPr>
          <w:rFonts w:hint="eastAsia"/>
          <w:spacing w:val="-8"/>
        </w:rPr>
        <w:t>赤壁市泰博服饰股份有限公司</w:t>
      </w:r>
      <w:r>
        <w:rPr>
          <w:spacing w:val="-6"/>
        </w:rPr>
        <w:t>突发环境事件应急预</w:t>
      </w:r>
      <w:r>
        <w:rPr>
          <w:spacing w:val="-5"/>
        </w:rPr>
        <w:t>案》</w:t>
      </w:r>
      <w:r>
        <w:t>（</w:t>
      </w:r>
      <w:r>
        <w:rPr>
          <w:spacing w:val="-2"/>
        </w:rPr>
        <w:t>备案稿</w:t>
      </w:r>
      <w:r>
        <w:t>），</w:t>
      </w:r>
      <w:r>
        <w:rPr>
          <w:spacing w:val="-3"/>
        </w:rPr>
        <w:t>现呈报咸宁市生态环境局赤壁市分局备案。</w:t>
      </w:r>
    </w:p>
    <w:p>
      <w:pPr>
        <w:spacing w:line="364" w:lineRule="auto"/>
        <w:sectPr>
          <w:pgSz w:w="11910" w:h="16840"/>
          <w:pgMar w:top="1360" w:right="840" w:bottom="280" w:left="840" w:header="882" w:footer="0" w:gutter="0"/>
          <w:cols w:space="720" w:num="1"/>
        </w:sectPr>
      </w:pPr>
    </w:p>
    <w:p>
      <w:pPr>
        <w:tabs>
          <w:tab w:val="left" w:pos="719"/>
        </w:tabs>
        <w:spacing w:before="64"/>
        <w:ind w:right="1"/>
        <w:jc w:val="center"/>
        <w:rPr>
          <w:b/>
          <w:sz w:val="36"/>
        </w:rPr>
      </w:pPr>
      <w:r>
        <w:rPr>
          <w:b/>
          <w:sz w:val="36"/>
        </w:rPr>
        <w:t>目</w:t>
      </w:r>
      <w:r>
        <w:rPr>
          <w:b/>
          <w:sz w:val="36"/>
        </w:rPr>
        <w:tab/>
      </w:r>
      <w:r>
        <w:rPr>
          <w:b/>
          <w:sz w:val="36"/>
        </w:rPr>
        <w:t>录</w:t>
      </w:r>
    </w:p>
    <w:p>
      <w:pPr>
        <w:jc w:val="center"/>
        <w:rPr>
          <w:sz w:val="36"/>
        </w:rPr>
        <w:sectPr>
          <w:pgSz w:w="11910" w:h="16840"/>
          <w:pgMar w:top="1360" w:right="840" w:bottom="1653" w:left="840" w:header="882" w:footer="0" w:gutter="0"/>
          <w:cols w:space="720" w:num="1"/>
        </w:sectPr>
      </w:pPr>
    </w:p>
    <w:sdt>
      <w:sdtPr>
        <w:rPr>
          <w:b w:val="0"/>
          <w:bCs w:val="0"/>
        </w:rPr>
        <w:id w:val="1"/>
        <w:docPartObj>
          <w:docPartGallery w:val="Table of Contents"/>
          <w:docPartUnique/>
        </w:docPartObj>
      </w:sdtPr>
      <w:sdtEndPr>
        <w:rPr>
          <w:b w:val="0"/>
          <w:bCs w:val="0"/>
        </w:rPr>
      </w:sdtEndPr>
      <w:sdtContent>
        <w:p>
          <w:pPr>
            <w:pStyle w:val="4"/>
            <w:numPr>
              <w:ilvl w:val="0"/>
              <w:numId w:val="2"/>
            </w:numPr>
            <w:tabs>
              <w:tab w:val="left" w:pos="180"/>
              <w:tab w:val="right" w:leader="dot" w:pos="9746"/>
            </w:tabs>
            <w:spacing w:before="318"/>
            <w:ind w:hanging="420"/>
            <w:jc w:val="right"/>
            <w:rPr>
              <w:rFonts w:ascii="Times New Roman" w:eastAsia="Times New Roman"/>
            </w:rPr>
          </w:pPr>
          <w:r>
            <w:fldChar w:fldCharType="begin"/>
          </w:r>
          <w:r>
            <w:instrText xml:space="preserve"> HYPERLINK \l "_bookmark0" </w:instrText>
          </w:r>
          <w:r>
            <w:fldChar w:fldCharType="separate"/>
          </w:r>
          <w:r>
            <w:t>总则</w:t>
          </w:r>
          <w:r>
            <w:tab/>
          </w:r>
          <w:r>
            <w:rPr>
              <w:rFonts w:ascii="Times New Roman" w:eastAsia="Times New Roman"/>
            </w:rPr>
            <w:t>1</w:t>
          </w:r>
          <w:r>
            <w:rPr>
              <w:rFonts w:ascii="Times New Roman" w:eastAsia="Times New Roman"/>
            </w:rPr>
            <w:fldChar w:fldCharType="end"/>
          </w:r>
        </w:p>
        <w:p>
          <w:pPr>
            <w:pStyle w:val="14"/>
            <w:numPr>
              <w:ilvl w:val="1"/>
              <w:numId w:val="2"/>
            </w:numPr>
            <w:tabs>
              <w:tab w:val="left" w:pos="420"/>
              <w:tab w:val="right" w:leader="dot" w:pos="9326"/>
            </w:tabs>
            <w:spacing w:before="161"/>
            <w:ind w:hanging="1080"/>
            <w:jc w:val="right"/>
            <w:rPr>
              <w:rFonts w:ascii="Times New Roman" w:eastAsia="Times New Roman"/>
            </w:rPr>
          </w:pPr>
          <w:r>
            <w:fldChar w:fldCharType="begin"/>
          </w:r>
          <w:r>
            <w:instrText xml:space="preserve"> HYPERLINK \l "_bookmark1" </w:instrText>
          </w:r>
          <w:r>
            <w:fldChar w:fldCharType="separate"/>
          </w:r>
          <w:r>
            <w:t>编制目的</w:t>
          </w:r>
          <w:r>
            <w:tab/>
          </w:r>
          <w:r>
            <w:rPr>
              <w:rFonts w:ascii="Times New Roman" w:eastAsia="Times New Roman"/>
            </w:rPr>
            <w:t>1</w:t>
          </w:r>
          <w:r>
            <w:rPr>
              <w:rFonts w:ascii="Times New Roman" w:eastAsia="Times New Roman"/>
            </w:rPr>
            <w:fldChar w:fldCharType="end"/>
          </w:r>
        </w:p>
        <w:p>
          <w:pPr>
            <w:pStyle w:val="14"/>
            <w:numPr>
              <w:ilvl w:val="1"/>
              <w:numId w:val="2"/>
            </w:numPr>
            <w:tabs>
              <w:tab w:val="left" w:pos="420"/>
              <w:tab w:val="right" w:leader="dot" w:pos="9326"/>
            </w:tabs>
            <w:ind w:hanging="1080"/>
            <w:jc w:val="right"/>
            <w:rPr>
              <w:rFonts w:ascii="Times New Roman" w:eastAsia="Times New Roman"/>
            </w:rPr>
          </w:pPr>
          <w:r>
            <w:fldChar w:fldCharType="begin"/>
          </w:r>
          <w:r>
            <w:instrText xml:space="preserve"> HYPERLINK \l "_bookmark2" </w:instrText>
          </w:r>
          <w:r>
            <w:fldChar w:fldCharType="separate"/>
          </w:r>
          <w:r>
            <w:t>编制依据</w:t>
          </w:r>
          <w:r>
            <w:tab/>
          </w:r>
          <w:r>
            <w:rPr>
              <w:rFonts w:ascii="Times New Roman" w:eastAsia="Times New Roman"/>
            </w:rPr>
            <w:t>1</w:t>
          </w:r>
          <w:r>
            <w:rPr>
              <w:rFonts w:ascii="Times New Roman" w:eastAsia="Times New Roman"/>
            </w:rPr>
            <w:fldChar w:fldCharType="end"/>
          </w:r>
        </w:p>
        <w:p>
          <w:pPr>
            <w:pStyle w:val="14"/>
            <w:numPr>
              <w:ilvl w:val="2"/>
              <w:numId w:val="2"/>
            </w:numPr>
            <w:tabs>
              <w:tab w:val="left" w:pos="540"/>
              <w:tab w:val="right" w:leader="dot" w:pos="8906"/>
            </w:tabs>
            <w:spacing w:before="161"/>
            <w:ind w:hanging="1620"/>
            <w:jc w:val="right"/>
            <w:rPr>
              <w:rFonts w:ascii="Times New Roman" w:eastAsia="Times New Roman"/>
            </w:rPr>
          </w:pPr>
          <w:r>
            <w:fldChar w:fldCharType="begin"/>
          </w:r>
          <w:r>
            <w:instrText xml:space="preserve"> HYPERLINK \l "_bookmark3" </w:instrText>
          </w:r>
          <w:r>
            <w:fldChar w:fldCharType="separate"/>
          </w:r>
          <w:r>
            <w:t>有关环境保护法律、法规、技术规范及标准</w:t>
          </w:r>
          <w:r>
            <w:tab/>
          </w:r>
          <w:r>
            <w:rPr>
              <w:rFonts w:ascii="Times New Roman" w:eastAsia="Times New Roman"/>
            </w:rPr>
            <w:t>1</w:t>
          </w:r>
          <w:r>
            <w:rPr>
              <w:rFonts w:ascii="Times New Roman" w:eastAsia="Times New Roman"/>
            </w:rPr>
            <w:fldChar w:fldCharType="end"/>
          </w:r>
        </w:p>
        <w:p>
          <w:pPr>
            <w:pStyle w:val="14"/>
            <w:numPr>
              <w:ilvl w:val="2"/>
              <w:numId w:val="2"/>
            </w:numPr>
            <w:tabs>
              <w:tab w:val="left" w:pos="600"/>
              <w:tab w:val="right" w:leader="dot" w:pos="8906"/>
            </w:tabs>
            <w:ind w:left="1680" w:hanging="1680"/>
            <w:jc w:val="right"/>
            <w:rPr>
              <w:rFonts w:ascii="Times New Roman" w:eastAsia="Times New Roman"/>
            </w:rPr>
          </w:pPr>
          <w:r>
            <w:fldChar w:fldCharType="begin"/>
          </w:r>
          <w:r>
            <w:instrText xml:space="preserve"> HYPERLINK \l "_bookmark4" </w:instrText>
          </w:r>
          <w:r>
            <w:fldChar w:fldCharType="separate"/>
          </w:r>
          <w:r>
            <w:t>标准、技术规范</w:t>
          </w:r>
          <w:r>
            <w:tab/>
          </w:r>
          <w:r>
            <w:rPr>
              <w:rFonts w:ascii="Times New Roman" w:eastAsia="Times New Roman"/>
            </w:rPr>
            <w:t>2</w:t>
          </w:r>
          <w:r>
            <w:rPr>
              <w:rFonts w:ascii="Times New Roman" w:eastAsia="Times New Roman"/>
            </w:rPr>
            <w:fldChar w:fldCharType="end"/>
          </w:r>
        </w:p>
        <w:p>
          <w:pPr>
            <w:pStyle w:val="14"/>
            <w:numPr>
              <w:ilvl w:val="2"/>
              <w:numId w:val="2"/>
            </w:numPr>
            <w:tabs>
              <w:tab w:val="left" w:pos="540"/>
              <w:tab w:val="right" w:leader="dot" w:pos="8906"/>
            </w:tabs>
            <w:spacing w:before="161"/>
            <w:ind w:hanging="1620"/>
            <w:jc w:val="right"/>
            <w:rPr>
              <w:rFonts w:ascii="Times New Roman" w:eastAsia="Times New Roman"/>
            </w:rPr>
          </w:pPr>
          <w:r>
            <w:fldChar w:fldCharType="begin"/>
          </w:r>
          <w:r>
            <w:instrText xml:space="preserve"> HYPERLINK \l "_bookmark5" </w:instrText>
          </w:r>
          <w:r>
            <w:fldChar w:fldCharType="separate"/>
          </w:r>
          <w:r>
            <w:t>其它参考资料</w:t>
          </w:r>
          <w:r>
            <w:tab/>
          </w:r>
          <w:r>
            <w:rPr>
              <w:rFonts w:ascii="Times New Roman" w:eastAsia="Times New Roman"/>
            </w:rPr>
            <w:t>2</w:t>
          </w:r>
          <w:r>
            <w:rPr>
              <w:rFonts w:ascii="Times New Roman" w:eastAsia="Times New Roman"/>
            </w:rPr>
            <w:fldChar w:fldCharType="end"/>
          </w:r>
        </w:p>
        <w:p>
          <w:pPr>
            <w:pStyle w:val="14"/>
            <w:numPr>
              <w:ilvl w:val="1"/>
              <w:numId w:val="2"/>
            </w:numPr>
            <w:tabs>
              <w:tab w:val="left" w:pos="420"/>
              <w:tab w:val="right" w:leader="dot" w:pos="9326"/>
            </w:tabs>
            <w:ind w:hanging="1080"/>
            <w:jc w:val="right"/>
            <w:rPr>
              <w:rFonts w:ascii="Times New Roman" w:eastAsia="Times New Roman"/>
            </w:rPr>
          </w:pPr>
          <w:r>
            <w:fldChar w:fldCharType="begin"/>
          </w:r>
          <w:r>
            <w:instrText xml:space="preserve"> HYPERLINK \l "_bookmark6" </w:instrText>
          </w:r>
          <w:r>
            <w:fldChar w:fldCharType="separate"/>
          </w:r>
          <w:r>
            <w:t>适用范围</w:t>
          </w:r>
          <w:r>
            <w:tab/>
          </w:r>
          <w:r>
            <w:rPr>
              <w:rFonts w:ascii="Times New Roman" w:eastAsia="Times New Roman"/>
            </w:rPr>
            <w:t>3</w:t>
          </w:r>
          <w:r>
            <w:rPr>
              <w:rFonts w:ascii="Times New Roman" w:eastAsia="Times New Roman"/>
            </w:rPr>
            <w:fldChar w:fldCharType="end"/>
          </w:r>
        </w:p>
        <w:p>
          <w:pPr>
            <w:pStyle w:val="14"/>
            <w:numPr>
              <w:ilvl w:val="1"/>
              <w:numId w:val="2"/>
            </w:numPr>
            <w:tabs>
              <w:tab w:val="left" w:pos="420"/>
              <w:tab w:val="right" w:leader="dot" w:pos="9326"/>
            </w:tabs>
            <w:spacing w:before="161"/>
            <w:ind w:hanging="1080"/>
            <w:jc w:val="right"/>
            <w:rPr>
              <w:rFonts w:ascii="Times New Roman" w:eastAsia="Times New Roman"/>
            </w:rPr>
          </w:pPr>
          <w:r>
            <w:fldChar w:fldCharType="begin"/>
          </w:r>
          <w:r>
            <w:instrText xml:space="preserve"> HYPERLINK \l "_bookmark7" </w:instrText>
          </w:r>
          <w:r>
            <w:fldChar w:fldCharType="separate"/>
          </w:r>
          <w:r>
            <w:t>事故分级</w:t>
          </w:r>
          <w:r>
            <w:tab/>
          </w:r>
          <w:r>
            <w:rPr>
              <w:rFonts w:ascii="Times New Roman" w:eastAsia="Times New Roman"/>
            </w:rPr>
            <w:t>3</w:t>
          </w:r>
          <w:r>
            <w:rPr>
              <w:rFonts w:ascii="Times New Roman" w:eastAsia="Times New Roman"/>
            </w:rPr>
            <w:fldChar w:fldCharType="end"/>
          </w:r>
        </w:p>
        <w:p>
          <w:pPr>
            <w:pStyle w:val="14"/>
            <w:numPr>
              <w:ilvl w:val="2"/>
              <w:numId w:val="2"/>
            </w:numPr>
            <w:tabs>
              <w:tab w:val="left" w:pos="600"/>
              <w:tab w:val="right" w:leader="dot" w:pos="8906"/>
            </w:tabs>
            <w:ind w:left="1680" w:hanging="1680"/>
            <w:jc w:val="right"/>
            <w:rPr>
              <w:rFonts w:ascii="Times New Roman" w:eastAsia="Times New Roman"/>
            </w:rPr>
          </w:pPr>
          <w:r>
            <w:fldChar w:fldCharType="begin"/>
          </w:r>
          <w:r>
            <w:instrText xml:space="preserve"> HYPERLINK \l "_bookmark8" </w:instrText>
          </w:r>
          <w:r>
            <w:fldChar w:fldCharType="separate"/>
          </w:r>
          <w:r>
            <w:t>国家分级</w:t>
          </w:r>
          <w:r>
            <w:tab/>
          </w:r>
          <w:r>
            <w:rPr>
              <w:rFonts w:ascii="Times New Roman" w:eastAsia="Times New Roman"/>
            </w:rPr>
            <w:t>3</w:t>
          </w:r>
          <w:r>
            <w:rPr>
              <w:rFonts w:ascii="Times New Roman" w:eastAsia="Times New Roman"/>
            </w:rPr>
            <w:fldChar w:fldCharType="end"/>
          </w:r>
        </w:p>
        <w:p>
          <w:pPr>
            <w:pStyle w:val="14"/>
            <w:numPr>
              <w:ilvl w:val="2"/>
              <w:numId w:val="2"/>
            </w:numPr>
            <w:tabs>
              <w:tab w:val="left" w:pos="600"/>
              <w:tab w:val="right" w:leader="dot" w:pos="8906"/>
            </w:tabs>
            <w:spacing w:before="161"/>
            <w:ind w:left="1680" w:hanging="1680"/>
            <w:jc w:val="right"/>
            <w:rPr>
              <w:rFonts w:ascii="Times New Roman" w:eastAsia="Times New Roman"/>
            </w:rPr>
          </w:pPr>
          <w:r>
            <w:fldChar w:fldCharType="begin"/>
          </w:r>
          <w:r>
            <w:instrText xml:space="preserve"> HYPERLINK \l "_bookmark9" </w:instrText>
          </w:r>
          <w:r>
            <w:fldChar w:fldCharType="separate"/>
          </w:r>
          <w:r>
            <w:t>本项目分级</w:t>
          </w:r>
          <w:r>
            <w:tab/>
          </w:r>
          <w:r>
            <w:rPr>
              <w:rFonts w:ascii="Times New Roman" w:eastAsia="Times New Roman"/>
            </w:rPr>
            <w:t>4</w:t>
          </w:r>
          <w:r>
            <w:rPr>
              <w:rFonts w:ascii="Times New Roman" w:eastAsia="Times New Roman"/>
            </w:rPr>
            <w:fldChar w:fldCharType="end"/>
          </w:r>
        </w:p>
        <w:p>
          <w:pPr>
            <w:pStyle w:val="14"/>
            <w:numPr>
              <w:ilvl w:val="1"/>
              <w:numId w:val="2"/>
            </w:numPr>
            <w:tabs>
              <w:tab w:val="left" w:pos="420"/>
              <w:tab w:val="right" w:leader="dot" w:pos="9326"/>
            </w:tabs>
            <w:ind w:hanging="1080"/>
            <w:jc w:val="right"/>
            <w:rPr>
              <w:rFonts w:ascii="Times New Roman" w:eastAsia="Times New Roman"/>
            </w:rPr>
          </w:pPr>
          <w:r>
            <w:fldChar w:fldCharType="begin"/>
          </w:r>
          <w:r>
            <w:instrText xml:space="preserve"> HYPERLINK \l "_bookmark10" </w:instrText>
          </w:r>
          <w:r>
            <w:fldChar w:fldCharType="separate"/>
          </w:r>
          <w:r>
            <w:t>应急预案体系</w:t>
          </w:r>
          <w:r>
            <w:tab/>
          </w:r>
          <w:r>
            <w:rPr>
              <w:rFonts w:ascii="Times New Roman" w:eastAsia="Times New Roman"/>
            </w:rPr>
            <w:t>6</w:t>
          </w:r>
          <w:r>
            <w:rPr>
              <w:rFonts w:ascii="Times New Roman" w:eastAsia="Times New Roman"/>
            </w:rPr>
            <w:fldChar w:fldCharType="end"/>
          </w:r>
        </w:p>
        <w:p>
          <w:pPr>
            <w:pStyle w:val="14"/>
            <w:numPr>
              <w:ilvl w:val="2"/>
              <w:numId w:val="2"/>
            </w:numPr>
            <w:tabs>
              <w:tab w:val="left" w:pos="600"/>
              <w:tab w:val="right" w:leader="dot" w:pos="8906"/>
            </w:tabs>
            <w:spacing w:before="161"/>
            <w:ind w:left="1680" w:hanging="1680"/>
            <w:jc w:val="right"/>
            <w:rPr>
              <w:rFonts w:ascii="Times New Roman" w:eastAsia="Times New Roman"/>
            </w:rPr>
          </w:pPr>
          <w:r>
            <w:fldChar w:fldCharType="begin"/>
          </w:r>
          <w:r>
            <w:instrText xml:space="preserve"> HYPERLINK \l "_bookmark11" </w:instrText>
          </w:r>
          <w:r>
            <w:fldChar w:fldCharType="separate"/>
          </w:r>
          <w:r>
            <w:t>本项目应急预案组成</w:t>
          </w:r>
          <w:r>
            <w:tab/>
          </w:r>
          <w:r>
            <w:rPr>
              <w:rFonts w:ascii="Times New Roman" w:eastAsia="Times New Roman"/>
            </w:rPr>
            <w:t>6</w:t>
          </w:r>
          <w:r>
            <w:rPr>
              <w:rFonts w:ascii="Times New Roman" w:eastAsia="Times New Roman"/>
            </w:rPr>
            <w:fldChar w:fldCharType="end"/>
          </w:r>
        </w:p>
        <w:p>
          <w:pPr>
            <w:pStyle w:val="14"/>
            <w:numPr>
              <w:ilvl w:val="2"/>
              <w:numId w:val="2"/>
            </w:numPr>
            <w:tabs>
              <w:tab w:val="left" w:pos="600"/>
              <w:tab w:val="right" w:leader="dot" w:pos="8906"/>
            </w:tabs>
            <w:ind w:left="1680" w:hanging="1680"/>
            <w:jc w:val="right"/>
            <w:rPr>
              <w:rFonts w:ascii="Times New Roman" w:eastAsia="Times New Roman"/>
            </w:rPr>
          </w:pPr>
          <w:r>
            <w:fldChar w:fldCharType="begin"/>
          </w:r>
          <w:r>
            <w:instrText xml:space="preserve"> HYPERLINK \l "_bookmark12" </w:instrText>
          </w:r>
          <w:r>
            <w:fldChar w:fldCharType="separate"/>
          </w:r>
          <w:r>
            <w:t>风险应急预案的衔接</w:t>
          </w:r>
          <w:r>
            <w:tab/>
          </w:r>
          <w:r>
            <w:rPr>
              <w:rFonts w:ascii="Times New Roman" w:eastAsia="Times New Roman"/>
            </w:rPr>
            <w:t>6</w:t>
          </w:r>
          <w:r>
            <w:rPr>
              <w:rFonts w:ascii="Times New Roman" w:eastAsia="Times New Roman"/>
            </w:rPr>
            <w:fldChar w:fldCharType="end"/>
          </w:r>
        </w:p>
        <w:p>
          <w:pPr>
            <w:pStyle w:val="14"/>
            <w:numPr>
              <w:ilvl w:val="2"/>
              <w:numId w:val="2"/>
            </w:numPr>
            <w:tabs>
              <w:tab w:val="left" w:pos="600"/>
              <w:tab w:val="right" w:leader="dot" w:pos="8906"/>
            </w:tabs>
            <w:spacing w:before="161"/>
            <w:ind w:left="1680" w:hanging="1680"/>
            <w:jc w:val="right"/>
            <w:rPr>
              <w:rFonts w:ascii="Times New Roman" w:eastAsia="Times New Roman"/>
            </w:rPr>
          </w:pPr>
          <w:r>
            <w:fldChar w:fldCharType="begin"/>
          </w:r>
          <w:r>
            <w:instrText xml:space="preserve"> HYPERLINK \l "_bookmark13" </w:instrText>
          </w:r>
          <w:r>
            <w:fldChar w:fldCharType="separate"/>
          </w:r>
          <w:r>
            <w:t>风险防范措施的衔接</w:t>
          </w:r>
          <w:r>
            <w:tab/>
          </w:r>
          <w:r>
            <w:rPr>
              <w:rFonts w:ascii="Times New Roman" w:eastAsia="Times New Roman"/>
            </w:rPr>
            <w:t>8</w:t>
          </w:r>
          <w:r>
            <w:rPr>
              <w:rFonts w:ascii="Times New Roman" w:eastAsia="Times New Roman"/>
            </w:rPr>
            <w:fldChar w:fldCharType="end"/>
          </w:r>
        </w:p>
        <w:p>
          <w:pPr>
            <w:pStyle w:val="14"/>
            <w:numPr>
              <w:ilvl w:val="1"/>
              <w:numId w:val="2"/>
            </w:numPr>
            <w:tabs>
              <w:tab w:val="left" w:pos="420"/>
              <w:tab w:val="right" w:leader="dot" w:pos="9326"/>
            </w:tabs>
            <w:ind w:hanging="1080"/>
            <w:jc w:val="right"/>
            <w:rPr>
              <w:rFonts w:ascii="Times New Roman" w:eastAsia="Times New Roman"/>
            </w:rPr>
          </w:pPr>
          <w:r>
            <w:fldChar w:fldCharType="begin"/>
          </w:r>
          <w:r>
            <w:instrText xml:space="preserve"> HYPERLINK \l "_bookmark14" </w:instrText>
          </w:r>
          <w:r>
            <w:fldChar w:fldCharType="separate"/>
          </w:r>
          <w:r>
            <w:t>工作原则</w:t>
          </w:r>
          <w:r>
            <w:tab/>
          </w:r>
          <w:r>
            <w:rPr>
              <w:rFonts w:ascii="Times New Roman" w:eastAsia="Times New Roman"/>
            </w:rPr>
            <w:t>8</w:t>
          </w:r>
          <w:r>
            <w:rPr>
              <w:rFonts w:ascii="Times New Roman" w:eastAsia="Times New Roman"/>
            </w:rPr>
            <w:fldChar w:fldCharType="end"/>
          </w:r>
        </w:p>
        <w:p>
          <w:pPr>
            <w:pStyle w:val="4"/>
            <w:numPr>
              <w:ilvl w:val="0"/>
              <w:numId w:val="2"/>
            </w:numPr>
            <w:tabs>
              <w:tab w:val="left" w:pos="240"/>
              <w:tab w:val="right" w:leader="dot" w:pos="9746"/>
            </w:tabs>
            <w:ind w:left="480" w:hanging="480"/>
            <w:jc w:val="right"/>
            <w:rPr>
              <w:rFonts w:ascii="Times New Roman" w:eastAsia="Times New Roman"/>
            </w:rPr>
          </w:pPr>
          <w:r>
            <w:fldChar w:fldCharType="begin"/>
          </w:r>
          <w:r>
            <w:instrText xml:space="preserve"> HYPERLINK \l "_bookmark15" </w:instrText>
          </w:r>
          <w:r>
            <w:fldChar w:fldCharType="separate"/>
          </w:r>
          <w:r>
            <w:t>企业概况</w:t>
          </w:r>
          <w:r>
            <w:tab/>
          </w:r>
          <w:r>
            <w:rPr>
              <w:rFonts w:ascii="Times New Roman" w:eastAsia="Times New Roman"/>
            </w:rPr>
            <w:t>9</w:t>
          </w:r>
          <w:r>
            <w:rPr>
              <w:rFonts w:ascii="Times New Roman" w:eastAsia="Times New Roman"/>
            </w:rPr>
            <w:fldChar w:fldCharType="end"/>
          </w:r>
        </w:p>
        <w:p>
          <w:pPr>
            <w:pStyle w:val="14"/>
            <w:numPr>
              <w:ilvl w:val="1"/>
              <w:numId w:val="2"/>
            </w:numPr>
            <w:tabs>
              <w:tab w:val="left" w:pos="420"/>
              <w:tab w:val="right" w:leader="dot" w:pos="9326"/>
            </w:tabs>
            <w:ind w:hanging="1080"/>
            <w:jc w:val="right"/>
            <w:rPr>
              <w:rFonts w:ascii="Times New Roman" w:eastAsia="Times New Roman"/>
            </w:rPr>
          </w:pPr>
          <w:r>
            <w:fldChar w:fldCharType="begin"/>
          </w:r>
          <w:r>
            <w:instrText xml:space="preserve"> HYPERLINK \l "_bookmark16" </w:instrText>
          </w:r>
          <w:r>
            <w:fldChar w:fldCharType="separate"/>
          </w:r>
          <w:r>
            <w:t>公司概况</w:t>
          </w:r>
          <w:r>
            <w:tab/>
          </w:r>
          <w:r>
            <w:rPr>
              <w:rFonts w:ascii="Times New Roman" w:eastAsia="Times New Roman"/>
            </w:rPr>
            <w:t>9</w:t>
          </w:r>
          <w:r>
            <w:rPr>
              <w:rFonts w:ascii="Times New Roman" w:eastAsia="Times New Roman"/>
            </w:rPr>
            <w:fldChar w:fldCharType="end"/>
          </w:r>
        </w:p>
        <w:p>
          <w:pPr>
            <w:pStyle w:val="14"/>
            <w:numPr>
              <w:ilvl w:val="1"/>
              <w:numId w:val="2"/>
            </w:numPr>
            <w:tabs>
              <w:tab w:val="left" w:pos="420"/>
              <w:tab w:val="right" w:leader="dot" w:pos="9326"/>
            </w:tabs>
            <w:spacing w:before="161"/>
            <w:ind w:hanging="1080"/>
            <w:jc w:val="right"/>
            <w:rPr>
              <w:rFonts w:ascii="Times New Roman" w:eastAsia="Times New Roman"/>
            </w:rPr>
          </w:pPr>
          <w:r>
            <w:fldChar w:fldCharType="begin"/>
          </w:r>
          <w:r>
            <w:instrText xml:space="preserve"> HYPERLINK \l "_bookmark17" </w:instrText>
          </w:r>
          <w:r>
            <w:fldChar w:fldCharType="separate"/>
          </w:r>
          <w:r>
            <w:t>地理位置及自然条件</w:t>
          </w:r>
          <w:r>
            <w:tab/>
          </w:r>
          <w:r>
            <w:rPr>
              <w:rFonts w:ascii="Times New Roman" w:eastAsia="Times New Roman"/>
            </w:rPr>
            <w:t>9</w:t>
          </w:r>
          <w:r>
            <w:rPr>
              <w:rFonts w:ascii="Times New Roman" w:eastAsia="Times New Roman"/>
            </w:rPr>
            <w:fldChar w:fldCharType="end"/>
          </w:r>
        </w:p>
        <w:p>
          <w:pPr>
            <w:pStyle w:val="14"/>
            <w:numPr>
              <w:ilvl w:val="2"/>
              <w:numId w:val="2"/>
            </w:numPr>
            <w:tabs>
              <w:tab w:val="left" w:pos="600"/>
              <w:tab w:val="right" w:leader="dot" w:pos="8906"/>
            </w:tabs>
            <w:ind w:left="1680" w:hanging="1680"/>
            <w:jc w:val="right"/>
            <w:rPr>
              <w:rFonts w:ascii="Times New Roman" w:eastAsia="Times New Roman"/>
            </w:rPr>
          </w:pPr>
          <w:r>
            <w:fldChar w:fldCharType="begin"/>
          </w:r>
          <w:r>
            <w:instrText xml:space="preserve"> HYPERLINK \l "_bookmark18" </w:instrText>
          </w:r>
          <w:r>
            <w:fldChar w:fldCharType="separate"/>
          </w:r>
          <w:r>
            <w:t>项目地理位置</w:t>
          </w:r>
          <w:r>
            <w:tab/>
          </w:r>
          <w:r>
            <w:rPr>
              <w:rFonts w:ascii="Times New Roman" w:eastAsia="Times New Roman"/>
            </w:rPr>
            <w:t>10</w:t>
          </w:r>
          <w:r>
            <w:rPr>
              <w:rFonts w:ascii="Times New Roman" w:eastAsia="Times New Roman"/>
            </w:rPr>
            <w:fldChar w:fldCharType="end"/>
          </w:r>
        </w:p>
        <w:p>
          <w:pPr>
            <w:pStyle w:val="14"/>
            <w:numPr>
              <w:ilvl w:val="2"/>
              <w:numId w:val="2"/>
            </w:numPr>
            <w:tabs>
              <w:tab w:val="left" w:pos="600"/>
              <w:tab w:val="right" w:leader="dot" w:pos="8906"/>
            </w:tabs>
            <w:spacing w:before="161"/>
            <w:ind w:left="1680" w:hanging="1680"/>
            <w:jc w:val="right"/>
            <w:rPr>
              <w:rFonts w:ascii="Times New Roman" w:eastAsia="Times New Roman"/>
            </w:rPr>
          </w:pPr>
          <w:r>
            <w:fldChar w:fldCharType="begin"/>
          </w:r>
          <w:r>
            <w:instrText xml:space="preserve"> HYPERLINK \l "_bookmark19" </w:instrText>
          </w:r>
          <w:r>
            <w:fldChar w:fldCharType="separate"/>
          </w:r>
          <w:r>
            <w:t>气候气象</w:t>
          </w:r>
          <w:r>
            <w:tab/>
          </w:r>
          <w:r>
            <w:rPr>
              <w:rFonts w:ascii="Times New Roman" w:eastAsia="Times New Roman"/>
            </w:rPr>
            <w:t>10</w:t>
          </w:r>
          <w:r>
            <w:rPr>
              <w:rFonts w:ascii="Times New Roman" w:eastAsia="Times New Roman"/>
            </w:rPr>
            <w:fldChar w:fldCharType="end"/>
          </w:r>
        </w:p>
        <w:p>
          <w:pPr>
            <w:pStyle w:val="14"/>
            <w:numPr>
              <w:ilvl w:val="2"/>
              <w:numId w:val="2"/>
            </w:numPr>
            <w:tabs>
              <w:tab w:val="left" w:pos="600"/>
              <w:tab w:val="right" w:leader="dot" w:pos="8906"/>
            </w:tabs>
            <w:ind w:left="1680" w:hanging="1680"/>
            <w:jc w:val="right"/>
            <w:rPr>
              <w:rFonts w:ascii="Times New Roman" w:eastAsia="Times New Roman"/>
            </w:rPr>
          </w:pPr>
          <w:r>
            <w:fldChar w:fldCharType="begin"/>
          </w:r>
          <w:r>
            <w:instrText xml:space="preserve"> HYPERLINK \l "_bookmark20" </w:instrText>
          </w:r>
          <w:r>
            <w:fldChar w:fldCharType="separate"/>
          </w:r>
          <w:r>
            <w:t>地形地貌</w:t>
          </w:r>
          <w:r>
            <w:tab/>
          </w:r>
          <w:r>
            <w:rPr>
              <w:rFonts w:ascii="Times New Roman" w:eastAsia="Times New Roman"/>
            </w:rPr>
            <w:t>10</w:t>
          </w:r>
          <w:r>
            <w:rPr>
              <w:rFonts w:ascii="Times New Roman" w:eastAsia="Times New Roman"/>
            </w:rPr>
            <w:fldChar w:fldCharType="end"/>
          </w:r>
        </w:p>
        <w:p>
          <w:pPr>
            <w:pStyle w:val="14"/>
            <w:numPr>
              <w:ilvl w:val="2"/>
              <w:numId w:val="2"/>
            </w:numPr>
            <w:tabs>
              <w:tab w:val="left" w:pos="600"/>
              <w:tab w:val="right" w:leader="dot" w:pos="8906"/>
            </w:tabs>
            <w:spacing w:before="161"/>
            <w:ind w:left="1680" w:hanging="1680"/>
            <w:jc w:val="right"/>
            <w:rPr>
              <w:rFonts w:ascii="Times New Roman" w:eastAsia="Times New Roman"/>
            </w:rPr>
          </w:pPr>
          <w:r>
            <w:fldChar w:fldCharType="begin"/>
          </w:r>
          <w:r>
            <w:instrText xml:space="preserve"> HYPERLINK \l "_bookmark21" </w:instrText>
          </w:r>
          <w:r>
            <w:fldChar w:fldCharType="separate"/>
          </w:r>
          <w:r>
            <w:t>水资源</w:t>
          </w:r>
          <w:r>
            <w:tab/>
          </w:r>
          <w:r>
            <w:rPr>
              <w:rFonts w:ascii="Times New Roman" w:eastAsia="Times New Roman"/>
            </w:rPr>
            <w:t>10</w:t>
          </w:r>
          <w:r>
            <w:rPr>
              <w:rFonts w:ascii="Times New Roman" w:eastAsia="Times New Roman"/>
            </w:rPr>
            <w:fldChar w:fldCharType="end"/>
          </w:r>
        </w:p>
        <w:p>
          <w:pPr>
            <w:pStyle w:val="14"/>
            <w:numPr>
              <w:ilvl w:val="2"/>
              <w:numId w:val="2"/>
            </w:numPr>
            <w:tabs>
              <w:tab w:val="left" w:pos="600"/>
              <w:tab w:val="right" w:leader="dot" w:pos="8908"/>
            </w:tabs>
            <w:ind w:left="1680" w:right="235" w:hanging="1680"/>
            <w:jc w:val="right"/>
            <w:rPr>
              <w:rFonts w:ascii="Times New Roman" w:eastAsia="Times New Roman"/>
            </w:rPr>
          </w:pPr>
          <w:r>
            <w:fldChar w:fldCharType="begin"/>
          </w:r>
          <w:r>
            <w:instrText xml:space="preserve"> HYPERLINK \l "_bookmark22" </w:instrText>
          </w:r>
          <w:r>
            <w:fldChar w:fldCharType="separate"/>
          </w:r>
          <w:r>
            <w:t>土地资源</w:t>
          </w:r>
          <w:r>
            <w:tab/>
          </w:r>
          <w:r>
            <w:rPr>
              <w:rFonts w:ascii="Times New Roman" w:eastAsia="Times New Roman"/>
              <w:spacing w:val="-4"/>
            </w:rPr>
            <w:t>11</w:t>
          </w:r>
          <w:r>
            <w:rPr>
              <w:rFonts w:ascii="Times New Roman" w:eastAsia="Times New Roman"/>
              <w:spacing w:val="-4"/>
            </w:rPr>
            <w:fldChar w:fldCharType="end"/>
          </w:r>
        </w:p>
        <w:p>
          <w:pPr>
            <w:pStyle w:val="14"/>
            <w:numPr>
              <w:ilvl w:val="2"/>
              <w:numId w:val="2"/>
            </w:numPr>
            <w:tabs>
              <w:tab w:val="left" w:pos="600"/>
              <w:tab w:val="right" w:leader="dot" w:pos="8908"/>
            </w:tabs>
            <w:spacing w:before="161"/>
            <w:ind w:left="1680" w:right="235" w:hanging="1680"/>
            <w:jc w:val="right"/>
            <w:rPr>
              <w:rFonts w:ascii="Times New Roman" w:eastAsia="Times New Roman"/>
            </w:rPr>
          </w:pPr>
          <w:r>
            <w:fldChar w:fldCharType="begin"/>
          </w:r>
          <w:r>
            <w:instrText xml:space="preserve"> HYPERLINK \l "_bookmark23" </w:instrText>
          </w:r>
          <w:r>
            <w:fldChar w:fldCharType="separate"/>
          </w:r>
          <w:r>
            <w:t>物产资源</w:t>
          </w:r>
          <w:r>
            <w:tab/>
          </w:r>
          <w:r>
            <w:rPr>
              <w:rFonts w:ascii="Times New Roman" w:eastAsia="Times New Roman"/>
              <w:spacing w:val="-4"/>
            </w:rPr>
            <w:t>11</w:t>
          </w:r>
          <w:r>
            <w:rPr>
              <w:rFonts w:ascii="Times New Roman" w:eastAsia="Times New Roman"/>
              <w:spacing w:val="-4"/>
            </w:rPr>
            <w:fldChar w:fldCharType="end"/>
          </w:r>
        </w:p>
        <w:p>
          <w:pPr>
            <w:pStyle w:val="14"/>
            <w:numPr>
              <w:ilvl w:val="2"/>
              <w:numId w:val="2"/>
            </w:numPr>
            <w:tabs>
              <w:tab w:val="left" w:pos="600"/>
              <w:tab w:val="right" w:leader="dot" w:pos="8908"/>
            </w:tabs>
            <w:ind w:left="1680" w:right="235" w:hanging="1680"/>
            <w:jc w:val="right"/>
            <w:rPr>
              <w:rFonts w:ascii="Times New Roman" w:eastAsia="Times New Roman"/>
            </w:rPr>
          </w:pPr>
          <w:r>
            <w:fldChar w:fldCharType="begin"/>
          </w:r>
          <w:r>
            <w:instrText xml:space="preserve"> HYPERLINK \l "_bookmark24" </w:instrText>
          </w:r>
          <w:r>
            <w:fldChar w:fldCharType="separate"/>
          </w:r>
          <w:r>
            <w:t>矿产资源</w:t>
          </w:r>
          <w:r>
            <w:tab/>
          </w:r>
          <w:r>
            <w:rPr>
              <w:rFonts w:ascii="Times New Roman" w:eastAsia="Times New Roman"/>
              <w:spacing w:val="-4"/>
            </w:rPr>
            <w:t>11</w:t>
          </w:r>
          <w:r>
            <w:rPr>
              <w:rFonts w:ascii="Times New Roman" w:eastAsia="Times New Roman"/>
              <w:spacing w:val="-4"/>
            </w:rPr>
            <w:fldChar w:fldCharType="end"/>
          </w:r>
        </w:p>
        <w:p>
          <w:pPr>
            <w:pStyle w:val="14"/>
            <w:numPr>
              <w:ilvl w:val="1"/>
              <w:numId w:val="2"/>
            </w:numPr>
            <w:tabs>
              <w:tab w:val="left" w:pos="420"/>
              <w:tab w:val="right" w:leader="dot" w:pos="9328"/>
            </w:tabs>
            <w:spacing w:before="161"/>
            <w:ind w:right="235" w:hanging="1080"/>
            <w:jc w:val="right"/>
            <w:rPr>
              <w:rFonts w:ascii="Times New Roman" w:eastAsia="Times New Roman"/>
            </w:rPr>
          </w:pPr>
          <w:r>
            <w:fldChar w:fldCharType="begin"/>
          </w:r>
          <w:r>
            <w:instrText xml:space="preserve"> HYPERLINK \l "_bookmark25" </w:instrText>
          </w:r>
          <w:r>
            <w:fldChar w:fldCharType="separate"/>
          </w:r>
          <w:r>
            <w:t>生产基本情况</w:t>
          </w:r>
          <w:r>
            <w:tab/>
          </w:r>
          <w:r>
            <w:rPr>
              <w:rFonts w:ascii="Times New Roman" w:eastAsia="Times New Roman"/>
              <w:spacing w:val="-4"/>
            </w:rPr>
            <w:t>11</w:t>
          </w:r>
          <w:r>
            <w:rPr>
              <w:rFonts w:ascii="Times New Roman" w:eastAsia="Times New Roman"/>
              <w:spacing w:val="-4"/>
            </w:rPr>
            <w:fldChar w:fldCharType="end"/>
          </w:r>
        </w:p>
        <w:p>
          <w:pPr>
            <w:pStyle w:val="14"/>
            <w:numPr>
              <w:ilvl w:val="1"/>
              <w:numId w:val="2"/>
            </w:numPr>
            <w:tabs>
              <w:tab w:val="left" w:pos="420"/>
              <w:tab w:val="right" w:leader="dot" w:pos="9326"/>
            </w:tabs>
            <w:ind w:hanging="1080"/>
            <w:jc w:val="right"/>
            <w:rPr>
              <w:rFonts w:ascii="Times New Roman" w:eastAsia="Times New Roman"/>
            </w:rPr>
          </w:pPr>
          <w:r>
            <w:fldChar w:fldCharType="begin"/>
          </w:r>
          <w:r>
            <w:instrText xml:space="preserve"> HYPERLINK \l "_bookmark26" </w:instrText>
          </w:r>
          <w:r>
            <w:fldChar w:fldCharType="separate"/>
          </w:r>
          <w:r>
            <w:t>生产工艺流程及设备</w:t>
          </w:r>
          <w:r>
            <w:tab/>
          </w:r>
          <w:r>
            <w:rPr>
              <w:rFonts w:ascii="Times New Roman" w:eastAsia="Times New Roman"/>
            </w:rPr>
            <w:t>12</w:t>
          </w:r>
          <w:r>
            <w:rPr>
              <w:rFonts w:ascii="Times New Roman" w:eastAsia="Times New Roman"/>
            </w:rPr>
            <w:fldChar w:fldCharType="end"/>
          </w:r>
        </w:p>
        <w:p>
          <w:pPr>
            <w:pStyle w:val="14"/>
            <w:numPr>
              <w:ilvl w:val="2"/>
              <w:numId w:val="2"/>
            </w:numPr>
            <w:tabs>
              <w:tab w:val="left" w:pos="540"/>
              <w:tab w:val="right" w:leader="dot" w:pos="8906"/>
            </w:tabs>
            <w:spacing w:before="161" w:after="20"/>
            <w:ind w:hanging="1620"/>
            <w:jc w:val="right"/>
            <w:rPr>
              <w:rFonts w:ascii="Times New Roman" w:eastAsia="Times New Roman"/>
            </w:rPr>
          </w:pPr>
          <w:r>
            <w:fldChar w:fldCharType="begin"/>
          </w:r>
          <w:r>
            <w:instrText xml:space="preserve"> HYPERLINK \l "_bookmark27" </w:instrText>
          </w:r>
          <w:r>
            <w:fldChar w:fldCharType="separate"/>
          </w:r>
          <w:r>
            <w:t>主要生产设备</w:t>
          </w:r>
          <w:r>
            <w:tab/>
          </w:r>
          <w:r>
            <w:rPr>
              <w:rFonts w:ascii="Times New Roman" w:eastAsia="Times New Roman"/>
            </w:rPr>
            <w:t>12</w:t>
          </w:r>
          <w:r>
            <w:rPr>
              <w:rFonts w:ascii="Times New Roman" w:eastAsia="Times New Roman"/>
            </w:rPr>
            <w:fldChar w:fldCharType="end"/>
          </w:r>
        </w:p>
        <w:p>
          <w:pPr>
            <w:pStyle w:val="14"/>
            <w:numPr>
              <w:ilvl w:val="2"/>
              <w:numId w:val="2"/>
            </w:numPr>
            <w:tabs>
              <w:tab w:val="left" w:pos="540"/>
              <w:tab w:val="right" w:leader="dot" w:pos="8906"/>
            </w:tabs>
            <w:spacing w:before="143"/>
            <w:ind w:hanging="1620"/>
            <w:jc w:val="right"/>
            <w:rPr>
              <w:rFonts w:ascii="Times New Roman" w:eastAsia="Times New Roman"/>
            </w:rPr>
          </w:pPr>
          <w:r>
            <w:fldChar w:fldCharType="begin"/>
          </w:r>
          <w:r>
            <w:instrText xml:space="preserve"> HYPERLINK \l "_bookmark28" </w:instrText>
          </w:r>
          <w:r>
            <w:fldChar w:fldCharType="separate"/>
          </w:r>
          <w:r>
            <w:t>生产工艺流程</w:t>
          </w:r>
          <w:r>
            <w:tab/>
          </w:r>
          <w:r>
            <w:rPr>
              <w:rFonts w:ascii="Times New Roman" w:eastAsia="Times New Roman"/>
            </w:rPr>
            <w:t>13</w:t>
          </w:r>
          <w:r>
            <w:rPr>
              <w:rFonts w:ascii="Times New Roman" w:eastAsia="Times New Roman"/>
            </w:rPr>
            <w:fldChar w:fldCharType="end"/>
          </w:r>
        </w:p>
        <w:p>
          <w:pPr>
            <w:pStyle w:val="14"/>
            <w:numPr>
              <w:ilvl w:val="1"/>
              <w:numId w:val="2"/>
            </w:numPr>
            <w:tabs>
              <w:tab w:val="left" w:pos="420"/>
              <w:tab w:val="right" w:leader="dot" w:pos="9326"/>
            </w:tabs>
            <w:ind w:hanging="1080"/>
            <w:jc w:val="right"/>
            <w:rPr>
              <w:rFonts w:ascii="Times New Roman" w:eastAsia="Times New Roman"/>
            </w:rPr>
          </w:pPr>
          <w:r>
            <w:fldChar w:fldCharType="begin"/>
          </w:r>
          <w:r>
            <w:instrText xml:space="preserve"> HYPERLINK \l "_bookmark29" </w:instrText>
          </w:r>
          <w:r>
            <w:fldChar w:fldCharType="separate"/>
          </w:r>
          <w:r>
            <w:t>污染物的产生及排放</w:t>
          </w:r>
          <w:r>
            <w:tab/>
          </w:r>
          <w:r>
            <w:rPr>
              <w:rFonts w:ascii="Times New Roman" w:eastAsia="Times New Roman"/>
            </w:rPr>
            <w:t>14</w:t>
          </w:r>
          <w:r>
            <w:rPr>
              <w:rFonts w:ascii="Times New Roman" w:eastAsia="Times New Roman"/>
            </w:rPr>
            <w:fldChar w:fldCharType="end"/>
          </w:r>
        </w:p>
        <w:p>
          <w:pPr>
            <w:pStyle w:val="14"/>
            <w:numPr>
              <w:ilvl w:val="1"/>
              <w:numId w:val="2"/>
            </w:numPr>
            <w:tabs>
              <w:tab w:val="left" w:pos="420"/>
              <w:tab w:val="right" w:leader="dot" w:pos="9326"/>
            </w:tabs>
            <w:spacing w:before="161"/>
            <w:ind w:hanging="1080"/>
            <w:jc w:val="right"/>
            <w:rPr>
              <w:rFonts w:ascii="Times New Roman" w:eastAsia="Times New Roman"/>
            </w:rPr>
          </w:pPr>
          <w:r>
            <w:fldChar w:fldCharType="begin"/>
          </w:r>
          <w:r>
            <w:instrText xml:space="preserve"> HYPERLINK \l "_bookmark30" </w:instrText>
          </w:r>
          <w:r>
            <w:fldChar w:fldCharType="separate"/>
          </w:r>
          <w:r>
            <w:t>周边环境概况</w:t>
          </w:r>
          <w:r>
            <w:tab/>
          </w:r>
          <w:r>
            <w:rPr>
              <w:rFonts w:ascii="Times New Roman" w:eastAsia="Times New Roman"/>
            </w:rPr>
            <w:t>15</w:t>
          </w:r>
          <w:r>
            <w:rPr>
              <w:rFonts w:ascii="Times New Roman" w:eastAsia="Times New Roman"/>
            </w:rPr>
            <w:fldChar w:fldCharType="end"/>
          </w:r>
        </w:p>
        <w:p>
          <w:pPr>
            <w:pStyle w:val="14"/>
            <w:numPr>
              <w:ilvl w:val="2"/>
              <w:numId w:val="2"/>
            </w:numPr>
            <w:tabs>
              <w:tab w:val="left" w:pos="600"/>
              <w:tab w:val="right" w:leader="dot" w:pos="8906"/>
            </w:tabs>
            <w:ind w:left="1680" w:hanging="1680"/>
            <w:jc w:val="right"/>
            <w:rPr>
              <w:rFonts w:ascii="Times New Roman" w:eastAsia="Times New Roman"/>
            </w:rPr>
          </w:pPr>
          <w:r>
            <w:fldChar w:fldCharType="begin"/>
          </w:r>
          <w:r>
            <w:instrText xml:space="preserve"> HYPERLINK \l "_bookmark31" </w:instrText>
          </w:r>
          <w:r>
            <w:fldChar w:fldCharType="separate"/>
          </w:r>
          <w:r>
            <w:t>环境空气质量现状</w:t>
          </w:r>
          <w:r>
            <w:tab/>
          </w:r>
          <w:r>
            <w:rPr>
              <w:rFonts w:ascii="Times New Roman" w:eastAsia="Times New Roman"/>
            </w:rPr>
            <w:t>15</w:t>
          </w:r>
          <w:r>
            <w:rPr>
              <w:rFonts w:ascii="Times New Roman" w:eastAsia="Times New Roman"/>
            </w:rPr>
            <w:fldChar w:fldCharType="end"/>
          </w:r>
        </w:p>
        <w:p>
          <w:pPr>
            <w:pStyle w:val="14"/>
            <w:numPr>
              <w:ilvl w:val="2"/>
              <w:numId w:val="2"/>
            </w:numPr>
            <w:tabs>
              <w:tab w:val="left" w:pos="600"/>
              <w:tab w:val="right" w:leader="dot" w:pos="8906"/>
            </w:tabs>
            <w:spacing w:before="161"/>
            <w:ind w:left="1680" w:hanging="1680"/>
            <w:jc w:val="right"/>
            <w:rPr>
              <w:rFonts w:ascii="Times New Roman" w:eastAsia="Times New Roman"/>
            </w:rPr>
          </w:pPr>
          <w:r>
            <w:fldChar w:fldCharType="begin"/>
          </w:r>
          <w:r>
            <w:instrText xml:space="preserve"> HYPERLINK \l "_bookmark32" </w:instrText>
          </w:r>
          <w:r>
            <w:fldChar w:fldCharType="separate"/>
          </w:r>
          <w:r>
            <w:t>地表水环境现状</w:t>
          </w:r>
          <w:r>
            <w:tab/>
          </w:r>
          <w:r>
            <w:rPr>
              <w:rFonts w:ascii="Times New Roman" w:eastAsia="Times New Roman"/>
            </w:rPr>
            <w:t>15</w:t>
          </w:r>
          <w:r>
            <w:rPr>
              <w:rFonts w:ascii="Times New Roman" w:eastAsia="Times New Roman"/>
            </w:rPr>
            <w:fldChar w:fldCharType="end"/>
          </w:r>
        </w:p>
        <w:p>
          <w:pPr>
            <w:pStyle w:val="14"/>
            <w:numPr>
              <w:ilvl w:val="2"/>
              <w:numId w:val="2"/>
            </w:numPr>
            <w:tabs>
              <w:tab w:val="left" w:pos="600"/>
              <w:tab w:val="right" w:leader="dot" w:pos="8906"/>
            </w:tabs>
            <w:ind w:left="1680" w:hanging="1680"/>
            <w:jc w:val="right"/>
            <w:rPr>
              <w:rFonts w:ascii="Times New Roman" w:eastAsia="Times New Roman"/>
            </w:rPr>
          </w:pPr>
          <w:r>
            <w:fldChar w:fldCharType="begin"/>
          </w:r>
          <w:r>
            <w:instrText xml:space="preserve"> HYPERLINK \l "_bookmark33" </w:instrText>
          </w:r>
          <w:r>
            <w:fldChar w:fldCharType="separate"/>
          </w:r>
          <w:r>
            <w:t>声环境质量现状</w:t>
          </w:r>
          <w:r>
            <w:tab/>
          </w:r>
          <w:r>
            <w:rPr>
              <w:rFonts w:ascii="Times New Roman" w:eastAsia="Times New Roman"/>
            </w:rPr>
            <w:t>16</w:t>
          </w:r>
          <w:r>
            <w:rPr>
              <w:rFonts w:ascii="Times New Roman" w:eastAsia="Times New Roman"/>
            </w:rPr>
            <w:fldChar w:fldCharType="end"/>
          </w:r>
        </w:p>
        <w:p>
          <w:pPr>
            <w:pStyle w:val="14"/>
            <w:numPr>
              <w:ilvl w:val="2"/>
              <w:numId w:val="2"/>
            </w:numPr>
            <w:tabs>
              <w:tab w:val="left" w:pos="600"/>
              <w:tab w:val="right" w:leader="dot" w:pos="8906"/>
            </w:tabs>
            <w:spacing w:before="161"/>
            <w:ind w:left="1680" w:hanging="1680"/>
            <w:jc w:val="right"/>
            <w:rPr>
              <w:rFonts w:ascii="Times New Roman" w:eastAsia="Times New Roman"/>
            </w:rPr>
          </w:pPr>
          <w:r>
            <w:fldChar w:fldCharType="begin"/>
          </w:r>
          <w:r>
            <w:instrText xml:space="preserve"> HYPERLINK \l "_bookmark34" </w:instrText>
          </w:r>
          <w:r>
            <w:fldChar w:fldCharType="separate"/>
          </w:r>
          <w:r>
            <w:t>主要环境保护目标</w:t>
          </w:r>
          <w:r>
            <w:tab/>
          </w:r>
          <w:r>
            <w:rPr>
              <w:rFonts w:ascii="Times New Roman" w:eastAsia="Times New Roman"/>
            </w:rPr>
            <w:t>16</w:t>
          </w:r>
          <w:r>
            <w:rPr>
              <w:rFonts w:ascii="Times New Roman" w:eastAsia="Times New Roman"/>
            </w:rPr>
            <w:fldChar w:fldCharType="end"/>
          </w:r>
        </w:p>
        <w:p>
          <w:pPr>
            <w:pStyle w:val="14"/>
            <w:numPr>
              <w:ilvl w:val="1"/>
              <w:numId w:val="2"/>
            </w:numPr>
            <w:tabs>
              <w:tab w:val="left" w:pos="420"/>
              <w:tab w:val="right" w:leader="dot" w:pos="9326"/>
            </w:tabs>
            <w:ind w:hanging="1080"/>
            <w:jc w:val="right"/>
            <w:rPr>
              <w:rFonts w:ascii="Times New Roman" w:eastAsia="Times New Roman"/>
            </w:rPr>
          </w:pPr>
          <w:r>
            <w:fldChar w:fldCharType="begin"/>
          </w:r>
          <w:r>
            <w:instrText xml:space="preserve"> HYPERLINK \l "_bookmark35" </w:instrText>
          </w:r>
          <w:r>
            <w:fldChar w:fldCharType="separate"/>
          </w:r>
          <w:r>
            <w:t>风险识别</w:t>
          </w:r>
          <w:r>
            <w:tab/>
          </w:r>
          <w:r>
            <w:rPr>
              <w:rFonts w:ascii="Times New Roman" w:eastAsia="Times New Roman"/>
            </w:rPr>
            <w:t>17</w:t>
          </w:r>
          <w:r>
            <w:rPr>
              <w:rFonts w:ascii="Times New Roman" w:eastAsia="Times New Roman"/>
            </w:rPr>
            <w:fldChar w:fldCharType="end"/>
          </w:r>
        </w:p>
        <w:p>
          <w:pPr>
            <w:pStyle w:val="14"/>
            <w:numPr>
              <w:ilvl w:val="1"/>
              <w:numId w:val="2"/>
            </w:numPr>
            <w:tabs>
              <w:tab w:val="left" w:pos="420"/>
              <w:tab w:val="right" w:leader="dot" w:pos="9326"/>
            </w:tabs>
            <w:spacing w:before="161"/>
            <w:ind w:hanging="1080"/>
            <w:jc w:val="right"/>
            <w:rPr>
              <w:rFonts w:ascii="Times New Roman" w:eastAsia="Times New Roman"/>
            </w:rPr>
          </w:pPr>
          <w:r>
            <w:fldChar w:fldCharType="begin"/>
          </w:r>
          <w:r>
            <w:instrText xml:space="preserve"> HYPERLINK \l "_bookmark36" </w:instrText>
          </w:r>
          <w:r>
            <w:fldChar w:fldCharType="separate"/>
          </w:r>
          <w:r>
            <w:t>可能发生的突发环境事件及其后果分析</w:t>
          </w:r>
          <w:r>
            <w:tab/>
          </w:r>
          <w:r>
            <w:rPr>
              <w:rFonts w:ascii="Times New Roman" w:eastAsia="Times New Roman"/>
            </w:rPr>
            <w:t>17</w:t>
          </w:r>
          <w:r>
            <w:rPr>
              <w:rFonts w:ascii="Times New Roman" w:eastAsia="Times New Roman"/>
            </w:rPr>
            <w:fldChar w:fldCharType="end"/>
          </w:r>
        </w:p>
        <w:p>
          <w:pPr>
            <w:pStyle w:val="4"/>
            <w:numPr>
              <w:ilvl w:val="0"/>
              <w:numId w:val="2"/>
            </w:numPr>
            <w:tabs>
              <w:tab w:val="left" w:pos="240"/>
              <w:tab w:val="right" w:leader="dot" w:pos="9746"/>
            </w:tabs>
            <w:spacing w:before="160"/>
            <w:ind w:left="480" w:hanging="480"/>
            <w:jc w:val="right"/>
            <w:rPr>
              <w:rFonts w:ascii="Times New Roman" w:eastAsia="Times New Roman"/>
            </w:rPr>
          </w:pPr>
          <w:r>
            <w:fldChar w:fldCharType="begin"/>
          </w:r>
          <w:r>
            <w:instrText xml:space="preserve"> HYPERLINK \l "_bookmark37" </w:instrText>
          </w:r>
          <w:r>
            <w:fldChar w:fldCharType="separate"/>
          </w:r>
          <w:r>
            <w:t>应急组织机构与职责</w:t>
          </w:r>
          <w:r>
            <w:tab/>
          </w:r>
          <w:r>
            <w:rPr>
              <w:rFonts w:ascii="Times New Roman" w:eastAsia="Times New Roman"/>
            </w:rPr>
            <w:t>18</w:t>
          </w:r>
          <w:r>
            <w:rPr>
              <w:rFonts w:ascii="Times New Roman" w:eastAsia="Times New Roman"/>
            </w:rPr>
            <w:fldChar w:fldCharType="end"/>
          </w:r>
        </w:p>
        <w:p>
          <w:pPr>
            <w:pStyle w:val="14"/>
            <w:numPr>
              <w:ilvl w:val="1"/>
              <w:numId w:val="2"/>
            </w:numPr>
            <w:tabs>
              <w:tab w:val="left" w:pos="420"/>
              <w:tab w:val="right" w:leader="dot" w:pos="9326"/>
            </w:tabs>
            <w:spacing w:before="161"/>
            <w:ind w:hanging="1080"/>
            <w:jc w:val="right"/>
            <w:rPr>
              <w:rFonts w:ascii="Times New Roman" w:eastAsia="Times New Roman"/>
            </w:rPr>
          </w:pPr>
          <w:r>
            <w:fldChar w:fldCharType="begin"/>
          </w:r>
          <w:r>
            <w:instrText xml:space="preserve"> HYPERLINK \l "_bookmark38" </w:instrText>
          </w:r>
          <w:r>
            <w:fldChar w:fldCharType="separate"/>
          </w:r>
          <w:r>
            <w:t>环保管理流程</w:t>
          </w:r>
          <w:r>
            <w:tab/>
          </w:r>
          <w:r>
            <w:rPr>
              <w:rFonts w:ascii="Times New Roman" w:eastAsia="Times New Roman"/>
            </w:rPr>
            <w:t>18</w:t>
          </w:r>
          <w:r>
            <w:rPr>
              <w:rFonts w:ascii="Times New Roman" w:eastAsia="Times New Roman"/>
            </w:rPr>
            <w:fldChar w:fldCharType="end"/>
          </w:r>
        </w:p>
        <w:p>
          <w:pPr>
            <w:pStyle w:val="14"/>
            <w:numPr>
              <w:ilvl w:val="1"/>
              <w:numId w:val="2"/>
            </w:numPr>
            <w:tabs>
              <w:tab w:val="left" w:pos="420"/>
              <w:tab w:val="right" w:leader="dot" w:pos="9326"/>
            </w:tabs>
            <w:ind w:hanging="1080"/>
            <w:jc w:val="right"/>
            <w:rPr>
              <w:rFonts w:ascii="Times New Roman" w:eastAsia="Times New Roman"/>
            </w:rPr>
          </w:pPr>
          <w:r>
            <w:fldChar w:fldCharType="begin"/>
          </w:r>
          <w:r>
            <w:instrText xml:space="preserve"> HYPERLINK \l "_bookmark39" </w:instrText>
          </w:r>
          <w:r>
            <w:fldChar w:fldCharType="separate"/>
          </w:r>
          <w:r>
            <w:t>应急组织体系</w:t>
          </w:r>
          <w:r>
            <w:tab/>
          </w:r>
          <w:r>
            <w:rPr>
              <w:rFonts w:ascii="Times New Roman" w:eastAsia="Times New Roman"/>
            </w:rPr>
            <w:t>18</w:t>
          </w:r>
          <w:r>
            <w:rPr>
              <w:rFonts w:ascii="Times New Roman" w:eastAsia="Times New Roman"/>
            </w:rPr>
            <w:fldChar w:fldCharType="end"/>
          </w:r>
        </w:p>
        <w:p>
          <w:pPr>
            <w:pStyle w:val="14"/>
            <w:numPr>
              <w:ilvl w:val="1"/>
              <w:numId w:val="2"/>
            </w:numPr>
            <w:tabs>
              <w:tab w:val="left" w:pos="420"/>
              <w:tab w:val="right" w:leader="dot" w:pos="9326"/>
            </w:tabs>
            <w:spacing w:before="161"/>
            <w:ind w:hanging="1080"/>
            <w:jc w:val="right"/>
            <w:rPr>
              <w:rFonts w:ascii="Times New Roman" w:eastAsia="Times New Roman"/>
            </w:rPr>
          </w:pPr>
          <w:r>
            <w:fldChar w:fldCharType="begin"/>
          </w:r>
          <w:r>
            <w:instrText xml:space="preserve"> HYPERLINK \l "_bookmark40" </w:instrText>
          </w:r>
          <w:r>
            <w:fldChar w:fldCharType="separate"/>
          </w:r>
          <w:r>
            <w:t>内部应急组织机构的职责</w:t>
          </w:r>
          <w:r>
            <w:tab/>
          </w:r>
          <w:r>
            <w:rPr>
              <w:rFonts w:ascii="Times New Roman" w:eastAsia="Times New Roman"/>
            </w:rPr>
            <w:t>19</w:t>
          </w:r>
          <w:r>
            <w:rPr>
              <w:rFonts w:ascii="Times New Roman" w:eastAsia="Times New Roman"/>
            </w:rPr>
            <w:fldChar w:fldCharType="end"/>
          </w:r>
        </w:p>
        <w:p>
          <w:pPr>
            <w:pStyle w:val="14"/>
            <w:numPr>
              <w:ilvl w:val="1"/>
              <w:numId w:val="2"/>
            </w:numPr>
            <w:tabs>
              <w:tab w:val="left" w:pos="420"/>
              <w:tab w:val="right" w:leader="dot" w:pos="9326"/>
            </w:tabs>
            <w:ind w:hanging="1080"/>
            <w:jc w:val="right"/>
            <w:rPr>
              <w:rFonts w:ascii="Times New Roman" w:eastAsia="Times New Roman"/>
            </w:rPr>
          </w:pPr>
          <w:r>
            <w:fldChar w:fldCharType="begin"/>
          </w:r>
          <w:r>
            <w:instrText xml:space="preserve"> HYPERLINK \l "_bookmark41" </w:instrText>
          </w:r>
          <w:r>
            <w:fldChar w:fldCharType="separate"/>
          </w:r>
          <w:r>
            <w:t>外部指挥与协调</w:t>
          </w:r>
          <w:r>
            <w:tab/>
          </w:r>
          <w:r>
            <w:rPr>
              <w:rFonts w:ascii="Times New Roman" w:eastAsia="Times New Roman"/>
            </w:rPr>
            <w:t>23</w:t>
          </w:r>
          <w:r>
            <w:rPr>
              <w:rFonts w:ascii="Times New Roman" w:eastAsia="Times New Roman"/>
            </w:rPr>
            <w:fldChar w:fldCharType="end"/>
          </w:r>
        </w:p>
        <w:p>
          <w:pPr>
            <w:pStyle w:val="4"/>
            <w:numPr>
              <w:ilvl w:val="0"/>
              <w:numId w:val="2"/>
            </w:numPr>
            <w:tabs>
              <w:tab w:val="left" w:pos="240"/>
              <w:tab w:val="right" w:leader="dot" w:pos="9746"/>
            </w:tabs>
            <w:ind w:left="480" w:hanging="480"/>
            <w:jc w:val="right"/>
            <w:rPr>
              <w:rFonts w:ascii="Times New Roman" w:eastAsia="Times New Roman"/>
            </w:rPr>
          </w:pPr>
          <w:r>
            <w:fldChar w:fldCharType="begin"/>
          </w:r>
          <w:r>
            <w:instrText xml:space="preserve"> HYPERLINK \l "_bookmark42" </w:instrText>
          </w:r>
          <w:r>
            <w:fldChar w:fldCharType="separate"/>
          </w:r>
          <w:r>
            <w:t>预防与预警机制</w:t>
          </w:r>
          <w:r>
            <w:tab/>
          </w:r>
          <w:r>
            <w:rPr>
              <w:rFonts w:ascii="Times New Roman" w:eastAsia="Times New Roman"/>
            </w:rPr>
            <w:t>24</w:t>
          </w:r>
          <w:r>
            <w:rPr>
              <w:rFonts w:ascii="Times New Roman" w:eastAsia="Times New Roman"/>
            </w:rPr>
            <w:fldChar w:fldCharType="end"/>
          </w:r>
        </w:p>
        <w:p>
          <w:pPr>
            <w:pStyle w:val="14"/>
            <w:tabs>
              <w:tab w:val="right" w:leader="dot" w:pos="9326"/>
            </w:tabs>
            <w:ind w:left="0" w:firstLine="0"/>
            <w:rPr>
              <w:rFonts w:ascii="Times New Roman" w:eastAsia="Times New Roman"/>
            </w:rPr>
          </w:pPr>
          <w:r>
            <w:fldChar w:fldCharType="begin"/>
          </w:r>
          <w:r>
            <w:instrText xml:space="preserve"> HYPERLINK \l "_bookmark43" </w:instrText>
          </w:r>
          <w:r>
            <w:fldChar w:fldCharType="separate"/>
          </w:r>
          <w:r>
            <w:rPr>
              <w:rFonts w:ascii="Times New Roman" w:eastAsia="Times New Roman"/>
            </w:rPr>
            <w:t xml:space="preserve">4.1  </w:t>
          </w:r>
          <w:r>
            <w:t>预防</w:t>
          </w:r>
          <w:r>
            <w:tab/>
          </w:r>
          <w:r>
            <w:rPr>
              <w:rFonts w:ascii="Times New Roman" w:eastAsia="Times New Roman"/>
            </w:rPr>
            <w:t>24</w:t>
          </w:r>
          <w:r>
            <w:rPr>
              <w:rFonts w:ascii="Times New Roman" w:eastAsia="Times New Roman"/>
            </w:rPr>
            <w:fldChar w:fldCharType="end"/>
          </w:r>
        </w:p>
        <w:p>
          <w:pPr>
            <w:pStyle w:val="14"/>
            <w:numPr>
              <w:ilvl w:val="2"/>
              <w:numId w:val="3"/>
            </w:numPr>
            <w:tabs>
              <w:tab w:val="left" w:pos="600"/>
              <w:tab w:val="right" w:leader="dot" w:pos="8906"/>
            </w:tabs>
            <w:spacing w:before="161"/>
            <w:ind w:hanging="1680"/>
            <w:jc w:val="right"/>
            <w:rPr>
              <w:rFonts w:ascii="Times New Roman" w:eastAsia="Times New Roman"/>
            </w:rPr>
          </w:pPr>
          <w:r>
            <w:fldChar w:fldCharType="begin"/>
          </w:r>
          <w:r>
            <w:instrText xml:space="preserve"> HYPERLINK \l "_bookmark44" </w:instrText>
          </w:r>
          <w:r>
            <w:fldChar w:fldCharType="separate"/>
          </w:r>
          <w:r>
            <w:t>管理制度保障</w:t>
          </w:r>
          <w:r>
            <w:tab/>
          </w:r>
          <w:r>
            <w:rPr>
              <w:rFonts w:ascii="Times New Roman" w:eastAsia="Times New Roman"/>
            </w:rPr>
            <w:t>24</w:t>
          </w:r>
          <w:r>
            <w:rPr>
              <w:rFonts w:ascii="Times New Roman" w:eastAsia="Times New Roman"/>
            </w:rPr>
            <w:fldChar w:fldCharType="end"/>
          </w:r>
        </w:p>
        <w:p>
          <w:pPr>
            <w:pStyle w:val="14"/>
            <w:numPr>
              <w:ilvl w:val="2"/>
              <w:numId w:val="3"/>
            </w:numPr>
            <w:tabs>
              <w:tab w:val="left" w:pos="600"/>
              <w:tab w:val="right" w:leader="dot" w:pos="8906"/>
            </w:tabs>
            <w:ind w:hanging="1680"/>
            <w:jc w:val="right"/>
            <w:rPr>
              <w:rFonts w:ascii="Times New Roman" w:eastAsia="Times New Roman"/>
            </w:rPr>
          </w:pPr>
          <w:r>
            <w:fldChar w:fldCharType="begin"/>
          </w:r>
          <w:r>
            <w:instrText xml:space="preserve"> HYPERLINK \l "_bookmark45" </w:instrText>
          </w:r>
          <w:r>
            <w:fldChar w:fldCharType="separate"/>
          </w:r>
          <w:r>
            <w:t>环境风险隐患排查和监控</w:t>
          </w:r>
          <w:r>
            <w:tab/>
          </w:r>
          <w:r>
            <w:rPr>
              <w:rFonts w:ascii="Times New Roman" w:eastAsia="Times New Roman"/>
            </w:rPr>
            <w:t>24</w:t>
          </w:r>
          <w:r>
            <w:rPr>
              <w:rFonts w:ascii="Times New Roman" w:eastAsia="Times New Roman"/>
            </w:rPr>
            <w:fldChar w:fldCharType="end"/>
          </w:r>
        </w:p>
        <w:p>
          <w:pPr>
            <w:pStyle w:val="14"/>
            <w:numPr>
              <w:ilvl w:val="2"/>
              <w:numId w:val="3"/>
            </w:numPr>
            <w:tabs>
              <w:tab w:val="left" w:pos="600"/>
              <w:tab w:val="right" w:leader="dot" w:pos="8906"/>
            </w:tabs>
            <w:spacing w:before="161"/>
            <w:ind w:hanging="1680"/>
            <w:jc w:val="right"/>
            <w:rPr>
              <w:rFonts w:ascii="Times New Roman" w:eastAsia="Times New Roman"/>
            </w:rPr>
          </w:pPr>
          <w:r>
            <w:fldChar w:fldCharType="begin"/>
          </w:r>
          <w:r>
            <w:instrText xml:space="preserve"> HYPERLINK \l "_bookmark46" </w:instrText>
          </w:r>
          <w:r>
            <w:fldChar w:fldCharType="separate"/>
          </w:r>
          <w:r>
            <w:t>事件的预防措施</w:t>
          </w:r>
          <w:r>
            <w:tab/>
          </w:r>
          <w:r>
            <w:rPr>
              <w:rFonts w:ascii="Times New Roman" w:eastAsia="Times New Roman"/>
            </w:rPr>
            <w:t>25</w:t>
          </w:r>
          <w:r>
            <w:rPr>
              <w:rFonts w:ascii="Times New Roman" w:eastAsia="Times New Roman"/>
            </w:rPr>
            <w:fldChar w:fldCharType="end"/>
          </w:r>
        </w:p>
        <w:p>
          <w:pPr>
            <w:pStyle w:val="14"/>
            <w:numPr>
              <w:ilvl w:val="1"/>
              <w:numId w:val="4"/>
            </w:numPr>
            <w:tabs>
              <w:tab w:val="left" w:pos="420"/>
              <w:tab w:val="right" w:leader="dot" w:pos="9326"/>
            </w:tabs>
            <w:ind w:hanging="1080"/>
            <w:jc w:val="right"/>
            <w:rPr>
              <w:rFonts w:ascii="Times New Roman" w:eastAsia="Times New Roman"/>
            </w:rPr>
          </w:pPr>
          <w:r>
            <w:fldChar w:fldCharType="begin"/>
          </w:r>
          <w:r>
            <w:instrText xml:space="preserve"> HYPERLINK \l "_bookmark47" </w:instrText>
          </w:r>
          <w:r>
            <w:fldChar w:fldCharType="separate"/>
          </w:r>
          <w:r>
            <w:t>预警行动</w:t>
          </w:r>
          <w:r>
            <w:tab/>
          </w:r>
          <w:r>
            <w:rPr>
              <w:rFonts w:ascii="Times New Roman" w:eastAsia="Times New Roman"/>
            </w:rPr>
            <w:t>26</w:t>
          </w:r>
          <w:r>
            <w:rPr>
              <w:rFonts w:ascii="Times New Roman" w:eastAsia="Times New Roman"/>
            </w:rPr>
            <w:fldChar w:fldCharType="end"/>
          </w:r>
        </w:p>
        <w:p>
          <w:pPr>
            <w:pStyle w:val="14"/>
            <w:numPr>
              <w:ilvl w:val="2"/>
              <w:numId w:val="4"/>
            </w:numPr>
            <w:tabs>
              <w:tab w:val="left" w:pos="540"/>
              <w:tab w:val="right" w:leader="dot" w:pos="8906"/>
            </w:tabs>
            <w:spacing w:before="161"/>
            <w:ind w:hanging="1620"/>
            <w:jc w:val="right"/>
            <w:rPr>
              <w:rFonts w:ascii="Times New Roman" w:eastAsia="Times New Roman"/>
            </w:rPr>
          </w:pPr>
          <w:r>
            <w:fldChar w:fldCharType="begin"/>
          </w:r>
          <w:r>
            <w:instrText xml:space="preserve"> HYPERLINK \l "_bookmark48" </w:instrText>
          </w:r>
          <w:r>
            <w:fldChar w:fldCharType="separate"/>
          </w:r>
          <w:r>
            <w:t>预警分级</w:t>
          </w:r>
          <w:r>
            <w:tab/>
          </w:r>
          <w:r>
            <w:rPr>
              <w:rFonts w:ascii="Times New Roman" w:eastAsia="Times New Roman"/>
            </w:rPr>
            <w:t>27</w:t>
          </w:r>
          <w:r>
            <w:rPr>
              <w:rFonts w:ascii="Times New Roman" w:eastAsia="Times New Roman"/>
            </w:rPr>
            <w:fldChar w:fldCharType="end"/>
          </w:r>
        </w:p>
        <w:p>
          <w:pPr>
            <w:pStyle w:val="14"/>
            <w:numPr>
              <w:ilvl w:val="2"/>
              <w:numId w:val="4"/>
            </w:numPr>
            <w:tabs>
              <w:tab w:val="left" w:pos="540"/>
              <w:tab w:val="right" w:leader="dot" w:pos="8906"/>
            </w:tabs>
            <w:ind w:hanging="1620"/>
            <w:jc w:val="right"/>
            <w:rPr>
              <w:rFonts w:ascii="Times New Roman" w:eastAsia="Times New Roman"/>
            </w:rPr>
          </w:pPr>
          <w:r>
            <w:fldChar w:fldCharType="begin"/>
          </w:r>
          <w:r>
            <w:instrText xml:space="preserve"> HYPERLINK \l "_bookmark49" </w:instrText>
          </w:r>
          <w:r>
            <w:fldChar w:fldCharType="separate"/>
          </w:r>
          <w:r>
            <w:t>预警信息发布</w:t>
          </w:r>
          <w:r>
            <w:tab/>
          </w:r>
          <w:r>
            <w:rPr>
              <w:rFonts w:ascii="Times New Roman" w:eastAsia="Times New Roman"/>
            </w:rPr>
            <w:t>28</w:t>
          </w:r>
          <w:r>
            <w:rPr>
              <w:rFonts w:ascii="Times New Roman" w:eastAsia="Times New Roman"/>
            </w:rPr>
            <w:fldChar w:fldCharType="end"/>
          </w:r>
        </w:p>
        <w:p>
          <w:pPr>
            <w:pStyle w:val="14"/>
            <w:tabs>
              <w:tab w:val="right" w:leader="dot" w:pos="8906"/>
            </w:tabs>
            <w:spacing w:before="161"/>
            <w:ind w:left="0" w:firstLine="0"/>
            <w:rPr>
              <w:rFonts w:ascii="Times New Roman" w:eastAsia="Times New Roman"/>
            </w:rPr>
          </w:pPr>
          <w:r>
            <w:fldChar w:fldCharType="begin"/>
          </w:r>
          <w:r>
            <w:instrText xml:space="preserve"> HYPERLINK \l "_bookmark50" </w:instrText>
          </w:r>
          <w:r>
            <w:fldChar w:fldCharType="separate"/>
          </w:r>
          <w:r>
            <w:rPr>
              <w:rFonts w:ascii="Times New Roman" w:eastAsia="Times New Roman"/>
            </w:rPr>
            <w:t xml:space="preserve">4.2.3 </w:t>
          </w:r>
          <w:r>
            <w:t>行动</w:t>
          </w:r>
          <w:r>
            <w:tab/>
          </w:r>
          <w:r>
            <w:rPr>
              <w:rFonts w:ascii="Times New Roman" w:eastAsia="Times New Roman"/>
            </w:rPr>
            <w:t>28</w:t>
          </w:r>
          <w:r>
            <w:rPr>
              <w:rFonts w:ascii="Times New Roman" w:eastAsia="Times New Roman"/>
            </w:rPr>
            <w:fldChar w:fldCharType="end"/>
          </w:r>
        </w:p>
        <w:p>
          <w:pPr>
            <w:pStyle w:val="14"/>
            <w:numPr>
              <w:ilvl w:val="1"/>
              <w:numId w:val="4"/>
            </w:numPr>
            <w:tabs>
              <w:tab w:val="left" w:pos="360"/>
              <w:tab w:val="right" w:leader="dot" w:pos="9326"/>
            </w:tabs>
            <w:ind w:left="1020" w:hanging="1020"/>
            <w:jc w:val="right"/>
            <w:rPr>
              <w:rFonts w:ascii="Times New Roman" w:eastAsia="Times New Roman"/>
            </w:rPr>
          </w:pPr>
          <w:r>
            <w:fldChar w:fldCharType="begin"/>
          </w:r>
          <w:r>
            <w:instrText xml:space="preserve"> HYPERLINK \l "_bookmark51" </w:instrText>
          </w:r>
          <w:r>
            <w:fldChar w:fldCharType="separate"/>
          </w:r>
          <w:r>
            <w:t>报警、通讯及联络方式</w:t>
          </w:r>
          <w:r>
            <w:tab/>
          </w:r>
          <w:r>
            <w:rPr>
              <w:rFonts w:ascii="Times New Roman" w:eastAsia="Times New Roman"/>
            </w:rPr>
            <w:t>28</w:t>
          </w:r>
          <w:r>
            <w:rPr>
              <w:rFonts w:ascii="Times New Roman" w:eastAsia="Times New Roman"/>
            </w:rPr>
            <w:fldChar w:fldCharType="end"/>
          </w:r>
        </w:p>
        <w:p>
          <w:pPr>
            <w:pStyle w:val="14"/>
            <w:numPr>
              <w:ilvl w:val="2"/>
              <w:numId w:val="4"/>
            </w:numPr>
            <w:tabs>
              <w:tab w:val="left" w:pos="540"/>
              <w:tab w:val="right" w:leader="dot" w:pos="8906"/>
            </w:tabs>
            <w:spacing w:before="161"/>
            <w:ind w:hanging="1620"/>
            <w:jc w:val="right"/>
            <w:rPr>
              <w:rFonts w:ascii="Times New Roman" w:eastAsia="Times New Roman"/>
            </w:rPr>
          </w:pPr>
          <w:r>
            <w:fldChar w:fldCharType="begin"/>
          </w:r>
          <w:r>
            <w:instrText xml:space="preserve"> HYPERLINK \l "_bookmark52" </w:instrText>
          </w:r>
          <w:r>
            <w:fldChar w:fldCharType="separate"/>
          </w:r>
          <w:r>
            <w:t>报警联络方式</w:t>
          </w:r>
          <w:r>
            <w:tab/>
          </w:r>
          <w:r>
            <w:rPr>
              <w:rFonts w:ascii="Times New Roman" w:eastAsia="Times New Roman"/>
            </w:rPr>
            <w:t>28</w:t>
          </w:r>
          <w:r>
            <w:rPr>
              <w:rFonts w:ascii="Times New Roman" w:eastAsia="Times New Roman"/>
            </w:rPr>
            <w:fldChar w:fldCharType="end"/>
          </w:r>
        </w:p>
        <w:p>
          <w:pPr>
            <w:pStyle w:val="14"/>
            <w:numPr>
              <w:ilvl w:val="2"/>
              <w:numId w:val="4"/>
            </w:numPr>
            <w:tabs>
              <w:tab w:val="left" w:pos="540"/>
              <w:tab w:val="right" w:leader="dot" w:pos="8906"/>
            </w:tabs>
            <w:ind w:hanging="1620"/>
            <w:jc w:val="right"/>
            <w:rPr>
              <w:rFonts w:ascii="Times New Roman" w:eastAsia="Times New Roman"/>
            </w:rPr>
          </w:pPr>
          <w:r>
            <w:fldChar w:fldCharType="begin"/>
          </w:r>
          <w:r>
            <w:instrText xml:space="preserve"> HYPERLINK \l "_bookmark53" </w:instrText>
          </w:r>
          <w:r>
            <w:fldChar w:fldCharType="separate"/>
          </w:r>
          <w:r>
            <w:t>内部通讯方式</w:t>
          </w:r>
          <w:r>
            <w:tab/>
          </w:r>
          <w:r>
            <w:rPr>
              <w:rFonts w:ascii="Times New Roman" w:eastAsia="Times New Roman"/>
            </w:rPr>
            <w:t>29</w:t>
          </w:r>
          <w:r>
            <w:rPr>
              <w:rFonts w:ascii="Times New Roman" w:eastAsia="Times New Roman"/>
            </w:rPr>
            <w:fldChar w:fldCharType="end"/>
          </w:r>
        </w:p>
        <w:p>
          <w:pPr>
            <w:pStyle w:val="14"/>
            <w:numPr>
              <w:ilvl w:val="2"/>
              <w:numId w:val="4"/>
            </w:numPr>
            <w:tabs>
              <w:tab w:val="left" w:pos="540"/>
              <w:tab w:val="right" w:leader="dot" w:pos="8906"/>
            </w:tabs>
            <w:spacing w:before="161"/>
            <w:ind w:hanging="1620"/>
            <w:jc w:val="right"/>
            <w:rPr>
              <w:rFonts w:ascii="Times New Roman" w:eastAsia="Times New Roman"/>
            </w:rPr>
          </w:pPr>
          <w:r>
            <w:fldChar w:fldCharType="begin"/>
          </w:r>
          <w:r>
            <w:instrText xml:space="preserve"> HYPERLINK \l "_bookmark54" </w:instrText>
          </w:r>
          <w:r>
            <w:fldChar w:fldCharType="separate"/>
          </w:r>
          <w:r>
            <w:t>外部通讯方式</w:t>
          </w:r>
          <w:r>
            <w:tab/>
          </w:r>
          <w:r>
            <w:rPr>
              <w:rFonts w:ascii="Times New Roman" w:eastAsia="Times New Roman"/>
            </w:rPr>
            <w:t>29</w:t>
          </w:r>
          <w:r>
            <w:rPr>
              <w:rFonts w:ascii="Times New Roman" w:eastAsia="Times New Roman"/>
            </w:rPr>
            <w:fldChar w:fldCharType="end"/>
          </w:r>
        </w:p>
        <w:p>
          <w:pPr>
            <w:pStyle w:val="4"/>
            <w:numPr>
              <w:ilvl w:val="0"/>
              <w:numId w:val="2"/>
            </w:numPr>
            <w:tabs>
              <w:tab w:val="left" w:pos="240"/>
              <w:tab w:val="right" w:leader="dot" w:pos="9746"/>
            </w:tabs>
            <w:spacing w:before="160"/>
            <w:ind w:left="480" w:hanging="480"/>
            <w:jc w:val="right"/>
            <w:rPr>
              <w:rFonts w:ascii="Times New Roman" w:eastAsia="Times New Roman"/>
            </w:rPr>
          </w:pPr>
          <w:r>
            <w:fldChar w:fldCharType="begin"/>
          </w:r>
          <w:r>
            <w:instrText xml:space="preserve"> HYPERLINK \l "_bookmark55" </w:instrText>
          </w:r>
          <w:r>
            <w:fldChar w:fldCharType="separate"/>
          </w:r>
          <w:r>
            <w:t>信息报告与通报</w:t>
          </w:r>
          <w:r>
            <w:tab/>
          </w:r>
          <w:r>
            <w:rPr>
              <w:rFonts w:ascii="Times New Roman" w:eastAsia="Times New Roman"/>
            </w:rPr>
            <w:t>30</w:t>
          </w:r>
          <w:r>
            <w:rPr>
              <w:rFonts w:ascii="Times New Roman" w:eastAsia="Times New Roman"/>
            </w:rPr>
            <w:fldChar w:fldCharType="end"/>
          </w:r>
        </w:p>
        <w:p>
          <w:pPr>
            <w:pStyle w:val="14"/>
            <w:numPr>
              <w:ilvl w:val="1"/>
              <w:numId w:val="2"/>
            </w:numPr>
            <w:tabs>
              <w:tab w:val="left" w:pos="420"/>
              <w:tab w:val="right" w:leader="dot" w:pos="9326"/>
            </w:tabs>
            <w:spacing w:before="161" w:after="240"/>
            <w:ind w:hanging="1080"/>
            <w:jc w:val="right"/>
            <w:rPr>
              <w:rFonts w:ascii="Times New Roman" w:eastAsia="Times New Roman"/>
            </w:rPr>
          </w:pPr>
          <w:r>
            <w:fldChar w:fldCharType="begin"/>
          </w:r>
          <w:r>
            <w:instrText xml:space="preserve"> HYPERLINK \l "_bookmark56" </w:instrText>
          </w:r>
          <w:r>
            <w:fldChar w:fldCharType="separate"/>
          </w:r>
          <w:r>
            <w:t>内部信息报告</w:t>
          </w:r>
          <w:r>
            <w:tab/>
          </w:r>
          <w:r>
            <w:rPr>
              <w:rFonts w:ascii="Times New Roman" w:eastAsia="Times New Roman"/>
            </w:rPr>
            <w:t>30</w:t>
          </w:r>
          <w:r>
            <w:rPr>
              <w:rFonts w:ascii="Times New Roman" w:eastAsia="Times New Roman"/>
            </w:rPr>
            <w:fldChar w:fldCharType="end"/>
          </w:r>
        </w:p>
        <w:p>
          <w:pPr>
            <w:pStyle w:val="14"/>
            <w:numPr>
              <w:ilvl w:val="2"/>
              <w:numId w:val="2"/>
            </w:numPr>
            <w:tabs>
              <w:tab w:val="left" w:pos="600"/>
              <w:tab w:val="right" w:leader="dot" w:pos="8906"/>
            </w:tabs>
            <w:spacing w:before="143"/>
            <w:ind w:left="1680" w:hanging="1680"/>
            <w:jc w:val="right"/>
            <w:rPr>
              <w:rFonts w:ascii="Times New Roman" w:eastAsia="Times New Roman"/>
            </w:rPr>
          </w:pPr>
          <w:r>
            <w:fldChar w:fldCharType="begin"/>
          </w:r>
          <w:r>
            <w:instrText xml:space="preserve"> HYPERLINK \l "_bookmark57" </w:instrText>
          </w:r>
          <w:r>
            <w:fldChar w:fldCharType="separate"/>
          </w:r>
          <w:r>
            <w:t>事故信息报告</w:t>
          </w:r>
          <w:r>
            <w:tab/>
          </w:r>
          <w:r>
            <w:rPr>
              <w:rFonts w:ascii="Times New Roman" w:eastAsia="Times New Roman"/>
            </w:rPr>
            <w:t>30</w:t>
          </w:r>
          <w:r>
            <w:rPr>
              <w:rFonts w:ascii="Times New Roman" w:eastAsia="Times New Roman"/>
            </w:rPr>
            <w:fldChar w:fldCharType="end"/>
          </w:r>
        </w:p>
        <w:p>
          <w:pPr>
            <w:pStyle w:val="14"/>
            <w:numPr>
              <w:ilvl w:val="2"/>
              <w:numId w:val="2"/>
            </w:numPr>
            <w:tabs>
              <w:tab w:val="left" w:pos="600"/>
              <w:tab w:val="right" w:leader="dot" w:pos="8906"/>
            </w:tabs>
            <w:ind w:left="1680" w:hanging="1680"/>
            <w:jc w:val="right"/>
            <w:rPr>
              <w:rFonts w:ascii="Times New Roman" w:eastAsia="Times New Roman"/>
            </w:rPr>
          </w:pPr>
          <w:r>
            <w:fldChar w:fldCharType="begin"/>
          </w:r>
          <w:r>
            <w:instrText xml:space="preserve"> HYPERLINK \l "_bookmark58" </w:instrText>
          </w:r>
          <w:r>
            <w:fldChar w:fldCharType="separate"/>
          </w:r>
          <w:r>
            <w:t>事故信息通报</w:t>
          </w:r>
          <w:r>
            <w:tab/>
          </w:r>
          <w:r>
            <w:rPr>
              <w:rFonts w:ascii="Times New Roman" w:eastAsia="Times New Roman"/>
            </w:rPr>
            <w:t>30</w:t>
          </w:r>
          <w:r>
            <w:rPr>
              <w:rFonts w:ascii="Times New Roman" w:eastAsia="Times New Roman"/>
            </w:rPr>
            <w:fldChar w:fldCharType="end"/>
          </w:r>
        </w:p>
        <w:p>
          <w:pPr>
            <w:pStyle w:val="14"/>
            <w:numPr>
              <w:ilvl w:val="2"/>
              <w:numId w:val="2"/>
            </w:numPr>
            <w:tabs>
              <w:tab w:val="left" w:pos="600"/>
              <w:tab w:val="right" w:leader="dot" w:pos="8906"/>
            </w:tabs>
            <w:spacing w:before="161"/>
            <w:ind w:left="1680" w:hanging="1680"/>
            <w:jc w:val="right"/>
            <w:rPr>
              <w:rFonts w:ascii="Times New Roman" w:eastAsia="Times New Roman"/>
            </w:rPr>
          </w:pPr>
          <w:r>
            <w:fldChar w:fldCharType="begin"/>
          </w:r>
          <w:r>
            <w:instrText xml:space="preserve"> HYPERLINK \l "_bookmark59" </w:instrText>
          </w:r>
          <w:r>
            <w:fldChar w:fldCharType="separate"/>
          </w:r>
          <w:r>
            <w:t>电话通报及联系词内容</w:t>
          </w:r>
          <w:r>
            <w:tab/>
          </w:r>
          <w:r>
            <w:rPr>
              <w:rFonts w:ascii="Times New Roman" w:eastAsia="Times New Roman"/>
            </w:rPr>
            <w:t>30</w:t>
          </w:r>
          <w:r>
            <w:rPr>
              <w:rFonts w:ascii="Times New Roman" w:eastAsia="Times New Roman"/>
            </w:rPr>
            <w:fldChar w:fldCharType="end"/>
          </w:r>
        </w:p>
        <w:p>
          <w:pPr>
            <w:pStyle w:val="14"/>
            <w:numPr>
              <w:ilvl w:val="1"/>
              <w:numId w:val="2"/>
            </w:numPr>
            <w:tabs>
              <w:tab w:val="left" w:pos="420"/>
              <w:tab w:val="right" w:leader="dot" w:pos="9326"/>
            </w:tabs>
            <w:ind w:hanging="1080"/>
            <w:jc w:val="right"/>
            <w:rPr>
              <w:rFonts w:ascii="Times New Roman" w:eastAsia="Times New Roman"/>
            </w:rPr>
          </w:pPr>
          <w:r>
            <w:fldChar w:fldCharType="begin"/>
          </w:r>
          <w:r>
            <w:instrText xml:space="preserve"> HYPERLINK \l "_bookmark60" </w:instrText>
          </w:r>
          <w:r>
            <w:fldChar w:fldCharType="separate"/>
          </w:r>
          <w:r>
            <w:t>外部信息报告</w:t>
          </w:r>
          <w:r>
            <w:tab/>
          </w:r>
          <w:r>
            <w:rPr>
              <w:rFonts w:ascii="Times New Roman" w:eastAsia="Times New Roman"/>
            </w:rPr>
            <w:t>31</w:t>
          </w:r>
          <w:r>
            <w:rPr>
              <w:rFonts w:ascii="Times New Roman" w:eastAsia="Times New Roman"/>
            </w:rPr>
            <w:fldChar w:fldCharType="end"/>
          </w:r>
        </w:p>
        <w:p>
          <w:pPr>
            <w:pStyle w:val="14"/>
            <w:numPr>
              <w:ilvl w:val="1"/>
              <w:numId w:val="2"/>
            </w:numPr>
            <w:tabs>
              <w:tab w:val="left" w:pos="420"/>
              <w:tab w:val="right" w:leader="dot" w:pos="9326"/>
            </w:tabs>
            <w:spacing w:before="161"/>
            <w:ind w:hanging="1080"/>
            <w:jc w:val="right"/>
            <w:rPr>
              <w:rFonts w:ascii="Times New Roman" w:eastAsia="Times New Roman"/>
            </w:rPr>
          </w:pPr>
          <w:r>
            <w:fldChar w:fldCharType="begin"/>
          </w:r>
          <w:r>
            <w:instrText xml:space="preserve"> HYPERLINK \l "_bookmark61" </w:instrText>
          </w:r>
          <w:r>
            <w:fldChar w:fldCharType="separate"/>
          </w:r>
          <w:r>
            <w:t>报告内容</w:t>
          </w:r>
          <w:r>
            <w:tab/>
          </w:r>
          <w:r>
            <w:rPr>
              <w:rFonts w:ascii="Times New Roman" w:eastAsia="Times New Roman"/>
            </w:rPr>
            <w:t>32</w:t>
          </w:r>
          <w:r>
            <w:rPr>
              <w:rFonts w:ascii="Times New Roman" w:eastAsia="Times New Roman"/>
            </w:rPr>
            <w:fldChar w:fldCharType="end"/>
          </w:r>
        </w:p>
        <w:p>
          <w:pPr>
            <w:pStyle w:val="14"/>
            <w:numPr>
              <w:ilvl w:val="1"/>
              <w:numId w:val="2"/>
            </w:numPr>
            <w:tabs>
              <w:tab w:val="left" w:pos="420"/>
              <w:tab w:val="right" w:leader="dot" w:pos="9326"/>
            </w:tabs>
            <w:ind w:hanging="1080"/>
            <w:jc w:val="right"/>
            <w:rPr>
              <w:rFonts w:ascii="Times New Roman" w:eastAsia="Times New Roman"/>
            </w:rPr>
          </w:pPr>
          <w:r>
            <w:fldChar w:fldCharType="begin"/>
          </w:r>
          <w:r>
            <w:instrText xml:space="preserve"> HYPERLINK \l "_bookmark62" </w:instrText>
          </w:r>
          <w:r>
            <w:fldChar w:fldCharType="separate"/>
          </w:r>
          <w:r>
            <w:t>信息通报的联络方式</w:t>
          </w:r>
          <w:r>
            <w:tab/>
          </w:r>
          <w:r>
            <w:rPr>
              <w:rFonts w:ascii="Times New Roman" w:eastAsia="Times New Roman"/>
            </w:rPr>
            <w:t>32</w:t>
          </w:r>
          <w:r>
            <w:rPr>
              <w:rFonts w:ascii="Times New Roman" w:eastAsia="Times New Roman"/>
            </w:rPr>
            <w:fldChar w:fldCharType="end"/>
          </w:r>
        </w:p>
        <w:p>
          <w:pPr>
            <w:pStyle w:val="4"/>
            <w:numPr>
              <w:ilvl w:val="0"/>
              <w:numId w:val="2"/>
            </w:numPr>
            <w:tabs>
              <w:tab w:val="left" w:pos="240"/>
              <w:tab w:val="right" w:leader="dot" w:pos="9746"/>
            </w:tabs>
            <w:ind w:left="480" w:hanging="480"/>
            <w:jc w:val="right"/>
            <w:rPr>
              <w:rFonts w:ascii="Times New Roman" w:eastAsia="Times New Roman"/>
            </w:rPr>
          </w:pPr>
          <w:r>
            <w:fldChar w:fldCharType="begin"/>
          </w:r>
          <w:r>
            <w:instrText xml:space="preserve"> HYPERLINK \l "_bookmark63" </w:instrText>
          </w:r>
          <w:r>
            <w:fldChar w:fldCharType="separate"/>
          </w:r>
          <w:r>
            <w:t>应急响应与措施</w:t>
          </w:r>
          <w:r>
            <w:tab/>
          </w:r>
          <w:r>
            <w:rPr>
              <w:rFonts w:ascii="Times New Roman" w:eastAsia="Times New Roman"/>
            </w:rPr>
            <w:t>33</w:t>
          </w:r>
          <w:r>
            <w:rPr>
              <w:rFonts w:ascii="Times New Roman" w:eastAsia="Times New Roman"/>
            </w:rPr>
            <w:fldChar w:fldCharType="end"/>
          </w:r>
        </w:p>
        <w:p>
          <w:pPr>
            <w:pStyle w:val="14"/>
            <w:numPr>
              <w:ilvl w:val="1"/>
              <w:numId w:val="2"/>
            </w:numPr>
            <w:tabs>
              <w:tab w:val="left" w:pos="420"/>
              <w:tab w:val="right" w:leader="dot" w:pos="9326"/>
            </w:tabs>
            <w:ind w:hanging="1080"/>
            <w:jc w:val="right"/>
            <w:rPr>
              <w:rFonts w:ascii="Times New Roman" w:eastAsia="Times New Roman"/>
            </w:rPr>
          </w:pPr>
          <w:r>
            <w:fldChar w:fldCharType="begin"/>
          </w:r>
          <w:r>
            <w:instrText xml:space="preserve"> HYPERLINK \l "_bookmark64" </w:instrText>
          </w:r>
          <w:r>
            <w:fldChar w:fldCharType="separate"/>
          </w:r>
          <w:r>
            <w:t>分级响应机制</w:t>
          </w:r>
          <w:r>
            <w:tab/>
          </w:r>
          <w:r>
            <w:rPr>
              <w:rFonts w:ascii="Times New Roman" w:eastAsia="Times New Roman"/>
            </w:rPr>
            <w:t>33</w:t>
          </w:r>
          <w:r>
            <w:rPr>
              <w:rFonts w:ascii="Times New Roman" w:eastAsia="Times New Roman"/>
            </w:rPr>
            <w:fldChar w:fldCharType="end"/>
          </w:r>
        </w:p>
        <w:p>
          <w:pPr>
            <w:pStyle w:val="14"/>
            <w:numPr>
              <w:ilvl w:val="2"/>
              <w:numId w:val="2"/>
            </w:numPr>
            <w:tabs>
              <w:tab w:val="left" w:pos="540"/>
              <w:tab w:val="right" w:leader="dot" w:pos="8906"/>
            </w:tabs>
            <w:spacing w:before="161"/>
            <w:ind w:hanging="1620"/>
            <w:jc w:val="right"/>
            <w:rPr>
              <w:rFonts w:ascii="Times New Roman" w:eastAsia="Times New Roman"/>
            </w:rPr>
          </w:pPr>
          <w:r>
            <w:fldChar w:fldCharType="begin"/>
          </w:r>
          <w:r>
            <w:instrText xml:space="preserve"> HYPERLINK \l "_bookmark65" </w:instrText>
          </w:r>
          <w:r>
            <w:fldChar w:fldCharType="separate"/>
          </w:r>
          <w:r>
            <w:rPr>
              <w:rFonts w:ascii="Times New Roman" w:eastAsia="Times New Roman"/>
            </w:rPr>
            <w:t>I</w:t>
          </w:r>
          <w:r>
            <w:rPr>
              <w:rFonts w:ascii="Times New Roman" w:eastAsia="Times New Roman"/>
              <w:spacing w:val="-1"/>
            </w:rPr>
            <w:t xml:space="preserve"> </w:t>
          </w:r>
          <w:r>
            <w:t>级响应</w:t>
          </w:r>
          <w:r>
            <w:tab/>
          </w:r>
          <w:r>
            <w:rPr>
              <w:rFonts w:ascii="Times New Roman" w:eastAsia="Times New Roman"/>
            </w:rPr>
            <w:t>34</w:t>
          </w:r>
          <w:r>
            <w:rPr>
              <w:rFonts w:ascii="Times New Roman" w:eastAsia="Times New Roman"/>
            </w:rPr>
            <w:fldChar w:fldCharType="end"/>
          </w:r>
        </w:p>
        <w:p>
          <w:pPr>
            <w:pStyle w:val="14"/>
            <w:numPr>
              <w:ilvl w:val="2"/>
              <w:numId w:val="2"/>
            </w:numPr>
            <w:tabs>
              <w:tab w:val="left" w:pos="540"/>
              <w:tab w:val="right" w:leader="dot" w:pos="8906"/>
            </w:tabs>
            <w:ind w:hanging="1620"/>
            <w:jc w:val="right"/>
            <w:rPr>
              <w:rFonts w:ascii="Times New Roman" w:eastAsia="Times New Roman"/>
            </w:rPr>
          </w:pPr>
          <w:r>
            <w:fldChar w:fldCharType="begin"/>
          </w:r>
          <w:r>
            <w:instrText xml:space="preserve"> HYPERLINK \l "_bookmark66" </w:instrText>
          </w:r>
          <w:r>
            <w:fldChar w:fldCharType="separate"/>
          </w:r>
          <w:r>
            <w:rPr>
              <w:rFonts w:ascii="Times New Roman" w:eastAsia="Times New Roman"/>
            </w:rPr>
            <w:t xml:space="preserve">II </w:t>
          </w:r>
          <w:r>
            <w:t>级响应</w:t>
          </w:r>
          <w:r>
            <w:tab/>
          </w:r>
          <w:r>
            <w:rPr>
              <w:rFonts w:ascii="Times New Roman" w:eastAsia="Times New Roman"/>
            </w:rPr>
            <w:t>35</w:t>
          </w:r>
          <w:r>
            <w:rPr>
              <w:rFonts w:ascii="Times New Roman" w:eastAsia="Times New Roman"/>
            </w:rPr>
            <w:fldChar w:fldCharType="end"/>
          </w:r>
        </w:p>
        <w:p>
          <w:pPr>
            <w:pStyle w:val="14"/>
            <w:numPr>
              <w:ilvl w:val="2"/>
              <w:numId w:val="2"/>
            </w:numPr>
            <w:tabs>
              <w:tab w:val="left" w:pos="540"/>
              <w:tab w:val="right" w:leader="dot" w:pos="8906"/>
            </w:tabs>
            <w:spacing w:before="161"/>
            <w:ind w:hanging="1620"/>
            <w:jc w:val="right"/>
            <w:rPr>
              <w:rFonts w:ascii="Times New Roman" w:eastAsia="Times New Roman"/>
            </w:rPr>
          </w:pPr>
          <w:r>
            <w:fldChar w:fldCharType="begin"/>
          </w:r>
          <w:r>
            <w:instrText xml:space="preserve"> HYPERLINK \l "_bookmark67" </w:instrText>
          </w:r>
          <w:r>
            <w:fldChar w:fldCharType="separate"/>
          </w:r>
          <w:r>
            <w:rPr>
              <w:rFonts w:ascii="Times New Roman" w:eastAsia="Times New Roman"/>
            </w:rPr>
            <w:t>III</w:t>
          </w:r>
          <w:r>
            <w:rPr>
              <w:rFonts w:ascii="Times New Roman" w:eastAsia="Times New Roman"/>
              <w:spacing w:val="3"/>
            </w:rPr>
            <w:t xml:space="preserve"> </w:t>
          </w:r>
          <w:r>
            <w:t>级响应</w:t>
          </w:r>
          <w:r>
            <w:tab/>
          </w:r>
          <w:r>
            <w:rPr>
              <w:rFonts w:ascii="Times New Roman" w:eastAsia="Times New Roman"/>
            </w:rPr>
            <w:t>36</w:t>
          </w:r>
          <w:r>
            <w:rPr>
              <w:rFonts w:ascii="Times New Roman" w:eastAsia="Times New Roman"/>
            </w:rPr>
            <w:fldChar w:fldCharType="end"/>
          </w:r>
        </w:p>
        <w:p>
          <w:pPr>
            <w:pStyle w:val="14"/>
            <w:numPr>
              <w:ilvl w:val="1"/>
              <w:numId w:val="2"/>
            </w:numPr>
            <w:tabs>
              <w:tab w:val="left" w:pos="420"/>
              <w:tab w:val="right" w:leader="dot" w:pos="9326"/>
            </w:tabs>
            <w:ind w:hanging="1080"/>
            <w:jc w:val="right"/>
            <w:rPr>
              <w:rFonts w:ascii="Times New Roman" w:eastAsia="Times New Roman"/>
            </w:rPr>
          </w:pPr>
          <w:r>
            <w:fldChar w:fldCharType="begin"/>
          </w:r>
          <w:r>
            <w:instrText xml:space="preserve"> HYPERLINK \l "_bookmark68" </w:instrText>
          </w:r>
          <w:r>
            <w:fldChar w:fldCharType="separate"/>
          </w:r>
          <w:r>
            <w:t>响应程序</w:t>
          </w:r>
          <w:r>
            <w:tab/>
          </w:r>
          <w:r>
            <w:rPr>
              <w:rFonts w:ascii="Times New Roman" w:eastAsia="Times New Roman"/>
            </w:rPr>
            <w:t>37</w:t>
          </w:r>
          <w:r>
            <w:rPr>
              <w:rFonts w:ascii="Times New Roman" w:eastAsia="Times New Roman"/>
            </w:rPr>
            <w:fldChar w:fldCharType="end"/>
          </w:r>
        </w:p>
        <w:p>
          <w:pPr>
            <w:pStyle w:val="14"/>
            <w:numPr>
              <w:ilvl w:val="1"/>
              <w:numId w:val="2"/>
            </w:numPr>
            <w:tabs>
              <w:tab w:val="left" w:pos="420"/>
              <w:tab w:val="right" w:leader="dot" w:pos="9326"/>
            </w:tabs>
            <w:spacing w:before="161"/>
            <w:ind w:hanging="1080"/>
            <w:jc w:val="right"/>
            <w:rPr>
              <w:rFonts w:ascii="Times New Roman" w:eastAsia="Times New Roman"/>
            </w:rPr>
          </w:pPr>
          <w:r>
            <w:fldChar w:fldCharType="begin"/>
          </w:r>
          <w:r>
            <w:instrText xml:space="preserve"> HYPERLINK \l "_bookmark69" </w:instrText>
          </w:r>
          <w:r>
            <w:fldChar w:fldCharType="separate"/>
          </w:r>
          <w:r>
            <w:t>启动应急响应</w:t>
          </w:r>
          <w:r>
            <w:tab/>
          </w:r>
          <w:r>
            <w:rPr>
              <w:rFonts w:ascii="Times New Roman" w:eastAsia="Times New Roman"/>
            </w:rPr>
            <w:t>37</w:t>
          </w:r>
          <w:r>
            <w:rPr>
              <w:rFonts w:ascii="Times New Roman" w:eastAsia="Times New Roman"/>
            </w:rPr>
            <w:fldChar w:fldCharType="end"/>
          </w:r>
        </w:p>
        <w:p>
          <w:pPr>
            <w:pStyle w:val="14"/>
            <w:numPr>
              <w:ilvl w:val="1"/>
              <w:numId w:val="2"/>
            </w:numPr>
            <w:tabs>
              <w:tab w:val="left" w:pos="420"/>
              <w:tab w:val="right" w:leader="dot" w:pos="9326"/>
            </w:tabs>
            <w:ind w:hanging="1080"/>
            <w:jc w:val="right"/>
            <w:rPr>
              <w:rFonts w:ascii="Times New Roman" w:eastAsia="Times New Roman"/>
            </w:rPr>
          </w:pPr>
          <w:r>
            <w:fldChar w:fldCharType="begin"/>
          </w:r>
          <w:r>
            <w:instrText xml:space="preserve"> HYPERLINK \l "_bookmark70" </w:instrText>
          </w:r>
          <w:r>
            <w:fldChar w:fldCharType="separate"/>
          </w:r>
          <w:r>
            <w:t>应急处置</w:t>
          </w:r>
          <w:r>
            <w:tab/>
          </w:r>
          <w:r>
            <w:rPr>
              <w:rFonts w:ascii="Times New Roman" w:eastAsia="Times New Roman"/>
            </w:rPr>
            <w:t>39</w:t>
          </w:r>
          <w:r>
            <w:rPr>
              <w:rFonts w:ascii="Times New Roman" w:eastAsia="Times New Roman"/>
            </w:rPr>
            <w:fldChar w:fldCharType="end"/>
          </w:r>
        </w:p>
        <w:p>
          <w:pPr>
            <w:pStyle w:val="14"/>
            <w:numPr>
              <w:ilvl w:val="2"/>
              <w:numId w:val="2"/>
            </w:numPr>
            <w:tabs>
              <w:tab w:val="left" w:pos="540"/>
              <w:tab w:val="right" w:leader="dot" w:pos="8906"/>
            </w:tabs>
            <w:spacing w:before="161"/>
            <w:ind w:hanging="1620"/>
            <w:jc w:val="right"/>
            <w:rPr>
              <w:rFonts w:ascii="Times New Roman" w:eastAsia="Times New Roman"/>
            </w:rPr>
          </w:pPr>
          <w:r>
            <w:fldChar w:fldCharType="begin"/>
          </w:r>
          <w:r>
            <w:instrText xml:space="preserve"> HYPERLINK \l "_bookmark71" </w:instrText>
          </w:r>
          <w:r>
            <w:fldChar w:fldCharType="separate"/>
          </w:r>
          <w:r>
            <w:t>火灾爆炸事故应急处置</w:t>
          </w:r>
          <w:r>
            <w:tab/>
          </w:r>
          <w:r>
            <w:rPr>
              <w:rFonts w:ascii="Times New Roman" w:eastAsia="Times New Roman"/>
            </w:rPr>
            <w:t>39</w:t>
          </w:r>
          <w:r>
            <w:rPr>
              <w:rFonts w:ascii="Times New Roman" w:eastAsia="Times New Roman"/>
            </w:rPr>
            <w:fldChar w:fldCharType="end"/>
          </w:r>
        </w:p>
        <w:p>
          <w:pPr>
            <w:pStyle w:val="14"/>
            <w:numPr>
              <w:ilvl w:val="2"/>
              <w:numId w:val="2"/>
            </w:numPr>
            <w:tabs>
              <w:tab w:val="left" w:pos="540"/>
              <w:tab w:val="right" w:leader="dot" w:pos="8906"/>
            </w:tabs>
            <w:ind w:hanging="1620"/>
            <w:jc w:val="right"/>
            <w:rPr>
              <w:rFonts w:ascii="Times New Roman" w:eastAsia="Times New Roman"/>
            </w:rPr>
          </w:pPr>
          <w:r>
            <w:fldChar w:fldCharType="begin"/>
          </w:r>
          <w:r>
            <w:instrText xml:space="preserve"> HYPERLINK \l "_bookmark72" </w:instrText>
          </w:r>
          <w:r>
            <w:fldChar w:fldCharType="separate"/>
          </w:r>
          <w:r>
            <w:t>有毒</w:t>
          </w:r>
          <w:r>
            <w:rPr>
              <w:rFonts w:hint="eastAsia"/>
            </w:rPr>
            <w:t>液态</w:t>
          </w:r>
          <w:r>
            <w:t>泄漏事故应急处置</w:t>
          </w:r>
          <w:r>
            <w:tab/>
          </w:r>
          <w:r>
            <w:rPr>
              <w:rFonts w:ascii="Times New Roman" w:eastAsia="Times New Roman"/>
            </w:rPr>
            <w:t>41</w:t>
          </w:r>
          <w:r>
            <w:rPr>
              <w:rFonts w:ascii="Times New Roman" w:eastAsia="Times New Roman"/>
            </w:rPr>
            <w:fldChar w:fldCharType="end"/>
          </w:r>
        </w:p>
        <w:p>
          <w:pPr>
            <w:pStyle w:val="14"/>
            <w:numPr>
              <w:ilvl w:val="2"/>
              <w:numId w:val="2"/>
            </w:numPr>
            <w:tabs>
              <w:tab w:val="left" w:pos="540"/>
              <w:tab w:val="right" w:leader="dot" w:pos="8906"/>
            </w:tabs>
            <w:spacing w:before="161"/>
            <w:ind w:hanging="1620"/>
            <w:jc w:val="right"/>
            <w:rPr>
              <w:rFonts w:ascii="Times New Roman" w:eastAsia="Times New Roman"/>
            </w:rPr>
          </w:pPr>
          <w:r>
            <w:fldChar w:fldCharType="begin"/>
          </w:r>
          <w:r>
            <w:instrText xml:space="preserve"> HYPERLINK \l "_bookmark73" </w:instrText>
          </w:r>
          <w:r>
            <w:fldChar w:fldCharType="separate"/>
          </w:r>
          <w:r>
            <w:t>废气泄漏事故应急处置</w:t>
          </w:r>
          <w:r>
            <w:tab/>
          </w:r>
          <w:r>
            <w:rPr>
              <w:rFonts w:ascii="Times New Roman" w:eastAsia="Times New Roman"/>
            </w:rPr>
            <w:t>43</w:t>
          </w:r>
          <w:r>
            <w:rPr>
              <w:rFonts w:ascii="Times New Roman" w:eastAsia="Times New Roman"/>
            </w:rPr>
            <w:fldChar w:fldCharType="end"/>
          </w:r>
        </w:p>
        <w:p>
          <w:pPr>
            <w:pStyle w:val="14"/>
            <w:numPr>
              <w:ilvl w:val="2"/>
              <w:numId w:val="2"/>
            </w:numPr>
            <w:tabs>
              <w:tab w:val="left" w:pos="540"/>
              <w:tab w:val="right" w:leader="dot" w:pos="8906"/>
            </w:tabs>
            <w:ind w:hanging="1620"/>
            <w:jc w:val="right"/>
            <w:rPr>
              <w:rFonts w:ascii="Times New Roman" w:eastAsia="Times New Roman"/>
            </w:rPr>
          </w:pPr>
          <w:r>
            <w:fldChar w:fldCharType="begin"/>
          </w:r>
          <w:r>
            <w:instrText xml:space="preserve"> HYPERLINK \l "_bookmark74" </w:instrText>
          </w:r>
          <w:r>
            <w:fldChar w:fldCharType="separate"/>
          </w:r>
          <w:r>
            <w:t>危废泄漏事故应急处置</w:t>
          </w:r>
          <w:r>
            <w:tab/>
          </w:r>
          <w:r>
            <w:rPr>
              <w:rFonts w:ascii="Times New Roman" w:eastAsia="Times New Roman"/>
            </w:rPr>
            <w:t>44</w:t>
          </w:r>
          <w:r>
            <w:rPr>
              <w:rFonts w:ascii="Times New Roman" w:eastAsia="Times New Roman"/>
            </w:rPr>
            <w:fldChar w:fldCharType="end"/>
          </w:r>
        </w:p>
        <w:p>
          <w:pPr>
            <w:pStyle w:val="14"/>
            <w:numPr>
              <w:ilvl w:val="2"/>
              <w:numId w:val="2"/>
            </w:numPr>
            <w:tabs>
              <w:tab w:val="left" w:pos="600"/>
              <w:tab w:val="right" w:leader="dot" w:pos="8906"/>
            </w:tabs>
            <w:spacing w:before="161"/>
            <w:ind w:left="1680" w:hanging="1680"/>
            <w:jc w:val="right"/>
            <w:rPr>
              <w:rFonts w:ascii="Times New Roman" w:eastAsia="Times New Roman"/>
            </w:rPr>
          </w:pPr>
          <w:r>
            <w:fldChar w:fldCharType="begin"/>
          </w:r>
          <w:r>
            <w:instrText xml:space="preserve"> HYPERLINK \l "_bookmark75" </w:instrText>
          </w:r>
          <w:r>
            <w:fldChar w:fldCharType="separate"/>
          </w:r>
          <w:r>
            <w:t>化学品泄漏事故应急处置</w:t>
          </w:r>
          <w:r>
            <w:tab/>
          </w:r>
          <w:r>
            <w:rPr>
              <w:rFonts w:ascii="Times New Roman" w:eastAsia="Times New Roman"/>
            </w:rPr>
            <w:t>45</w:t>
          </w:r>
          <w:r>
            <w:rPr>
              <w:rFonts w:ascii="Times New Roman" w:eastAsia="Times New Roman"/>
            </w:rPr>
            <w:fldChar w:fldCharType="end"/>
          </w:r>
        </w:p>
        <w:p>
          <w:pPr>
            <w:pStyle w:val="14"/>
            <w:numPr>
              <w:ilvl w:val="2"/>
              <w:numId w:val="2"/>
            </w:numPr>
            <w:tabs>
              <w:tab w:val="left" w:pos="600"/>
              <w:tab w:val="right" w:leader="dot" w:pos="8906"/>
            </w:tabs>
            <w:ind w:left="1680" w:hanging="1680"/>
            <w:jc w:val="right"/>
            <w:rPr>
              <w:rFonts w:ascii="Times New Roman" w:eastAsia="Times New Roman"/>
            </w:rPr>
          </w:pPr>
          <w:r>
            <w:fldChar w:fldCharType="begin"/>
          </w:r>
          <w:r>
            <w:instrText xml:space="preserve"> HYPERLINK \l "_bookmark76" </w:instrText>
          </w:r>
          <w:r>
            <w:fldChar w:fldCharType="separate"/>
          </w:r>
          <w:r>
            <w:t>废水泄漏事故应急处置</w:t>
          </w:r>
          <w:r>
            <w:tab/>
          </w:r>
          <w:r>
            <w:rPr>
              <w:rFonts w:ascii="Times New Roman" w:eastAsia="Times New Roman"/>
            </w:rPr>
            <w:t>46</w:t>
          </w:r>
          <w:r>
            <w:rPr>
              <w:rFonts w:ascii="Times New Roman" w:eastAsia="Times New Roman"/>
            </w:rPr>
            <w:fldChar w:fldCharType="end"/>
          </w:r>
        </w:p>
        <w:p>
          <w:pPr>
            <w:pStyle w:val="14"/>
            <w:numPr>
              <w:ilvl w:val="1"/>
              <w:numId w:val="2"/>
            </w:numPr>
            <w:tabs>
              <w:tab w:val="left" w:pos="420"/>
              <w:tab w:val="right" w:leader="dot" w:pos="9326"/>
            </w:tabs>
            <w:spacing w:before="161"/>
            <w:ind w:hanging="1080"/>
            <w:jc w:val="right"/>
            <w:rPr>
              <w:rFonts w:ascii="Times New Roman" w:eastAsia="Times New Roman"/>
            </w:rPr>
          </w:pPr>
          <w:r>
            <w:fldChar w:fldCharType="begin"/>
          </w:r>
          <w:r>
            <w:instrText xml:space="preserve"> HYPERLINK \l "_bookmark77" </w:instrText>
          </w:r>
          <w:r>
            <w:fldChar w:fldCharType="separate"/>
          </w:r>
          <w:r>
            <w:t>应急疏散与受伤人员现场救护</w:t>
          </w:r>
          <w:r>
            <w:tab/>
          </w:r>
          <w:r>
            <w:rPr>
              <w:rFonts w:ascii="Times New Roman" w:eastAsia="Times New Roman"/>
            </w:rPr>
            <w:t>47</w:t>
          </w:r>
          <w:r>
            <w:rPr>
              <w:rFonts w:ascii="Times New Roman" w:eastAsia="Times New Roman"/>
            </w:rPr>
            <w:fldChar w:fldCharType="end"/>
          </w:r>
        </w:p>
        <w:p>
          <w:pPr>
            <w:pStyle w:val="14"/>
            <w:numPr>
              <w:ilvl w:val="2"/>
              <w:numId w:val="2"/>
            </w:numPr>
            <w:tabs>
              <w:tab w:val="left" w:pos="600"/>
              <w:tab w:val="right" w:leader="dot" w:pos="8906"/>
            </w:tabs>
            <w:ind w:left="1680" w:hanging="1680"/>
            <w:jc w:val="right"/>
            <w:rPr>
              <w:rFonts w:ascii="Times New Roman" w:eastAsia="Times New Roman"/>
            </w:rPr>
          </w:pPr>
          <w:r>
            <w:fldChar w:fldCharType="begin"/>
          </w:r>
          <w:r>
            <w:instrText xml:space="preserve"> HYPERLINK \l "_bookmark78" </w:instrText>
          </w:r>
          <w:r>
            <w:fldChar w:fldCharType="separate"/>
          </w:r>
          <w:r>
            <w:t>应急疏散</w:t>
          </w:r>
          <w:r>
            <w:tab/>
          </w:r>
          <w:r>
            <w:rPr>
              <w:rFonts w:ascii="Times New Roman" w:eastAsia="Times New Roman"/>
            </w:rPr>
            <w:t>47</w:t>
          </w:r>
          <w:r>
            <w:rPr>
              <w:rFonts w:ascii="Times New Roman" w:eastAsia="Times New Roman"/>
            </w:rPr>
            <w:fldChar w:fldCharType="end"/>
          </w:r>
        </w:p>
        <w:p>
          <w:pPr>
            <w:pStyle w:val="14"/>
            <w:numPr>
              <w:ilvl w:val="2"/>
              <w:numId w:val="2"/>
            </w:numPr>
            <w:tabs>
              <w:tab w:val="left" w:pos="540"/>
              <w:tab w:val="right" w:leader="dot" w:pos="8906"/>
            </w:tabs>
            <w:spacing w:before="161"/>
            <w:ind w:hanging="1620"/>
            <w:jc w:val="right"/>
            <w:rPr>
              <w:rFonts w:ascii="Times New Roman" w:eastAsia="Times New Roman"/>
            </w:rPr>
          </w:pPr>
          <w:r>
            <w:fldChar w:fldCharType="begin"/>
          </w:r>
          <w:r>
            <w:instrText xml:space="preserve"> HYPERLINK \l "_bookmark79" </w:instrText>
          </w:r>
          <w:r>
            <w:fldChar w:fldCharType="separate"/>
          </w:r>
          <w:r>
            <w:t>受伤人员现场救护</w:t>
          </w:r>
          <w:r>
            <w:tab/>
          </w:r>
          <w:r>
            <w:rPr>
              <w:rFonts w:ascii="Times New Roman" w:eastAsia="Times New Roman"/>
            </w:rPr>
            <w:t>48</w:t>
          </w:r>
          <w:r>
            <w:rPr>
              <w:rFonts w:ascii="Times New Roman" w:eastAsia="Times New Roman"/>
            </w:rPr>
            <w:fldChar w:fldCharType="end"/>
          </w:r>
        </w:p>
        <w:p>
          <w:pPr>
            <w:pStyle w:val="14"/>
            <w:numPr>
              <w:ilvl w:val="1"/>
              <w:numId w:val="2"/>
            </w:numPr>
            <w:tabs>
              <w:tab w:val="left" w:pos="420"/>
              <w:tab w:val="right" w:leader="dot" w:pos="9326"/>
            </w:tabs>
            <w:ind w:hanging="1080"/>
            <w:jc w:val="right"/>
            <w:rPr>
              <w:rFonts w:ascii="Times New Roman" w:eastAsia="Times New Roman"/>
            </w:rPr>
          </w:pPr>
          <w:r>
            <w:fldChar w:fldCharType="begin"/>
          </w:r>
          <w:r>
            <w:instrText xml:space="preserve"> HYPERLINK \l "_bookmark80" </w:instrText>
          </w:r>
          <w:r>
            <w:fldChar w:fldCharType="separate"/>
          </w:r>
          <w:r>
            <w:t>应急队伍调度及物资保障</w:t>
          </w:r>
          <w:r>
            <w:tab/>
          </w:r>
          <w:r>
            <w:rPr>
              <w:rFonts w:ascii="Times New Roman" w:eastAsia="Times New Roman"/>
            </w:rPr>
            <w:t>49</w:t>
          </w:r>
          <w:r>
            <w:rPr>
              <w:rFonts w:ascii="Times New Roman" w:eastAsia="Times New Roman"/>
            </w:rPr>
            <w:fldChar w:fldCharType="end"/>
          </w:r>
        </w:p>
        <w:p>
          <w:pPr>
            <w:pStyle w:val="14"/>
            <w:numPr>
              <w:ilvl w:val="1"/>
              <w:numId w:val="2"/>
            </w:numPr>
            <w:tabs>
              <w:tab w:val="left" w:pos="420"/>
              <w:tab w:val="right" w:leader="dot" w:pos="9326"/>
            </w:tabs>
            <w:spacing w:before="161"/>
            <w:ind w:hanging="1080"/>
            <w:jc w:val="right"/>
            <w:rPr>
              <w:rFonts w:ascii="Times New Roman" w:eastAsia="Times New Roman"/>
            </w:rPr>
          </w:pPr>
          <w:r>
            <w:fldChar w:fldCharType="begin"/>
          </w:r>
          <w:r>
            <w:instrText xml:space="preserve"> HYPERLINK \l "_bookmark81" </w:instrText>
          </w:r>
          <w:r>
            <w:fldChar w:fldCharType="separate"/>
          </w:r>
          <w:r>
            <w:t>扩大应急</w:t>
          </w:r>
          <w:r>
            <w:tab/>
          </w:r>
          <w:r>
            <w:rPr>
              <w:rFonts w:ascii="Times New Roman" w:eastAsia="Times New Roman"/>
            </w:rPr>
            <w:t>49</w:t>
          </w:r>
          <w:r>
            <w:rPr>
              <w:rFonts w:ascii="Times New Roman" w:eastAsia="Times New Roman"/>
            </w:rPr>
            <w:fldChar w:fldCharType="end"/>
          </w:r>
        </w:p>
        <w:p>
          <w:pPr>
            <w:pStyle w:val="14"/>
            <w:numPr>
              <w:ilvl w:val="1"/>
              <w:numId w:val="2"/>
            </w:numPr>
            <w:tabs>
              <w:tab w:val="left" w:pos="420"/>
              <w:tab w:val="right" w:leader="dot" w:pos="9326"/>
            </w:tabs>
            <w:ind w:hanging="1080"/>
            <w:jc w:val="right"/>
            <w:rPr>
              <w:rFonts w:ascii="Times New Roman" w:eastAsia="Times New Roman"/>
            </w:rPr>
          </w:pPr>
          <w:r>
            <w:fldChar w:fldCharType="begin"/>
          </w:r>
          <w:r>
            <w:instrText xml:space="preserve"> HYPERLINK \l "_bookmark82" </w:instrText>
          </w:r>
          <w:r>
            <w:fldChar w:fldCharType="separate"/>
          </w:r>
          <w:r>
            <w:t>应急监测</w:t>
          </w:r>
          <w:r>
            <w:tab/>
          </w:r>
          <w:r>
            <w:rPr>
              <w:rFonts w:ascii="Times New Roman" w:eastAsia="Times New Roman"/>
            </w:rPr>
            <w:t>50</w:t>
          </w:r>
          <w:r>
            <w:rPr>
              <w:rFonts w:ascii="Times New Roman" w:eastAsia="Times New Roman"/>
            </w:rPr>
            <w:fldChar w:fldCharType="end"/>
          </w:r>
        </w:p>
        <w:p>
          <w:pPr>
            <w:pStyle w:val="14"/>
            <w:numPr>
              <w:ilvl w:val="2"/>
              <w:numId w:val="2"/>
            </w:numPr>
            <w:tabs>
              <w:tab w:val="left" w:pos="600"/>
              <w:tab w:val="right" w:leader="dot" w:pos="8906"/>
            </w:tabs>
            <w:spacing w:before="161"/>
            <w:ind w:left="1680" w:hanging="1680"/>
            <w:jc w:val="right"/>
            <w:rPr>
              <w:rFonts w:ascii="Times New Roman" w:eastAsia="Times New Roman"/>
            </w:rPr>
          </w:pPr>
          <w:r>
            <w:fldChar w:fldCharType="begin"/>
          </w:r>
          <w:r>
            <w:instrText xml:space="preserve"> HYPERLINK \l "_bookmark83" </w:instrText>
          </w:r>
          <w:r>
            <w:fldChar w:fldCharType="separate"/>
          </w:r>
          <w:r>
            <w:t>应急监测能力与监测方案</w:t>
          </w:r>
          <w:r>
            <w:tab/>
          </w:r>
          <w:r>
            <w:rPr>
              <w:rFonts w:ascii="Times New Roman" w:eastAsia="Times New Roman"/>
            </w:rPr>
            <w:t>50</w:t>
          </w:r>
          <w:r>
            <w:rPr>
              <w:rFonts w:ascii="Times New Roman" w:eastAsia="Times New Roman"/>
            </w:rPr>
            <w:fldChar w:fldCharType="end"/>
          </w:r>
        </w:p>
        <w:p>
          <w:pPr>
            <w:pStyle w:val="14"/>
            <w:numPr>
              <w:ilvl w:val="2"/>
              <w:numId w:val="2"/>
            </w:numPr>
            <w:tabs>
              <w:tab w:val="left" w:pos="600"/>
              <w:tab w:val="right" w:leader="dot" w:pos="8906"/>
            </w:tabs>
            <w:ind w:left="1680" w:hanging="1680"/>
            <w:jc w:val="right"/>
            <w:rPr>
              <w:rFonts w:ascii="Times New Roman" w:eastAsia="Times New Roman"/>
            </w:rPr>
          </w:pPr>
          <w:r>
            <w:fldChar w:fldCharType="begin"/>
          </w:r>
          <w:r>
            <w:instrText xml:space="preserve"> HYPERLINK \l "_bookmark84" </w:instrText>
          </w:r>
          <w:r>
            <w:fldChar w:fldCharType="separate"/>
          </w:r>
          <w:r>
            <w:t>监测方法及标准</w:t>
          </w:r>
          <w:r>
            <w:tab/>
          </w:r>
          <w:r>
            <w:rPr>
              <w:rFonts w:ascii="Times New Roman" w:eastAsia="Times New Roman"/>
            </w:rPr>
            <w:t>50</w:t>
          </w:r>
          <w:r>
            <w:rPr>
              <w:rFonts w:ascii="Times New Roman" w:eastAsia="Times New Roman"/>
            </w:rPr>
            <w:fldChar w:fldCharType="end"/>
          </w:r>
        </w:p>
        <w:p>
          <w:pPr>
            <w:pStyle w:val="14"/>
            <w:numPr>
              <w:ilvl w:val="2"/>
              <w:numId w:val="2"/>
            </w:numPr>
            <w:tabs>
              <w:tab w:val="left" w:pos="600"/>
              <w:tab w:val="right" w:leader="dot" w:pos="8906"/>
            </w:tabs>
            <w:spacing w:before="161" w:after="240"/>
            <w:ind w:left="1680" w:hanging="1680"/>
            <w:jc w:val="right"/>
            <w:rPr>
              <w:rFonts w:ascii="Times New Roman" w:eastAsia="Times New Roman"/>
            </w:rPr>
          </w:pPr>
          <w:r>
            <w:fldChar w:fldCharType="begin"/>
          </w:r>
          <w:r>
            <w:instrText xml:space="preserve"> HYPERLINK \l "_bookmark85" </w:instrText>
          </w:r>
          <w:r>
            <w:fldChar w:fldCharType="separate"/>
          </w:r>
          <w:r>
            <w:t>应急监测布点及采样要求</w:t>
          </w:r>
          <w:r>
            <w:tab/>
          </w:r>
          <w:r>
            <w:rPr>
              <w:rFonts w:ascii="Times New Roman" w:eastAsia="Times New Roman"/>
            </w:rPr>
            <w:t>50</w:t>
          </w:r>
          <w:r>
            <w:rPr>
              <w:rFonts w:ascii="Times New Roman" w:eastAsia="Times New Roman"/>
            </w:rPr>
            <w:fldChar w:fldCharType="end"/>
          </w:r>
        </w:p>
        <w:p>
          <w:pPr>
            <w:pStyle w:val="14"/>
            <w:numPr>
              <w:ilvl w:val="1"/>
              <w:numId w:val="2"/>
            </w:numPr>
            <w:tabs>
              <w:tab w:val="left" w:pos="420"/>
              <w:tab w:val="right" w:leader="dot" w:pos="9326"/>
            </w:tabs>
            <w:spacing w:before="143"/>
            <w:ind w:hanging="1080"/>
            <w:jc w:val="right"/>
            <w:rPr>
              <w:rFonts w:ascii="Times New Roman" w:eastAsia="Times New Roman"/>
            </w:rPr>
          </w:pPr>
          <w:r>
            <w:fldChar w:fldCharType="begin"/>
          </w:r>
          <w:r>
            <w:instrText xml:space="preserve"> HYPERLINK \l "_bookmark86" </w:instrText>
          </w:r>
          <w:r>
            <w:fldChar w:fldCharType="separate"/>
          </w:r>
          <w:r>
            <w:t>应急终止</w:t>
          </w:r>
          <w:r>
            <w:tab/>
          </w:r>
          <w:r>
            <w:rPr>
              <w:rFonts w:ascii="Times New Roman" w:eastAsia="Times New Roman"/>
            </w:rPr>
            <w:t>53</w:t>
          </w:r>
          <w:r>
            <w:rPr>
              <w:rFonts w:ascii="Times New Roman" w:eastAsia="Times New Roman"/>
            </w:rPr>
            <w:fldChar w:fldCharType="end"/>
          </w:r>
        </w:p>
        <w:p>
          <w:pPr>
            <w:pStyle w:val="14"/>
            <w:numPr>
              <w:ilvl w:val="2"/>
              <w:numId w:val="2"/>
            </w:numPr>
            <w:tabs>
              <w:tab w:val="left" w:pos="600"/>
              <w:tab w:val="right" w:leader="dot" w:pos="8906"/>
            </w:tabs>
            <w:ind w:left="1680" w:hanging="1680"/>
            <w:jc w:val="right"/>
            <w:rPr>
              <w:rFonts w:ascii="Times New Roman" w:eastAsia="Times New Roman"/>
            </w:rPr>
          </w:pPr>
          <w:r>
            <w:fldChar w:fldCharType="begin"/>
          </w:r>
          <w:r>
            <w:instrText xml:space="preserve"> HYPERLINK \l "_bookmark87" </w:instrText>
          </w:r>
          <w:r>
            <w:fldChar w:fldCharType="separate"/>
          </w:r>
          <w:r>
            <w:t>应急终止条件</w:t>
          </w:r>
          <w:r>
            <w:tab/>
          </w:r>
          <w:r>
            <w:rPr>
              <w:rFonts w:ascii="Times New Roman" w:eastAsia="Times New Roman"/>
            </w:rPr>
            <w:t>53</w:t>
          </w:r>
          <w:r>
            <w:rPr>
              <w:rFonts w:ascii="Times New Roman" w:eastAsia="Times New Roman"/>
            </w:rPr>
            <w:fldChar w:fldCharType="end"/>
          </w:r>
        </w:p>
        <w:p>
          <w:pPr>
            <w:pStyle w:val="14"/>
            <w:numPr>
              <w:ilvl w:val="2"/>
              <w:numId w:val="2"/>
            </w:numPr>
            <w:tabs>
              <w:tab w:val="left" w:pos="600"/>
              <w:tab w:val="right" w:leader="dot" w:pos="8906"/>
            </w:tabs>
            <w:spacing w:before="161"/>
            <w:ind w:left="1680" w:hanging="1680"/>
            <w:jc w:val="right"/>
            <w:rPr>
              <w:rFonts w:ascii="Times New Roman" w:eastAsia="Times New Roman"/>
            </w:rPr>
          </w:pPr>
          <w:r>
            <w:fldChar w:fldCharType="begin"/>
          </w:r>
          <w:r>
            <w:instrText xml:space="preserve"> HYPERLINK \l "_bookmark88" </w:instrText>
          </w:r>
          <w:r>
            <w:fldChar w:fldCharType="separate"/>
          </w:r>
          <w:r>
            <w:t>应急终止程序</w:t>
          </w:r>
          <w:r>
            <w:tab/>
          </w:r>
          <w:r>
            <w:rPr>
              <w:rFonts w:ascii="Times New Roman" w:eastAsia="Times New Roman"/>
            </w:rPr>
            <w:t>53</w:t>
          </w:r>
          <w:r>
            <w:rPr>
              <w:rFonts w:ascii="Times New Roman" w:eastAsia="Times New Roman"/>
            </w:rPr>
            <w:fldChar w:fldCharType="end"/>
          </w:r>
        </w:p>
        <w:p>
          <w:pPr>
            <w:pStyle w:val="14"/>
            <w:numPr>
              <w:ilvl w:val="2"/>
              <w:numId w:val="2"/>
            </w:numPr>
            <w:tabs>
              <w:tab w:val="left" w:pos="540"/>
              <w:tab w:val="right" w:leader="dot" w:pos="8906"/>
            </w:tabs>
            <w:ind w:hanging="1620"/>
            <w:jc w:val="right"/>
            <w:rPr>
              <w:rFonts w:ascii="Times New Roman" w:eastAsia="Times New Roman"/>
            </w:rPr>
          </w:pPr>
          <w:r>
            <w:fldChar w:fldCharType="begin"/>
          </w:r>
          <w:r>
            <w:instrText xml:space="preserve"> HYPERLINK \l "_bookmark89" </w:instrText>
          </w:r>
          <w:r>
            <w:fldChar w:fldCharType="separate"/>
          </w:r>
          <w:r>
            <w:t>监测和评估</w:t>
          </w:r>
          <w:r>
            <w:tab/>
          </w:r>
          <w:r>
            <w:rPr>
              <w:rFonts w:ascii="Times New Roman" w:eastAsia="Times New Roman"/>
            </w:rPr>
            <w:t>54</w:t>
          </w:r>
          <w:r>
            <w:rPr>
              <w:rFonts w:ascii="Times New Roman" w:eastAsia="Times New Roman"/>
            </w:rPr>
            <w:fldChar w:fldCharType="end"/>
          </w:r>
        </w:p>
        <w:p>
          <w:pPr>
            <w:pStyle w:val="4"/>
            <w:numPr>
              <w:ilvl w:val="0"/>
              <w:numId w:val="2"/>
            </w:numPr>
            <w:tabs>
              <w:tab w:val="left" w:pos="240"/>
              <w:tab w:val="right" w:leader="dot" w:pos="9746"/>
            </w:tabs>
            <w:ind w:left="480" w:hanging="480"/>
            <w:jc w:val="right"/>
            <w:rPr>
              <w:rFonts w:ascii="Times New Roman" w:eastAsia="Times New Roman"/>
            </w:rPr>
          </w:pPr>
          <w:r>
            <w:fldChar w:fldCharType="begin"/>
          </w:r>
          <w:r>
            <w:instrText xml:space="preserve"> HYPERLINK \l "_bookmark90" </w:instrText>
          </w:r>
          <w:r>
            <w:fldChar w:fldCharType="separate"/>
          </w:r>
          <w:r>
            <w:t>后期处置</w:t>
          </w:r>
          <w:r>
            <w:tab/>
          </w:r>
          <w:r>
            <w:rPr>
              <w:rFonts w:ascii="Times New Roman" w:eastAsia="Times New Roman"/>
            </w:rPr>
            <w:t>55</w:t>
          </w:r>
          <w:r>
            <w:rPr>
              <w:rFonts w:ascii="Times New Roman" w:eastAsia="Times New Roman"/>
            </w:rPr>
            <w:fldChar w:fldCharType="end"/>
          </w:r>
        </w:p>
        <w:p>
          <w:pPr>
            <w:pStyle w:val="14"/>
            <w:numPr>
              <w:ilvl w:val="1"/>
              <w:numId w:val="2"/>
            </w:numPr>
            <w:tabs>
              <w:tab w:val="left" w:pos="420"/>
              <w:tab w:val="right" w:leader="dot" w:pos="9326"/>
            </w:tabs>
            <w:ind w:hanging="1080"/>
            <w:jc w:val="right"/>
            <w:rPr>
              <w:rFonts w:ascii="Times New Roman" w:eastAsia="Times New Roman"/>
            </w:rPr>
          </w:pPr>
          <w:r>
            <w:fldChar w:fldCharType="begin"/>
          </w:r>
          <w:r>
            <w:instrText xml:space="preserve"> HYPERLINK \l "_bookmark91" </w:instrText>
          </w:r>
          <w:r>
            <w:fldChar w:fldCharType="separate"/>
          </w:r>
          <w:r>
            <w:t>善后处置</w:t>
          </w:r>
          <w:r>
            <w:tab/>
          </w:r>
          <w:r>
            <w:rPr>
              <w:rFonts w:ascii="Times New Roman" w:eastAsia="Times New Roman"/>
            </w:rPr>
            <w:t>55</w:t>
          </w:r>
          <w:r>
            <w:rPr>
              <w:rFonts w:ascii="Times New Roman" w:eastAsia="Times New Roman"/>
            </w:rPr>
            <w:fldChar w:fldCharType="end"/>
          </w:r>
        </w:p>
        <w:p>
          <w:pPr>
            <w:pStyle w:val="14"/>
            <w:numPr>
              <w:ilvl w:val="2"/>
              <w:numId w:val="2"/>
            </w:numPr>
            <w:tabs>
              <w:tab w:val="left" w:pos="600"/>
              <w:tab w:val="right" w:leader="dot" w:pos="8906"/>
            </w:tabs>
            <w:spacing w:before="161"/>
            <w:ind w:left="1680" w:hanging="1680"/>
            <w:jc w:val="right"/>
            <w:rPr>
              <w:rFonts w:ascii="Times New Roman" w:eastAsia="Times New Roman"/>
            </w:rPr>
          </w:pPr>
          <w:r>
            <w:fldChar w:fldCharType="begin"/>
          </w:r>
          <w:r>
            <w:instrText xml:space="preserve"> HYPERLINK \l "_bookmark92" </w:instrText>
          </w:r>
          <w:r>
            <w:fldChar w:fldCharType="separate"/>
          </w:r>
          <w:r>
            <w:t>应急设备维护、保养</w:t>
          </w:r>
          <w:r>
            <w:tab/>
          </w:r>
          <w:r>
            <w:rPr>
              <w:rFonts w:ascii="Times New Roman" w:eastAsia="Times New Roman"/>
            </w:rPr>
            <w:t>55</w:t>
          </w:r>
          <w:r>
            <w:rPr>
              <w:rFonts w:ascii="Times New Roman" w:eastAsia="Times New Roman"/>
            </w:rPr>
            <w:fldChar w:fldCharType="end"/>
          </w:r>
        </w:p>
        <w:p>
          <w:pPr>
            <w:pStyle w:val="14"/>
            <w:numPr>
              <w:ilvl w:val="2"/>
              <w:numId w:val="2"/>
            </w:numPr>
            <w:tabs>
              <w:tab w:val="left" w:pos="600"/>
              <w:tab w:val="right" w:leader="dot" w:pos="8906"/>
            </w:tabs>
            <w:ind w:left="1680" w:hanging="1680"/>
            <w:jc w:val="right"/>
            <w:rPr>
              <w:rFonts w:ascii="Times New Roman" w:eastAsia="Times New Roman"/>
            </w:rPr>
          </w:pPr>
          <w:r>
            <w:fldChar w:fldCharType="begin"/>
          </w:r>
          <w:r>
            <w:instrText xml:space="preserve"> HYPERLINK \l "_bookmark93" </w:instrText>
          </w:r>
          <w:r>
            <w:fldChar w:fldCharType="separate"/>
          </w:r>
          <w:r>
            <w:t>撤点、撤离和交接程序</w:t>
          </w:r>
          <w:r>
            <w:tab/>
          </w:r>
          <w:r>
            <w:rPr>
              <w:rFonts w:ascii="Times New Roman" w:eastAsia="Times New Roman"/>
            </w:rPr>
            <w:t>55</w:t>
          </w:r>
          <w:r>
            <w:rPr>
              <w:rFonts w:ascii="Times New Roman" w:eastAsia="Times New Roman"/>
            </w:rPr>
            <w:fldChar w:fldCharType="end"/>
          </w:r>
        </w:p>
        <w:p>
          <w:pPr>
            <w:pStyle w:val="14"/>
            <w:numPr>
              <w:ilvl w:val="2"/>
              <w:numId w:val="2"/>
            </w:numPr>
            <w:tabs>
              <w:tab w:val="left" w:pos="600"/>
              <w:tab w:val="right" w:leader="dot" w:pos="8906"/>
            </w:tabs>
            <w:spacing w:before="161"/>
            <w:ind w:left="1680" w:hanging="1680"/>
            <w:jc w:val="right"/>
            <w:rPr>
              <w:rFonts w:ascii="Times New Roman" w:eastAsia="Times New Roman"/>
            </w:rPr>
          </w:pPr>
          <w:r>
            <w:fldChar w:fldCharType="begin"/>
          </w:r>
          <w:r>
            <w:instrText xml:space="preserve"> HYPERLINK \l "_bookmark94" </w:instrText>
          </w:r>
          <w:r>
            <w:fldChar w:fldCharType="separate"/>
          </w:r>
          <w:r>
            <w:t>受灾人员的安置和赔偿</w:t>
          </w:r>
          <w:r>
            <w:tab/>
          </w:r>
          <w:r>
            <w:rPr>
              <w:rFonts w:ascii="Times New Roman" w:eastAsia="Times New Roman"/>
            </w:rPr>
            <w:t>55</w:t>
          </w:r>
          <w:r>
            <w:rPr>
              <w:rFonts w:ascii="Times New Roman" w:eastAsia="Times New Roman"/>
            </w:rPr>
            <w:fldChar w:fldCharType="end"/>
          </w:r>
        </w:p>
        <w:p>
          <w:pPr>
            <w:pStyle w:val="14"/>
            <w:numPr>
              <w:ilvl w:val="2"/>
              <w:numId w:val="2"/>
            </w:numPr>
            <w:tabs>
              <w:tab w:val="left" w:pos="600"/>
              <w:tab w:val="right" w:leader="dot" w:pos="8906"/>
            </w:tabs>
            <w:ind w:left="1680" w:hanging="1680"/>
            <w:jc w:val="right"/>
            <w:rPr>
              <w:rFonts w:ascii="Times New Roman" w:eastAsia="Times New Roman"/>
            </w:rPr>
          </w:pPr>
          <w:r>
            <w:fldChar w:fldCharType="begin"/>
          </w:r>
          <w:r>
            <w:instrText xml:space="preserve"> HYPERLINK \l "_bookmark95" </w:instrText>
          </w:r>
          <w:r>
            <w:fldChar w:fldCharType="separate"/>
          </w:r>
          <w:r>
            <w:t>恢复与重建</w:t>
          </w:r>
          <w:r>
            <w:tab/>
          </w:r>
          <w:r>
            <w:rPr>
              <w:rFonts w:ascii="Times New Roman" w:eastAsia="Times New Roman"/>
            </w:rPr>
            <w:t>55</w:t>
          </w:r>
          <w:r>
            <w:rPr>
              <w:rFonts w:ascii="Times New Roman" w:eastAsia="Times New Roman"/>
            </w:rPr>
            <w:fldChar w:fldCharType="end"/>
          </w:r>
        </w:p>
        <w:p>
          <w:pPr>
            <w:pStyle w:val="14"/>
            <w:numPr>
              <w:ilvl w:val="1"/>
              <w:numId w:val="2"/>
            </w:numPr>
            <w:tabs>
              <w:tab w:val="left" w:pos="360"/>
              <w:tab w:val="right" w:leader="dot" w:pos="9326"/>
            </w:tabs>
            <w:spacing w:before="161"/>
            <w:ind w:left="1020" w:hanging="1020"/>
            <w:jc w:val="right"/>
            <w:rPr>
              <w:rFonts w:ascii="Times New Roman" w:eastAsia="Times New Roman"/>
            </w:rPr>
          </w:pPr>
          <w:r>
            <w:fldChar w:fldCharType="begin"/>
          </w:r>
          <w:r>
            <w:instrText xml:space="preserve"> HYPERLINK \l "_bookmark96" </w:instrText>
          </w:r>
          <w:r>
            <w:fldChar w:fldCharType="separate"/>
          </w:r>
          <w:r>
            <w:t>评估与总结</w:t>
          </w:r>
          <w:r>
            <w:tab/>
          </w:r>
          <w:r>
            <w:rPr>
              <w:rFonts w:ascii="Times New Roman" w:eastAsia="Times New Roman"/>
            </w:rPr>
            <w:t>55</w:t>
          </w:r>
          <w:r>
            <w:rPr>
              <w:rFonts w:ascii="Times New Roman" w:eastAsia="Times New Roman"/>
            </w:rPr>
            <w:fldChar w:fldCharType="end"/>
          </w:r>
        </w:p>
        <w:p>
          <w:pPr>
            <w:pStyle w:val="4"/>
            <w:numPr>
              <w:ilvl w:val="0"/>
              <w:numId w:val="2"/>
            </w:numPr>
            <w:tabs>
              <w:tab w:val="left" w:pos="240"/>
              <w:tab w:val="right" w:leader="dot" w:pos="9746"/>
            </w:tabs>
            <w:spacing w:before="160"/>
            <w:ind w:left="480" w:hanging="480"/>
            <w:jc w:val="right"/>
            <w:rPr>
              <w:rFonts w:ascii="Times New Roman" w:eastAsia="Times New Roman"/>
            </w:rPr>
          </w:pPr>
          <w:r>
            <w:fldChar w:fldCharType="begin"/>
          </w:r>
          <w:r>
            <w:instrText xml:space="preserve"> HYPERLINK \l "_bookmark97" </w:instrText>
          </w:r>
          <w:r>
            <w:fldChar w:fldCharType="separate"/>
          </w:r>
          <w:r>
            <w:t>应急保障</w:t>
          </w:r>
          <w:r>
            <w:tab/>
          </w:r>
          <w:r>
            <w:rPr>
              <w:rFonts w:ascii="Times New Roman" w:eastAsia="Times New Roman"/>
            </w:rPr>
            <w:t>57</w:t>
          </w:r>
          <w:r>
            <w:rPr>
              <w:rFonts w:ascii="Times New Roman" w:eastAsia="Times New Roman"/>
            </w:rPr>
            <w:fldChar w:fldCharType="end"/>
          </w:r>
        </w:p>
        <w:p>
          <w:pPr>
            <w:pStyle w:val="14"/>
            <w:numPr>
              <w:ilvl w:val="1"/>
              <w:numId w:val="2"/>
            </w:numPr>
            <w:tabs>
              <w:tab w:val="left" w:pos="360"/>
              <w:tab w:val="right" w:leader="dot" w:pos="9326"/>
            </w:tabs>
            <w:spacing w:before="161"/>
            <w:ind w:left="1020" w:hanging="1020"/>
            <w:jc w:val="right"/>
            <w:rPr>
              <w:rFonts w:ascii="Times New Roman" w:eastAsia="Times New Roman"/>
            </w:rPr>
          </w:pPr>
          <w:r>
            <w:fldChar w:fldCharType="begin"/>
          </w:r>
          <w:r>
            <w:instrText xml:space="preserve"> HYPERLINK \l "_bookmark98" </w:instrText>
          </w:r>
          <w:r>
            <w:fldChar w:fldCharType="separate"/>
          </w:r>
          <w:r>
            <w:t>人力资源保障</w:t>
          </w:r>
          <w:r>
            <w:tab/>
          </w:r>
          <w:r>
            <w:rPr>
              <w:rFonts w:ascii="Times New Roman" w:eastAsia="Times New Roman"/>
            </w:rPr>
            <w:t>57</w:t>
          </w:r>
          <w:r>
            <w:rPr>
              <w:rFonts w:ascii="Times New Roman" w:eastAsia="Times New Roman"/>
            </w:rPr>
            <w:fldChar w:fldCharType="end"/>
          </w:r>
        </w:p>
        <w:p>
          <w:pPr>
            <w:pStyle w:val="14"/>
            <w:numPr>
              <w:ilvl w:val="1"/>
              <w:numId w:val="2"/>
            </w:numPr>
            <w:tabs>
              <w:tab w:val="left" w:pos="420"/>
              <w:tab w:val="right" w:leader="dot" w:pos="9326"/>
            </w:tabs>
            <w:ind w:hanging="1080"/>
            <w:jc w:val="right"/>
            <w:rPr>
              <w:rFonts w:ascii="Times New Roman" w:eastAsia="Times New Roman"/>
            </w:rPr>
          </w:pPr>
          <w:r>
            <w:fldChar w:fldCharType="begin"/>
          </w:r>
          <w:r>
            <w:instrText xml:space="preserve"> HYPERLINK \l "_bookmark99" </w:instrText>
          </w:r>
          <w:r>
            <w:fldChar w:fldCharType="separate"/>
          </w:r>
          <w:r>
            <w:t>财力保障</w:t>
          </w:r>
          <w:r>
            <w:tab/>
          </w:r>
          <w:r>
            <w:rPr>
              <w:rFonts w:ascii="Times New Roman" w:eastAsia="Times New Roman"/>
            </w:rPr>
            <w:t>57</w:t>
          </w:r>
          <w:r>
            <w:rPr>
              <w:rFonts w:ascii="Times New Roman" w:eastAsia="Times New Roman"/>
            </w:rPr>
            <w:fldChar w:fldCharType="end"/>
          </w:r>
        </w:p>
        <w:p>
          <w:pPr>
            <w:pStyle w:val="14"/>
            <w:numPr>
              <w:ilvl w:val="1"/>
              <w:numId w:val="2"/>
            </w:numPr>
            <w:tabs>
              <w:tab w:val="left" w:pos="420"/>
              <w:tab w:val="right" w:leader="dot" w:pos="9326"/>
            </w:tabs>
            <w:spacing w:before="161"/>
            <w:ind w:hanging="1080"/>
            <w:jc w:val="right"/>
            <w:rPr>
              <w:rFonts w:ascii="Times New Roman" w:eastAsia="Times New Roman"/>
            </w:rPr>
          </w:pPr>
          <w:r>
            <w:fldChar w:fldCharType="begin"/>
          </w:r>
          <w:r>
            <w:instrText xml:space="preserve"> HYPERLINK \l "_bookmark100" </w:instrText>
          </w:r>
          <w:r>
            <w:fldChar w:fldCharType="separate"/>
          </w:r>
          <w:r>
            <w:t>物资保障</w:t>
          </w:r>
          <w:r>
            <w:tab/>
          </w:r>
          <w:r>
            <w:rPr>
              <w:rFonts w:ascii="Times New Roman" w:eastAsia="Times New Roman"/>
            </w:rPr>
            <w:t>57</w:t>
          </w:r>
          <w:r>
            <w:rPr>
              <w:rFonts w:ascii="Times New Roman" w:eastAsia="Times New Roman"/>
            </w:rPr>
            <w:fldChar w:fldCharType="end"/>
          </w:r>
        </w:p>
        <w:p>
          <w:pPr>
            <w:pStyle w:val="14"/>
            <w:numPr>
              <w:ilvl w:val="1"/>
              <w:numId w:val="2"/>
            </w:numPr>
            <w:tabs>
              <w:tab w:val="left" w:pos="420"/>
              <w:tab w:val="right" w:leader="dot" w:pos="9326"/>
            </w:tabs>
            <w:ind w:hanging="1080"/>
            <w:jc w:val="right"/>
            <w:rPr>
              <w:rFonts w:ascii="Times New Roman" w:eastAsia="Times New Roman"/>
            </w:rPr>
          </w:pPr>
          <w:r>
            <w:fldChar w:fldCharType="begin"/>
          </w:r>
          <w:r>
            <w:instrText xml:space="preserve"> HYPERLINK \l "_bookmark101" </w:instrText>
          </w:r>
          <w:r>
            <w:fldChar w:fldCharType="separate"/>
          </w:r>
          <w:r>
            <w:t>通信保障</w:t>
          </w:r>
          <w:r>
            <w:tab/>
          </w:r>
          <w:r>
            <w:rPr>
              <w:rFonts w:ascii="Times New Roman" w:eastAsia="Times New Roman"/>
            </w:rPr>
            <w:t>58</w:t>
          </w:r>
          <w:r>
            <w:rPr>
              <w:rFonts w:ascii="Times New Roman" w:eastAsia="Times New Roman"/>
            </w:rPr>
            <w:fldChar w:fldCharType="end"/>
          </w:r>
        </w:p>
        <w:p>
          <w:pPr>
            <w:pStyle w:val="14"/>
            <w:numPr>
              <w:ilvl w:val="1"/>
              <w:numId w:val="2"/>
            </w:numPr>
            <w:tabs>
              <w:tab w:val="left" w:pos="420"/>
              <w:tab w:val="right" w:leader="dot" w:pos="9326"/>
            </w:tabs>
            <w:spacing w:before="161"/>
            <w:ind w:hanging="1080"/>
            <w:jc w:val="right"/>
            <w:rPr>
              <w:rFonts w:ascii="Times New Roman" w:eastAsia="Times New Roman"/>
            </w:rPr>
          </w:pPr>
          <w:r>
            <w:fldChar w:fldCharType="begin"/>
          </w:r>
          <w:r>
            <w:instrText xml:space="preserve"> HYPERLINK \l "_bookmark102" </w:instrText>
          </w:r>
          <w:r>
            <w:fldChar w:fldCharType="separate"/>
          </w:r>
          <w:r>
            <w:t>基本生活保障</w:t>
          </w:r>
          <w:r>
            <w:tab/>
          </w:r>
          <w:r>
            <w:rPr>
              <w:rFonts w:ascii="Times New Roman" w:eastAsia="Times New Roman"/>
            </w:rPr>
            <w:t>58</w:t>
          </w:r>
          <w:r>
            <w:rPr>
              <w:rFonts w:ascii="Times New Roman" w:eastAsia="Times New Roman"/>
            </w:rPr>
            <w:fldChar w:fldCharType="end"/>
          </w:r>
        </w:p>
        <w:p>
          <w:pPr>
            <w:pStyle w:val="14"/>
            <w:numPr>
              <w:ilvl w:val="1"/>
              <w:numId w:val="2"/>
            </w:numPr>
            <w:tabs>
              <w:tab w:val="left" w:pos="420"/>
              <w:tab w:val="right" w:leader="dot" w:pos="9326"/>
            </w:tabs>
            <w:ind w:hanging="1080"/>
            <w:jc w:val="right"/>
            <w:rPr>
              <w:rFonts w:ascii="Times New Roman" w:eastAsia="Times New Roman"/>
            </w:rPr>
          </w:pPr>
          <w:r>
            <w:fldChar w:fldCharType="begin"/>
          </w:r>
          <w:r>
            <w:instrText xml:space="preserve"> HYPERLINK \l "_bookmark103" </w:instrText>
          </w:r>
          <w:r>
            <w:fldChar w:fldCharType="separate"/>
          </w:r>
          <w:r>
            <w:t>人员防护</w:t>
          </w:r>
          <w:r>
            <w:tab/>
          </w:r>
          <w:r>
            <w:rPr>
              <w:rFonts w:ascii="Times New Roman" w:eastAsia="Times New Roman"/>
            </w:rPr>
            <w:t>59</w:t>
          </w:r>
          <w:r>
            <w:rPr>
              <w:rFonts w:ascii="Times New Roman" w:eastAsia="Times New Roman"/>
            </w:rPr>
            <w:fldChar w:fldCharType="end"/>
          </w:r>
        </w:p>
        <w:p>
          <w:pPr>
            <w:pStyle w:val="14"/>
            <w:numPr>
              <w:ilvl w:val="1"/>
              <w:numId w:val="2"/>
            </w:numPr>
            <w:tabs>
              <w:tab w:val="left" w:pos="420"/>
              <w:tab w:val="right" w:leader="dot" w:pos="9326"/>
            </w:tabs>
            <w:spacing w:before="161"/>
            <w:ind w:hanging="1080"/>
            <w:jc w:val="right"/>
            <w:rPr>
              <w:rFonts w:ascii="Times New Roman" w:eastAsia="Times New Roman"/>
            </w:rPr>
          </w:pPr>
          <w:r>
            <w:fldChar w:fldCharType="begin"/>
          </w:r>
          <w:r>
            <w:instrText xml:space="preserve"> HYPERLINK \l "_bookmark104" </w:instrText>
          </w:r>
          <w:r>
            <w:fldChar w:fldCharType="separate"/>
          </w:r>
          <w:r>
            <w:t>医疗急救保障</w:t>
          </w:r>
          <w:r>
            <w:tab/>
          </w:r>
          <w:r>
            <w:rPr>
              <w:rFonts w:ascii="Times New Roman" w:eastAsia="Times New Roman"/>
            </w:rPr>
            <w:t>59</w:t>
          </w:r>
          <w:r>
            <w:rPr>
              <w:rFonts w:ascii="Times New Roman" w:eastAsia="Times New Roman"/>
            </w:rPr>
            <w:fldChar w:fldCharType="end"/>
          </w:r>
        </w:p>
        <w:p>
          <w:pPr>
            <w:pStyle w:val="14"/>
            <w:numPr>
              <w:ilvl w:val="1"/>
              <w:numId w:val="2"/>
            </w:numPr>
            <w:tabs>
              <w:tab w:val="left" w:pos="420"/>
              <w:tab w:val="right" w:leader="dot" w:pos="9326"/>
            </w:tabs>
            <w:ind w:hanging="1080"/>
            <w:jc w:val="right"/>
            <w:rPr>
              <w:rFonts w:ascii="Times New Roman" w:eastAsia="Times New Roman"/>
            </w:rPr>
          </w:pPr>
          <w:r>
            <w:fldChar w:fldCharType="begin"/>
          </w:r>
          <w:r>
            <w:instrText xml:space="preserve"> HYPERLINK \l "_bookmark105" </w:instrText>
          </w:r>
          <w:r>
            <w:fldChar w:fldCharType="separate"/>
          </w:r>
          <w:r>
            <w:t>交通运输保障</w:t>
          </w:r>
          <w:r>
            <w:tab/>
          </w:r>
          <w:r>
            <w:rPr>
              <w:rFonts w:ascii="Times New Roman" w:eastAsia="Times New Roman"/>
            </w:rPr>
            <w:t>59</w:t>
          </w:r>
          <w:r>
            <w:rPr>
              <w:rFonts w:ascii="Times New Roman" w:eastAsia="Times New Roman"/>
            </w:rPr>
            <w:fldChar w:fldCharType="end"/>
          </w:r>
        </w:p>
        <w:p>
          <w:pPr>
            <w:pStyle w:val="14"/>
            <w:numPr>
              <w:ilvl w:val="1"/>
              <w:numId w:val="2"/>
            </w:numPr>
            <w:tabs>
              <w:tab w:val="left" w:pos="420"/>
              <w:tab w:val="right" w:leader="dot" w:pos="9326"/>
            </w:tabs>
            <w:spacing w:before="161"/>
            <w:ind w:hanging="1080"/>
            <w:jc w:val="right"/>
            <w:rPr>
              <w:rFonts w:ascii="Times New Roman" w:eastAsia="Times New Roman"/>
            </w:rPr>
          </w:pPr>
          <w:r>
            <w:fldChar w:fldCharType="begin"/>
          </w:r>
          <w:r>
            <w:instrText xml:space="preserve"> HYPERLINK \l "_bookmark106" </w:instrText>
          </w:r>
          <w:r>
            <w:fldChar w:fldCharType="separate"/>
          </w:r>
          <w:r>
            <w:t>治安维护</w:t>
          </w:r>
          <w:r>
            <w:tab/>
          </w:r>
          <w:r>
            <w:rPr>
              <w:rFonts w:ascii="Times New Roman" w:eastAsia="Times New Roman"/>
            </w:rPr>
            <w:t>59</w:t>
          </w:r>
          <w:r>
            <w:rPr>
              <w:rFonts w:ascii="Times New Roman" w:eastAsia="Times New Roman"/>
            </w:rPr>
            <w:fldChar w:fldCharType="end"/>
          </w:r>
        </w:p>
        <w:p>
          <w:pPr>
            <w:pStyle w:val="14"/>
            <w:numPr>
              <w:ilvl w:val="1"/>
              <w:numId w:val="2"/>
            </w:numPr>
            <w:tabs>
              <w:tab w:val="left" w:pos="540"/>
              <w:tab w:val="right" w:leader="dot" w:pos="9326"/>
            </w:tabs>
            <w:ind w:left="1200" w:hanging="1200"/>
            <w:jc w:val="right"/>
            <w:rPr>
              <w:rFonts w:ascii="Times New Roman" w:eastAsia="Times New Roman"/>
            </w:rPr>
          </w:pPr>
          <w:r>
            <w:fldChar w:fldCharType="begin"/>
          </w:r>
          <w:r>
            <w:instrText xml:space="preserve"> HYPERLINK \l "_bookmark107" </w:instrText>
          </w:r>
          <w:r>
            <w:fldChar w:fldCharType="separate"/>
          </w:r>
          <w:r>
            <w:t>与周边单位及县级别应急预案关系</w:t>
          </w:r>
          <w:r>
            <w:tab/>
          </w:r>
          <w:r>
            <w:rPr>
              <w:rFonts w:ascii="Times New Roman" w:eastAsia="Times New Roman"/>
            </w:rPr>
            <w:t>59</w:t>
          </w:r>
          <w:r>
            <w:rPr>
              <w:rFonts w:ascii="Times New Roman" w:eastAsia="Times New Roman"/>
            </w:rPr>
            <w:fldChar w:fldCharType="end"/>
          </w:r>
        </w:p>
        <w:p>
          <w:pPr>
            <w:pStyle w:val="4"/>
            <w:numPr>
              <w:ilvl w:val="0"/>
              <w:numId w:val="2"/>
            </w:numPr>
            <w:tabs>
              <w:tab w:val="left" w:pos="240"/>
              <w:tab w:val="right" w:leader="dot" w:pos="9746"/>
            </w:tabs>
            <w:ind w:left="480" w:hanging="480"/>
            <w:jc w:val="right"/>
            <w:rPr>
              <w:rFonts w:ascii="Times New Roman" w:eastAsia="Times New Roman"/>
            </w:rPr>
          </w:pPr>
          <w:r>
            <w:fldChar w:fldCharType="begin"/>
          </w:r>
          <w:r>
            <w:instrText xml:space="preserve"> HYPERLINK \l "_bookmark108" </w:instrText>
          </w:r>
          <w:r>
            <w:fldChar w:fldCharType="separate"/>
          </w:r>
          <w:r>
            <w:t>预案管理</w:t>
          </w:r>
          <w:r>
            <w:tab/>
          </w:r>
          <w:r>
            <w:rPr>
              <w:rFonts w:ascii="Times New Roman" w:eastAsia="Times New Roman"/>
            </w:rPr>
            <w:t>61</w:t>
          </w:r>
          <w:r>
            <w:rPr>
              <w:rFonts w:ascii="Times New Roman" w:eastAsia="Times New Roman"/>
            </w:rPr>
            <w:fldChar w:fldCharType="end"/>
          </w:r>
        </w:p>
        <w:p>
          <w:pPr>
            <w:pStyle w:val="14"/>
            <w:numPr>
              <w:ilvl w:val="1"/>
              <w:numId w:val="2"/>
            </w:numPr>
            <w:tabs>
              <w:tab w:val="left" w:pos="360"/>
              <w:tab w:val="right" w:leader="dot" w:pos="9326"/>
            </w:tabs>
            <w:ind w:left="1020" w:hanging="1020"/>
            <w:jc w:val="right"/>
            <w:rPr>
              <w:rFonts w:ascii="Times New Roman" w:eastAsia="Times New Roman"/>
            </w:rPr>
          </w:pPr>
          <w:r>
            <w:fldChar w:fldCharType="begin"/>
          </w:r>
          <w:r>
            <w:instrText xml:space="preserve"> HYPERLINK \l "_bookmark109" </w:instrText>
          </w:r>
          <w:r>
            <w:fldChar w:fldCharType="separate"/>
          </w:r>
          <w:r>
            <w:t>应急预案演练</w:t>
          </w:r>
          <w:r>
            <w:tab/>
          </w:r>
          <w:r>
            <w:rPr>
              <w:rFonts w:ascii="Times New Roman" w:eastAsia="Times New Roman"/>
            </w:rPr>
            <w:t>61</w:t>
          </w:r>
          <w:r>
            <w:rPr>
              <w:rFonts w:ascii="Times New Roman" w:eastAsia="Times New Roman"/>
            </w:rPr>
            <w:fldChar w:fldCharType="end"/>
          </w:r>
        </w:p>
        <w:p>
          <w:pPr>
            <w:pStyle w:val="14"/>
            <w:numPr>
              <w:ilvl w:val="2"/>
              <w:numId w:val="2"/>
            </w:numPr>
            <w:tabs>
              <w:tab w:val="left" w:pos="540"/>
              <w:tab w:val="right" w:leader="dot" w:pos="8906"/>
            </w:tabs>
            <w:spacing w:before="161"/>
            <w:ind w:hanging="1620"/>
            <w:jc w:val="right"/>
            <w:rPr>
              <w:rFonts w:ascii="Times New Roman" w:eastAsia="Times New Roman"/>
            </w:rPr>
          </w:pPr>
          <w:r>
            <w:fldChar w:fldCharType="begin"/>
          </w:r>
          <w:r>
            <w:instrText xml:space="preserve"> HYPERLINK \l "_bookmark110" </w:instrText>
          </w:r>
          <w:r>
            <w:fldChar w:fldCharType="separate"/>
          </w:r>
          <w:r>
            <w:t>演练分类</w:t>
          </w:r>
          <w:r>
            <w:tab/>
          </w:r>
          <w:r>
            <w:rPr>
              <w:rFonts w:ascii="Times New Roman" w:eastAsia="Times New Roman"/>
            </w:rPr>
            <w:t>61</w:t>
          </w:r>
          <w:r>
            <w:rPr>
              <w:rFonts w:ascii="Times New Roman" w:eastAsia="Times New Roman"/>
            </w:rPr>
            <w:fldChar w:fldCharType="end"/>
          </w:r>
        </w:p>
        <w:p>
          <w:pPr>
            <w:pStyle w:val="14"/>
            <w:numPr>
              <w:ilvl w:val="2"/>
              <w:numId w:val="2"/>
            </w:numPr>
            <w:tabs>
              <w:tab w:val="left" w:pos="540"/>
              <w:tab w:val="right" w:leader="dot" w:pos="8906"/>
            </w:tabs>
            <w:ind w:hanging="1620"/>
            <w:jc w:val="right"/>
            <w:rPr>
              <w:rFonts w:ascii="Times New Roman" w:eastAsia="Times New Roman"/>
            </w:rPr>
          </w:pPr>
          <w:r>
            <w:fldChar w:fldCharType="begin"/>
          </w:r>
          <w:r>
            <w:instrText xml:space="preserve"> HYPERLINK \l "_bookmark111" </w:instrText>
          </w:r>
          <w:r>
            <w:fldChar w:fldCharType="separate"/>
          </w:r>
          <w:r>
            <w:t>演练内容</w:t>
          </w:r>
          <w:r>
            <w:tab/>
          </w:r>
          <w:r>
            <w:rPr>
              <w:rFonts w:ascii="Times New Roman" w:eastAsia="Times New Roman"/>
            </w:rPr>
            <w:t>61</w:t>
          </w:r>
          <w:r>
            <w:rPr>
              <w:rFonts w:ascii="Times New Roman" w:eastAsia="Times New Roman"/>
            </w:rPr>
            <w:fldChar w:fldCharType="end"/>
          </w:r>
        </w:p>
        <w:p>
          <w:pPr>
            <w:pStyle w:val="14"/>
            <w:numPr>
              <w:ilvl w:val="2"/>
              <w:numId w:val="2"/>
            </w:numPr>
            <w:tabs>
              <w:tab w:val="left" w:pos="540"/>
              <w:tab w:val="right" w:leader="dot" w:pos="8906"/>
            </w:tabs>
            <w:spacing w:before="161"/>
            <w:ind w:hanging="1620"/>
            <w:jc w:val="right"/>
            <w:rPr>
              <w:rFonts w:ascii="Times New Roman" w:eastAsia="Times New Roman"/>
            </w:rPr>
          </w:pPr>
          <w:r>
            <w:fldChar w:fldCharType="begin"/>
          </w:r>
          <w:r>
            <w:instrText xml:space="preserve"> HYPERLINK \l "_bookmark112" </w:instrText>
          </w:r>
          <w:r>
            <w:fldChar w:fldCharType="separate"/>
          </w:r>
          <w:r>
            <w:t>演练范围与频次</w:t>
          </w:r>
          <w:r>
            <w:tab/>
          </w:r>
          <w:r>
            <w:rPr>
              <w:rFonts w:ascii="Times New Roman" w:eastAsia="Times New Roman"/>
            </w:rPr>
            <w:t>61</w:t>
          </w:r>
          <w:r>
            <w:rPr>
              <w:rFonts w:ascii="Times New Roman" w:eastAsia="Times New Roman"/>
            </w:rPr>
            <w:fldChar w:fldCharType="end"/>
          </w:r>
        </w:p>
        <w:p>
          <w:pPr>
            <w:pStyle w:val="14"/>
            <w:numPr>
              <w:ilvl w:val="1"/>
              <w:numId w:val="2"/>
            </w:numPr>
            <w:tabs>
              <w:tab w:val="left" w:pos="360"/>
              <w:tab w:val="right" w:leader="dot" w:pos="9326"/>
            </w:tabs>
            <w:ind w:left="1020" w:hanging="1020"/>
            <w:jc w:val="right"/>
            <w:rPr>
              <w:rFonts w:ascii="Times New Roman" w:eastAsia="Times New Roman"/>
            </w:rPr>
          </w:pPr>
          <w:r>
            <w:fldChar w:fldCharType="begin"/>
          </w:r>
          <w:r>
            <w:instrText xml:space="preserve"> HYPERLINK \l "_bookmark113" </w:instrText>
          </w:r>
          <w:r>
            <w:fldChar w:fldCharType="separate"/>
          </w:r>
          <w:r>
            <w:t>宣教培训</w:t>
          </w:r>
          <w:r>
            <w:tab/>
          </w:r>
          <w:r>
            <w:rPr>
              <w:rFonts w:ascii="Times New Roman" w:eastAsia="Times New Roman"/>
            </w:rPr>
            <w:t>61</w:t>
          </w:r>
          <w:r>
            <w:rPr>
              <w:rFonts w:ascii="Times New Roman" w:eastAsia="Times New Roman"/>
            </w:rPr>
            <w:fldChar w:fldCharType="end"/>
          </w:r>
        </w:p>
        <w:p>
          <w:pPr>
            <w:pStyle w:val="14"/>
            <w:numPr>
              <w:ilvl w:val="2"/>
              <w:numId w:val="2"/>
            </w:numPr>
            <w:tabs>
              <w:tab w:val="left" w:pos="540"/>
              <w:tab w:val="right" w:leader="dot" w:pos="8906"/>
            </w:tabs>
            <w:spacing w:before="161" w:after="240"/>
            <w:ind w:hanging="1620"/>
            <w:jc w:val="right"/>
            <w:rPr>
              <w:rFonts w:ascii="Times New Roman" w:eastAsia="Times New Roman"/>
            </w:rPr>
          </w:pPr>
          <w:r>
            <w:fldChar w:fldCharType="begin"/>
          </w:r>
          <w:r>
            <w:instrText xml:space="preserve"> HYPERLINK \l "_bookmark114" </w:instrText>
          </w:r>
          <w:r>
            <w:fldChar w:fldCharType="separate"/>
          </w:r>
          <w:r>
            <w:t>应急组织机构的培训</w:t>
          </w:r>
          <w:r>
            <w:tab/>
          </w:r>
          <w:r>
            <w:rPr>
              <w:rFonts w:ascii="Times New Roman" w:eastAsia="Times New Roman"/>
            </w:rPr>
            <w:t>61</w:t>
          </w:r>
          <w:r>
            <w:rPr>
              <w:rFonts w:ascii="Times New Roman" w:eastAsia="Times New Roman"/>
            </w:rPr>
            <w:fldChar w:fldCharType="end"/>
          </w:r>
        </w:p>
        <w:p>
          <w:pPr>
            <w:pStyle w:val="14"/>
            <w:numPr>
              <w:ilvl w:val="2"/>
              <w:numId w:val="2"/>
            </w:numPr>
            <w:tabs>
              <w:tab w:val="left" w:pos="540"/>
              <w:tab w:val="right" w:leader="dot" w:pos="8906"/>
            </w:tabs>
            <w:spacing w:before="143"/>
            <w:ind w:hanging="1620"/>
            <w:jc w:val="right"/>
            <w:rPr>
              <w:rFonts w:ascii="Times New Roman" w:eastAsia="Times New Roman"/>
            </w:rPr>
          </w:pPr>
          <w:r>
            <w:fldChar w:fldCharType="begin"/>
          </w:r>
          <w:r>
            <w:instrText xml:space="preserve"> HYPERLINK \l "_bookmark115" </w:instrText>
          </w:r>
          <w:r>
            <w:fldChar w:fldCharType="separate"/>
          </w:r>
          <w:r>
            <w:t>应急救援队伍的培训</w:t>
          </w:r>
          <w:r>
            <w:tab/>
          </w:r>
          <w:r>
            <w:rPr>
              <w:rFonts w:ascii="Times New Roman" w:eastAsia="Times New Roman"/>
            </w:rPr>
            <w:t>62</w:t>
          </w:r>
          <w:r>
            <w:rPr>
              <w:rFonts w:ascii="Times New Roman" w:eastAsia="Times New Roman"/>
            </w:rPr>
            <w:fldChar w:fldCharType="end"/>
          </w:r>
        </w:p>
        <w:p>
          <w:pPr>
            <w:pStyle w:val="14"/>
            <w:numPr>
              <w:ilvl w:val="2"/>
              <w:numId w:val="2"/>
            </w:numPr>
            <w:tabs>
              <w:tab w:val="left" w:pos="540"/>
              <w:tab w:val="right" w:leader="dot" w:pos="8906"/>
            </w:tabs>
            <w:ind w:hanging="1620"/>
            <w:jc w:val="right"/>
            <w:rPr>
              <w:rFonts w:ascii="Times New Roman" w:eastAsia="Times New Roman"/>
            </w:rPr>
          </w:pPr>
          <w:r>
            <w:fldChar w:fldCharType="begin"/>
          </w:r>
          <w:r>
            <w:instrText xml:space="preserve"> HYPERLINK \l "_bookmark116" </w:instrText>
          </w:r>
          <w:r>
            <w:fldChar w:fldCharType="separate"/>
          </w:r>
          <w:r>
            <w:t>操作人员的培训</w:t>
          </w:r>
          <w:r>
            <w:tab/>
          </w:r>
          <w:r>
            <w:rPr>
              <w:rFonts w:ascii="Times New Roman" w:eastAsia="Times New Roman"/>
            </w:rPr>
            <w:t>62</w:t>
          </w:r>
          <w:r>
            <w:rPr>
              <w:rFonts w:ascii="Times New Roman" w:eastAsia="Times New Roman"/>
            </w:rPr>
            <w:fldChar w:fldCharType="end"/>
          </w:r>
        </w:p>
        <w:p>
          <w:pPr>
            <w:pStyle w:val="14"/>
            <w:numPr>
              <w:ilvl w:val="2"/>
              <w:numId w:val="2"/>
            </w:numPr>
            <w:tabs>
              <w:tab w:val="left" w:pos="540"/>
              <w:tab w:val="right" w:leader="dot" w:pos="8906"/>
            </w:tabs>
            <w:spacing w:before="161"/>
            <w:ind w:hanging="1620"/>
            <w:jc w:val="right"/>
            <w:rPr>
              <w:rFonts w:ascii="Times New Roman" w:eastAsia="Times New Roman"/>
            </w:rPr>
          </w:pPr>
          <w:r>
            <w:fldChar w:fldCharType="begin"/>
          </w:r>
          <w:r>
            <w:instrText xml:space="preserve"> HYPERLINK \l "_bookmark117" </w:instrText>
          </w:r>
          <w:r>
            <w:fldChar w:fldCharType="separate"/>
          </w:r>
          <w:r>
            <w:t>公众教育</w:t>
          </w:r>
          <w:r>
            <w:tab/>
          </w:r>
          <w:r>
            <w:rPr>
              <w:rFonts w:ascii="Times New Roman" w:eastAsia="Times New Roman"/>
            </w:rPr>
            <w:t>62</w:t>
          </w:r>
          <w:r>
            <w:rPr>
              <w:rFonts w:ascii="Times New Roman" w:eastAsia="Times New Roman"/>
            </w:rPr>
            <w:fldChar w:fldCharType="end"/>
          </w:r>
        </w:p>
        <w:p>
          <w:pPr>
            <w:pStyle w:val="14"/>
            <w:numPr>
              <w:ilvl w:val="1"/>
              <w:numId w:val="2"/>
            </w:numPr>
            <w:tabs>
              <w:tab w:val="left" w:pos="360"/>
              <w:tab w:val="right" w:leader="dot" w:pos="9326"/>
            </w:tabs>
            <w:ind w:left="1020" w:hanging="1020"/>
            <w:jc w:val="right"/>
            <w:rPr>
              <w:rFonts w:ascii="Times New Roman" w:eastAsia="Times New Roman"/>
            </w:rPr>
          </w:pPr>
          <w:r>
            <w:fldChar w:fldCharType="begin"/>
          </w:r>
          <w:r>
            <w:instrText xml:space="preserve"> HYPERLINK \l "_bookmark118" </w:instrText>
          </w:r>
          <w:r>
            <w:fldChar w:fldCharType="separate"/>
          </w:r>
          <w:r>
            <w:t>责任与奖惩</w:t>
          </w:r>
          <w:r>
            <w:tab/>
          </w:r>
          <w:r>
            <w:rPr>
              <w:rFonts w:ascii="Times New Roman" w:eastAsia="Times New Roman"/>
            </w:rPr>
            <w:t>63</w:t>
          </w:r>
          <w:r>
            <w:rPr>
              <w:rFonts w:ascii="Times New Roman" w:eastAsia="Times New Roman"/>
            </w:rPr>
            <w:fldChar w:fldCharType="end"/>
          </w:r>
        </w:p>
        <w:p>
          <w:pPr>
            <w:pStyle w:val="4"/>
            <w:tabs>
              <w:tab w:val="right" w:leader="dot" w:pos="9746"/>
            </w:tabs>
            <w:ind w:left="0" w:firstLine="0"/>
            <w:rPr>
              <w:rFonts w:ascii="Times New Roman" w:eastAsia="Times New Roman"/>
            </w:rPr>
          </w:pPr>
          <w:r>
            <w:fldChar w:fldCharType="begin"/>
          </w:r>
          <w:r>
            <w:instrText xml:space="preserve"> HYPERLINK \l "_bookmark119" </w:instrText>
          </w:r>
          <w:r>
            <w:fldChar w:fldCharType="separate"/>
          </w:r>
          <w:r>
            <w:rPr>
              <w:rFonts w:ascii="Times New Roman" w:eastAsia="Times New Roman"/>
            </w:rPr>
            <w:t>10</w:t>
          </w:r>
          <w:r>
            <w:rPr>
              <w:rFonts w:ascii="Times New Roman" w:eastAsia="Times New Roman"/>
              <w:spacing w:val="59"/>
            </w:rPr>
            <w:t xml:space="preserve"> </w:t>
          </w:r>
          <w:r>
            <w:t>附则</w:t>
          </w:r>
          <w:r>
            <w:tab/>
          </w:r>
          <w:r>
            <w:rPr>
              <w:rFonts w:ascii="Times New Roman" w:eastAsia="Times New Roman"/>
            </w:rPr>
            <w:t>64</w:t>
          </w:r>
          <w:r>
            <w:rPr>
              <w:rFonts w:ascii="Times New Roman" w:eastAsia="Times New Roman"/>
            </w:rPr>
            <w:fldChar w:fldCharType="end"/>
          </w:r>
        </w:p>
        <w:p>
          <w:pPr>
            <w:pStyle w:val="14"/>
            <w:numPr>
              <w:ilvl w:val="1"/>
              <w:numId w:val="5"/>
            </w:numPr>
            <w:tabs>
              <w:tab w:val="left" w:pos="540"/>
              <w:tab w:val="right" w:leader="dot" w:pos="9326"/>
            </w:tabs>
            <w:ind w:hanging="1200"/>
            <w:jc w:val="right"/>
            <w:rPr>
              <w:rFonts w:ascii="Times New Roman" w:eastAsia="Times New Roman"/>
            </w:rPr>
          </w:pPr>
          <w:r>
            <w:fldChar w:fldCharType="begin"/>
          </w:r>
          <w:r>
            <w:instrText xml:space="preserve"> HYPERLINK \l "_bookmark120" </w:instrText>
          </w:r>
          <w:r>
            <w:fldChar w:fldCharType="separate"/>
          </w:r>
          <w:r>
            <w:t>术语和定义</w:t>
          </w:r>
          <w:r>
            <w:tab/>
          </w:r>
          <w:r>
            <w:rPr>
              <w:rFonts w:ascii="Times New Roman" w:eastAsia="Times New Roman"/>
            </w:rPr>
            <w:t>64</w:t>
          </w:r>
          <w:r>
            <w:rPr>
              <w:rFonts w:ascii="Times New Roman" w:eastAsia="Times New Roman"/>
            </w:rPr>
            <w:fldChar w:fldCharType="end"/>
          </w:r>
        </w:p>
        <w:p>
          <w:pPr>
            <w:pStyle w:val="14"/>
            <w:numPr>
              <w:ilvl w:val="1"/>
              <w:numId w:val="5"/>
            </w:numPr>
            <w:tabs>
              <w:tab w:val="left" w:pos="540"/>
              <w:tab w:val="right" w:leader="dot" w:pos="9326"/>
            </w:tabs>
            <w:spacing w:before="161"/>
            <w:ind w:hanging="1200"/>
            <w:jc w:val="right"/>
            <w:rPr>
              <w:rFonts w:ascii="Times New Roman" w:eastAsia="Times New Roman"/>
            </w:rPr>
          </w:pPr>
          <w:r>
            <w:fldChar w:fldCharType="begin"/>
          </w:r>
          <w:r>
            <w:instrText xml:space="preserve"> HYPERLINK \l "_bookmark121" </w:instrText>
          </w:r>
          <w:r>
            <w:fldChar w:fldCharType="separate"/>
          </w:r>
          <w:r>
            <w:t>预案解释</w:t>
          </w:r>
          <w:r>
            <w:tab/>
          </w:r>
          <w:r>
            <w:rPr>
              <w:rFonts w:ascii="Times New Roman" w:eastAsia="Times New Roman"/>
            </w:rPr>
            <w:t>65</w:t>
          </w:r>
          <w:r>
            <w:rPr>
              <w:rFonts w:ascii="Times New Roman" w:eastAsia="Times New Roman"/>
            </w:rPr>
            <w:fldChar w:fldCharType="end"/>
          </w:r>
        </w:p>
        <w:p>
          <w:pPr>
            <w:pStyle w:val="14"/>
            <w:numPr>
              <w:ilvl w:val="1"/>
              <w:numId w:val="5"/>
            </w:numPr>
            <w:tabs>
              <w:tab w:val="left" w:pos="540"/>
              <w:tab w:val="right" w:leader="dot" w:pos="9326"/>
            </w:tabs>
            <w:ind w:hanging="1200"/>
            <w:jc w:val="right"/>
            <w:rPr>
              <w:rFonts w:ascii="Times New Roman" w:eastAsia="Times New Roman"/>
            </w:rPr>
          </w:pPr>
          <w:r>
            <w:fldChar w:fldCharType="begin"/>
          </w:r>
          <w:r>
            <w:instrText xml:space="preserve"> HYPERLINK \l "_bookmark122" </w:instrText>
          </w:r>
          <w:r>
            <w:fldChar w:fldCharType="separate"/>
          </w:r>
          <w:r>
            <w:t>应急预案的修订</w:t>
          </w:r>
          <w:r>
            <w:tab/>
          </w:r>
          <w:r>
            <w:rPr>
              <w:rFonts w:ascii="Times New Roman" w:eastAsia="Times New Roman"/>
            </w:rPr>
            <w:t>65</w:t>
          </w:r>
          <w:r>
            <w:rPr>
              <w:rFonts w:ascii="Times New Roman" w:eastAsia="Times New Roman"/>
            </w:rPr>
            <w:fldChar w:fldCharType="end"/>
          </w:r>
        </w:p>
        <w:p>
          <w:pPr>
            <w:pStyle w:val="14"/>
            <w:numPr>
              <w:ilvl w:val="1"/>
              <w:numId w:val="5"/>
            </w:numPr>
            <w:tabs>
              <w:tab w:val="left" w:pos="540"/>
              <w:tab w:val="right" w:leader="dot" w:pos="9326"/>
            </w:tabs>
            <w:spacing w:before="161"/>
            <w:ind w:hanging="1200"/>
            <w:jc w:val="right"/>
            <w:rPr>
              <w:rFonts w:ascii="Times New Roman" w:eastAsia="Times New Roman"/>
            </w:rPr>
          </w:pPr>
          <w:r>
            <w:fldChar w:fldCharType="begin"/>
          </w:r>
          <w:r>
            <w:instrText xml:space="preserve"> HYPERLINK \l "_bookmark123" </w:instrText>
          </w:r>
          <w:r>
            <w:fldChar w:fldCharType="separate"/>
          </w:r>
          <w:r>
            <w:t>应急预案的备案</w:t>
          </w:r>
          <w:r>
            <w:tab/>
          </w:r>
          <w:r>
            <w:rPr>
              <w:rFonts w:ascii="Times New Roman" w:eastAsia="Times New Roman"/>
            </w:rPr>
            <w:t>66</w:t>
          </w:r>
          <w:r>
            <w:rPr>
              <w:rFonts w:ascii="Times New Roman" w:eastAsia="Times New Roman"/>
            </w:rPr>
            <w:fldChar w:fldCharType="end"/>
          </w:r>
        </w:p>
        <w:p>
          <w:pPr>
            <w:pStyle w:val="14"/>
            <w:numPr>
              <w:ilvl w:val="1"/>
              <w:numId w:val="5"/>
            </w:numPr>
            <w:tabs>
              <w:tab w:val="left" w:pos="540"/>
              <w:tab w:val="right" w:leader="dot" w:pos="9326"/>
            </w:tabs>
            <w:ind w:hanging="1200"/>
            <w:jc w:val="right"/>
            <w:rPr>
              <w:rFonts w:ascii="Times New Roman" w:eastAsia="Times New Roman"/>
            </w:rPr>
          </w:pPr>
          <w:r>
            <w:fldChar w:fldCharType="begin"/>
          </w:r>
          <w:r>
            <w:instrText xml:space="preserve"> HYPERLINK \l "_bookmark124" </w:instrText>
          </w:r>
          <w:r>
            <w:fldChar w:fldCharType="separate"/>
          </w:r>
          <w:r>
            <w:t>预案的实施与生效时间</w:t>
          </w:r>
          <w:r>
            <w:tab/>
          </w:r>
          <w:r>
            <w:rPr>
              <w:rFonts w:ascii="Times New Roman" w:eastAsia="Times New Roman"/>
            </w:rPr>
            <w:t>66</w:t>
          </w:r>
          <w:r>
            <w:rPr>
              <w:rFonts w:ascii="Times New Roman" w:eastAsia="Times New Roman"/>
            </w:rPr>
            <w:fldChar w:fldCharType="end"/>
          </w:r>
        </w:p>
      </w:sdtContent>
    </w:sdt>
    <w:p>
      <w:pPr>
        <w:jc w:val="right"/>
        <w:rPr>
          <w:rFonts w:ascii="Times New Roman" w:eastAsia="Times New Roman"/>
        </w:rPr>
        <w:sectPr>
          <w:type w:val="continuous"/>
          <w:pgSz w:w="11910" w:h="16840"/>
          <w:pgMar w:top="1379" w:right="840" w:bottom="1653" w:left="840" w:header="720" w:footer="720" w:gutter="0"/>
          <w:cols w:space="720" w:num="1"/>
        </w:sectPr>
      </w:pPr>
    </w:p>
    <w:p>
      <w:pPr>
        <w:pStyle w:val="10"/>
        <w:rPr>
          <w:rFonts w:ascii="Times New Roman"/>
          <w:sz w:val="26"/>
        </w:rPr>
      </w:pPr>
    </w:p>
    <w:p>
      <w:pPr>
        <w:pStyle w:val="9"/>
        <w:spacing w:before="195"/>
        <w:ind w:left="240"/>
        <w:jc w:val="left"/>
      </w:pPr>
      <w:r>
        <w:t>附件</w:t>
      </w:r>
    </w:p>
    <w:p>
      <w:pPr>
        <w:pStyle w:val="10"/>
        <w:spacing w:before="161"/>
        <w:ind w:left="660"/>
      </w:pPr>
      <w:r>
        <w:t xml:space="preserve">附件 </w:t>
      </w:r>
      <w:r>
        <w:rPr>
          <w:rFonts w:ascii="Times New Roman" w:eastAsia="Times New Roman"/>
        </w:rPr>
        <w:t xml:space="preserve">1 </w:t>
      </w:r>
      <w:r>
        <w:t>内部应急相关方联系电话</w:t>
      </w:r>
    </w:p>
    <w:p>
      <w:pPr>
        <w:pStyle w:val="10"/>
        <w:spacing w:before="160"/>
        <w:ind w:left="660"/>
      </w:pPr>
      <w:r>
        <w:t xml:space="preserve">附件 </w:t>
      </w:r>
      <w:r>
        <w:rPr>
          <w:rFonts w:ascii="Times New Roman" w:eastAsia="Times New Roman"/>
        </w:rPr>
        <w:t xml:space="preserve">2 </w:t>
      </w:r>
      <w:r>
        <w:t>环境应急支持单位和应急场所信息</w:t>
      </w:r>
    </w:p>
    <w:p>
      <w:pPr>
        <w:pStyle w:val="10"/>
        <w:spacing w:before="158"/>
        <w:ind w:left="660"/>
      </w:pPr>
      <w:r>
        <w:t xml:space="preserve">附件 </w:t>
      </w:r>
      <w:r>
        <w:rPr>
          <w:rFonts w:ascii="Times New Roman" w:eastAsia="Times New Roman"/>
        </w:rPr>
        <w:t xml:space="preserve">3 </w:t>
      </w:r>
      <w:r>
        <w:t>环境应急物资装备清单</w:t>
      </w:r>
    </w:p>
    <w:p>
      <w:pPr>
        <w:pStyle w:val="10"/>
        <w:spacing w:before="161"/>
        <w:ind w:left="660"/>
      </w:pPr>
      <w:r>
        <w:t xml:space="preserve">附件 </w:t>
      </w:r>
      <w:r>
        <w:rPr>
          <w:rFonts w:ascii="Times New Roman" w:eastAsia="Times New Roman"/>
        </w:rPr>
        <w:t xml:space="preserve">4 </w:t>
      </w:r>
      <w:r>
        <w:t>突发环境事件报告单</w:t>
      </w:r>
    </w:p>
    <w:p>
      <w:pPr>
        <w:pStyle w:val="10"/>
        <w:spacing w:before="158"/>
        <w:ind w:left="660"/>
      </w:pPr>
      <w:r>
        <w:t xml:space="preserve">附件 </w:t>
      </w:r>
      <w:r>
        <w:rPr>
          <w:rFonts w:ascii="Times New Roman" w:eastAsia="Times New Roman"/>
        </w:rPr>
        <w:t xml:space="preserve">5 </w:t>
      </w:r>
      <w:r>
        <w:t>突发环境事件应急预案演练记录表</w:t>
      </w:r>
    </w:p>
    <w:p>
      <w:pPr>
        <w:pStyle w:val="10"/>
        <w:spacing w:before="161"/>
        <w:ind w:left="660"/>
      </w:pPr>
      <w:r>
        <w:t xml:space="preserve">附件 </w:t>
      </w:r>
      <w:r>
        <w:rPr>
          <w:rFonts w:ascii="Times New Roman" w:eastAsia="Times New Roman"/>
        </w:rPr>
        <w:t xml:space="preserve">6 </w:t>
      </w:r>
      <w:r>
        <w:t>突发环境事件应急预案演练考核记录表</w:t>
      </w:r>
    </w:p>
    <w:p>
      <w:pPr>
        <w:pStyle w:val="10"/>
        <w:spacing w:before="160"/>
        <w:ind w:left="660"/>
      </w:pPr>
      <w:r>
        <w:t xml:space="preserve">附件 </w:t>
      </w:r>
      <w:r>
        <w:rPr>
          <w:rFonts w:ascii="Times New Roman" w:eastAsia="Times New Roman"/>
        </w:rPr>
        <w:t xml:space="preserve">7 </w:t>
      </w:r>
      <w:r>
        <w:t>危险化学品理化性质及危险特性</w:t>
      </w:r>
    </w:p>
    <w:p>
      <w:pPr>
        <w:pStyle w:val="10"/>
        <w:spacing w:before="158"/>
        <w:ind w:left="660"/>
      </w:pPr>
      <w:r>
        <w:t xml:space="preserve">附件 </w:t>
      </w:r>
      <w:r>
        <w:rPr>
          <w:rFonts w:ascii="Times New Roman" w:eastAsia="Times New Roman"/>
        </w:rPr>
        <w:t xml:space="preserve">8 </w:t>
      </w:r>
      <w:r>
        <w:t>应急处置卡</w:t>
      </w:r>
    </w:p>
    <w:p>
      <w:pPr>
        <w:pStyle w:val="10"/>
        <w:spacing w:before="158"/>
        <w:ind w:left="660"/>
      </w:pPr>
      <w:r>
        <w:t xml:space="preserve">附件 </w:t>
      </w:r>
      <w:r>
        <w:rPr>
          <w:rFonts w:ascii="Times New Roman" w:eastAsia="Times New Roman"/>
        </w:rPr>
        <w:t xml:space="preserve">9 </w:t>
      </w:r>
      <w:r>
        <w:t>环评批复</w:t>
      </w:r>
    </w:p>
    <w:p>
      <w:pPr>
        <w:pStyle w:val="10"/>
        <w:spacing w:before="161"/>
        <w:ind w:left="660"/>
      </w:pPr>
      <w:r>
        <w:t xml:space="preserve">附件 </w:t>
      </w:r>
      <w:r>
        <w:rPr>
          <w:rFonts w:ascii="Times New Roman" w:eastAsia="Times New Roman"/>
        </w:rPr>
        <w:t xml:space="preserve">10 </w:t>
      </w:r>
      <w:r>
        <w:t>承诺书</w:t>
      </w:r>
    </w:p>
    <w:p>
      <w:pPr>
        <w:pStyle w:val="10"/>
        <w:spacing w:before="158"/>
        <w:ind w:left="660"/>
      </w:pPr>
      <w:r>
        <w:t xml:space="preserve">附件 </w:t>
      </w:r>
      <w:r>
        <w:rPr>
          <w:rFonts w:ascii="Times New Roman" w:eastAsia="Times New Roman"/>
        </w:rPr>
        <w:t xml:space="preserve">11 </w:t>
      </w:r>
      <w:r>
        <w:t>专家评审意见</w:t>
      </w:r>
    </w:p>
    <w:p>
      <w:pPr>
        <w:pStyle w:val="10"/>
        <w:spacing w:before="160"/>
        <w:ind w:left="660"/>
      </w:pPr>
      <w:r>
        <w:t xml:space="preserve">附件 </w:t>
      </w:r>
      <w:r>
        <w:rPr>
          <w:rFonts w:ascii="Times New Roman" w:eastAsia="Times New Roman"/>
        </w:rPr>
        <w:t xml:space="preserve">12 </w:t>
      </w:r>
      <w:r>
        <w:t>专家评分表</w:t>
      </w:r>
    </w:p>
    <w:p>
      <w:pPr>
        <w:sectPr>
          <w:type w:val="continuous"/>
          <w:pgSz w:w="11910" w:h="16840"/>
          <w:pgMar w:top="1360" w:right="840" w:bottom="280" w:left="840" w:header="720" w:footer="720" w:gutter="0"/>
          <w:cols w:space="720" w:num="1"/>
        </w:sectPr>
      </w:pPr>
    </w:p>
    <w:p>
      <w:pPr>
        <w:pStyle w:val="10"/>
        <w:spacing w:before="3"/>
        <w:rPr>
          <w:sz w:val="12"/>
        </w:rPr>
      </w:pPr>
    </w:p>
    <w:p>
      <w:pPr>
        <w:pStyle w:val="5"/>
        <w:numPr>
          <w:ilvl w:val="0"/>
          <w:numId w:val="6"/>
        </w:numPr>
        <w:tabs>
          <w:tab w:val="left" w:pos="480"/>
        </w:tabs>
      </w:pPr>
      <w:bookmarkStart w:id="0" w:name="1总则"/>
      <w:bookmarkEnd w:id="0"/>
      <w:bookmarkStart w:id="1" w:name="_bookmark0"/>
      <w:bookmarkEnd w:id="1"/>
      <w:r>
        <w:t>总则</w:t>
      </w:r>
    </w:p>
    <w:p>
      <w:pPr>
        <w:pStyle w:val="10"/>
        <w:spacing w:before="10"/>
        <w:rPr>
          <w:b/>
          <w:sz w:val="28"/>
        </w:rPr>
      </w:pPr>
    </w:p>
    <w:p>
      <w:pPr>
        <w:pStyle w:val="10"/>
        <w:spacing w:line="364" w:lineRule="auto"/>
        <w:ind w:left="240" w:right="237" w:firstLine="480"/>
        <w:jc w:val="both"/>
      </w:pPr>
      <w:r>
        <w:t>根据《企业事业单位突发环境事件应急预案备案管理办法》（环发</w:t>
      </w:r>
      <w:r>
        <w:rPr>
          <w:rFonts w:ascii="Times New Roman" w:eastAsia="Times New Roman"/>
        </w:rPr>
        <w:t xml:space="preserve">[2014]4 </w:t>
      </w:r>
      <w:r>
        <w:t>号）和《突发环境事件应急管理办法》（</w:t>
      </w:r>
      <w:r>
        <w:rPr>
          <w:spacing w:val="-7"/>
        </w:rPr>
        <w:t xml:space="preserve">环境保护部令第 </w:t>
      </w:r>
      <w:r>
        <w:rPr>
          <w:rFonts w:ascii="Times New Roman" w:eastAsia="Times New Roman"/>
        </w:rPr>
        <w:t xml:space="preserve">34 </w:t>
      </w:r>
      <w:r>
        <w:t>号）</w:t>
      </w:r>
      <w:r>
        <w:rPr>
          <w:spacing w:val="-1"/>
        </w:rPr>
        <w:t>，</w:t>
      </w:r>
      <w:r>
        <w:rPr>
          <w:rFonts w:hint="eastAsia"/>
          <w:spacing w:val="-8"/>
        </w:rPr>
        <w:t>赤壁市泰博服饰股份有限公司</w:t>
      </w:r>
      <w:r>
        <w:rPr>
          <w:spacing w:val="-1"/>
        </w:rPr>
        <w:t>为查清企业</w:t>
      </w:r>
      <w:r>
        <w:rPr>
          <w:spacing w:val="-7"/>
        </w:rPr>
        <w:t>目前存在的环境风险隐患，科学评估环境风险防控能力，客观界定环境风险等级，并为环境安全达标建设提供参考依据，经过收集项目设计方案、环境影响评价报告、环保竣工验收报告等</w:t>
      </w:r>
      <w:r>
        <w:rPr>
          <w:spacing w:val="-10"/>
        </w:rPr>
        <w:t>资料，并现场调查核实了企业建设情况以及周边环境敏感目标的分布情况，结合企业的生产工</w:t>
      </w:r>
      <w:r>
        <w:rPr>
          <w:spacing w:val="-16"/>
        </w:rPr>
        <w:t xml:space="preserve">艺流程、生产设备、原辅料消耗情况及储存情况、产排污情况，于 </w:t>
      </w:r>
      <w:r>
        <w:rPr>
          <w:rFonts w:ascii="Times New Roman" w:eastAsia="Times New Roman"/>
        </w:rPr>
        <w:t>202</w:t>
      </w:r>
      <w:r>
        <w:rPr>
          <w:rFonts w:hint="eastAsia" w:ascii="Times New Roman" w:eastAsia="宋体"/>
          <w:lang w:val="en-US"/>
        </w:rPr>
        <w:t>2</w:t>
      </w:r>
      <w:r>
        <w:rPr>
          <w:spacing w:val="-30"/>
        </w:rPr>
        <w:t xml:space="preserve">年 </w:t>
      </w:r>
      <w:r>
        <w:rPr>
          <w:rFonts w:hint="eastAsia"/>
          <w:spacing w:val="-30"/>
          <w:lang w:val="en-US"/>
        </w:rPr>
        <w:t>6</w:t>
      </w:r>
      <w:r>
        <w:rPr>
          <w:spacing w:val="-8"/>
        </w:rPr>
        <w:t>月编制完成了《</w:t>
      </w:r>
      <w:r>
        <w:rPr>
          <w:rFonts w:hint="eastAsia"/>
          <w:spacing w:val="-8"/>
        </w:rPr>
        <w:t>赤壁市泰博服饰股份有限公司</w:t>
      </w:r>
      <w:r>
        <w:t>突发环境事件应急预案》。</w:t>
      </w:r>
    </w:p>
    <w:p>
      <w:pPr>
        <w:pStyle w:val="6"/>
        <w:numPr>
          <w:ilvl w:val="1"/>
          <w:numId w:val="6"/>
        </w:numPr>
        <w:tabs>
          <w:tab w:val="left" w:pos="766"/>
        </w:tabs>
        <w:spacing w:before="153"/>
      </w:pPr>
      <w:bookmarkStart w:id="2" w:name="_bookmark1"/>
      <w:bookmarkEnd w:id="2"/>
      <w:bookmarkStart w:id="3" w:name="1.1_编制目的"/>
      <w:bookmarkEnd w:id="3"/>
      <w:r>
        <w:t>编制目的</w:t>
      </w:r>
    </w:p>
    <w:p>
      <w:pPr>
        <w:pStyle w:val="10"/>
        <w:spacing w:before="9"/>
        <w:rPr>
          <w:b/>
          <w:sz w:val="27"/>
        </w:rPr>
      </w:pPr>
    </w:p>
    <w:p>
      <w:pPr>
        <w:pStyle w:val="10"/>
        <w:spacing w:line="364" w:lineRule="auto"/>
        <w:ind w:left="240" w:right="237" w:firstLine="480"/>
        <w:jc w:val="both"/>
      </w:pPr>
      <w:r>
        <w:rPr>
          <w:spacing w:val="-5"/>
        </w:rPr>
        <w:t>为进一步加强</w:t>
      </w:r>
      <w:r>
        <w:rPr>
          <w:rFonts w:hint="eastAsia"/>
          <w:spacing w:val="-8"/>
        </w:rPr>
        <w:t>赤壁市泰博服饰股份有限公司</w:t>
      </w:r>
      <w:r>
        <w:rPr>
          <w:spacing w:val="-5"/>
        </w:rPr>
        <w:t>环境安全管理，提高突发环境事件的应对和处置</w:t>
      </w:r>
      <w:r>
        <w:rPr>
          <w:spacing w:val="-10"/>
        </w:rPr>
        <w:t>能力，增强企业预警、现场处置能力，规定不同情景下应急处置人员的职责和分工，明确预警</w:t>
      </w:r>
      <w:r>
        <w:rPr>
          <w:spacing w:val="-9"/>
        </w:rPr>
        <w:t>和处置措施，根据本公司生产的实际情况，在发生突发环境事件时快速、有序、高效地开展应</w:t>
      </w:r>
      <w:r>
        <w:rPr>
          <w:spacing w:val="-10"/>
        </w:rPr>
        <w:t>急救援工作，最大限度降低事故发生和降低财产损失，迅速恢复正常生产，做到事故发生时应</w:t>
      </w:r>
      <w:r>
        <w:t>急措施稳健有序，特制订本应急预案。</w:t>
      </w:r>
    </w:p>
    <w:p>
      <w:pPr>
        <w:pStyle w:val="6"/>
        <w:numPr>
          <w:ilvl w:val="1"/>
          <w:numId w:val="6"/>
        </w:numPr>
        <w:tabs>
          <w:tab w:val="left" w:pos="766"/>
        </w:tabs>
        <w:spacing w:before="152"/>
      </w:pPr>
      <w:bookmarkStart w:id="4" w:name="1.2_编制依据"/>
      <w:bookmarkEnd w:id="4"/>
      <w:bookmarkStart w:id="5" w:name="_bookmark2"/>
      <w:bookmarkEnd w:id="5"/>
      <w:r>
        <w:t>编制依据</w:t>
      </w:r>
    </w:p>
    <w:p>
      <w:pPr>
        <w:pStyle w:val="10"/>
        <w:spacing w:before="9"/>
        <w:rPr>
          <w:b/>
          <w:sz w:val="27"/>
        </w:rPr>
      </w:pPr>
    </w:p>
    <w:p>
      <w:pPr>
        <w:pStyle w:val="23"/>
        <w:numPr>
          <w:ilvl w:val="2"/>
          <w:numId w:val="6"/>
        </w:numPr>
        <w:tabs>
          <w:tab w:val="left" w:pos="869"/>
        </w:tabs>
        <w:rPr>
          <w:b/>
          <w:sz w:val="28"/>
        </w:rPr>
      </w:pPr>
      <w:bookmarkStart w:id="6" w:name="_bookmark3"/>
      <w:bookmarkEnd w:id="6"/>
      <w:bookmarkStart w:id="7" w:name="1.2.1有关环境保护法律、法规、技术规范及标准"/>
      <w:bookmarkEnd w:id="7"/>
      <w:r>
        <w:rPr>
          <w:b/>
          <w:sz w:val="28"/>
        </w:rPr>
        <w:t>有关环境保护法律、法规、技术规范及标准</w:t>
      </w:r>
    </w:p>
    <w:p>
      <w:pPr>
        <w:pStyle w:val="10"/>
        <w:spacing w:before="8"/>
        <w:rPr>
          <w:b/>
          <w:sz w:val="26"/>
        </w:rPr>
      </w:pPr>
    </w:p>
    <w:p>
      <w:pPr>
        <w:pStyle w:val="23"/>
        <w:numPr>
          <w:ilvl w:val="3"/>
          <w:numId w:val="6"/>
        </w:numPr>
        <w:tabs>
          <w:tab w:val="left" w:pos="1328"/>
        </w:tabs>
        <w:spacing w:before="1" w:line="364" w:lineRule="auto"/>
        <w:ind w:right="237" w:firstLine="480"/>
        <w:rPr>
          <w:sz w:val="24"/>
        </w:rPr>
      </w:pPr>
      <w:r>
        <w:rPr>
          <w:sz w:val="24"/>
        </w:rPr>
        <w:t>《中华人民共和国环境保护法》（主席令第九号，</w:t>
      </w:r>
      <w:r>
        <w:rPr>
          <w:rFonts w:ascii="Times New Roman" w:eastAsia="Times New Roman"/>
          <w:sz w:val="24"/>
        </w:rPr>
        <w:t>2014</w:t>
      </w:r>
      <w:r>
        <w:rPr>
          <w:rFonts w:ascii="Times New Roman" w:eastAsia="Times New Roman"/>
          <w:spacing w:val="11"/>
          <w:sz w:val="24"/>
        </w:rPr>
        <w:t xml:space="preserve"> </w:t>
      </w:r>
      <w:r>
        <w:rPr>
          <w:spacing w:val="-25"/>
          <w:sz w:val="24"/>
        </w:rPr>
        <w:t xml:space="preserve">年 </w:t>
      </w:r>
      <w:r>
        <w:rPr>
          <w:rFonts w:ascii="Times New Roman" w:eastAsia="Times New Roman"/>
          <w:sz w:val="24"/>
        </w:rPr>
        <w:t>4</w:t>
      </w:r>
      <w:r>
        <w:rPr>
          <w:rFonts w:ascii="Times New Roman" w:eastAsia="Times New Roman"/>
          <w:spacing w:val="8"/>
          <w:sz w:val="24"/>
        </w:rPr>
        <w:t xml:space="preserve"> </w:t>
      </w:r>
      <w:r>
        <w:rPr>
          <w:spacing w:val="-23"/>
          <w:sz w:val="24"/>
        </w:rPr>
        <w:t xml:space="preserve">月 </w:t>
      </w:r>
      <w:r>
        <w:rPr>
          <w:rFonts w:ascii="Times New Roman" w:eastAsia="Times New Roman"/>
          <w:sz w:val="24"/>
        </w:rPr>
        <w:t>24</w:t>
      </w:r>
      <w:r>
        <w:rPr>
          <w:rFonts w:ascii="Times New Roman" w:eastAsia="Times New Roman"/>
          <w:spacing w:val="11"/>
          <w:sz w:val="24"/>
        </w:rPr>
        <w:t xml:space="preserve"> </w:t>
      </w:r>
      <w:r>
        <w:rPr>
          <w:sz w:val="24"/>
        </w:rPr>
        <w:t>日第十二届全国人民代表大会常务委员会第八次会议修订）；</w:t>
      </w:r>
    </w:p>
    <w:p>
      <w:pPr>
        <w:pStyle w:val="23"/>
        <w:numPr>
          <w:ilvl w:val="3"/>
          <w:numId w:val="6"/>
        </w:numPr>
        <w:tabs>
          <w:tab w:val="left" w:pos="1328"/>
        </w:tabs>
        <w:spacing w:line="364" w:lineRule="auto"/>
        <w:ind w:right="237" w:firstLine="480"/>
        <w:rPr>
          <w:sz w:val="24"/>
        </w:rPr>
      </w:pPr>
      <w:r>
        <w:rPr>
          <w:sz w:val="24"/>
        </w:rPr>
        <w:t>《中华人民共和国水污染防治法》</w:t>
      </w:r>
      <w:r>
        <w:rPr>
          <w:spacing w:val="4"/>
          <w:sz w:val="24"/>
        </w:rPr>
        <w:t>（</w:t>
      </w:r>
      <w:r>
        <w:rPr>
          <w:sz w:val="24"/>
        </w:rPr>
        <w:t>主席令第七十号，</w:t>
      </w:r>
      <w:r>
        <w:rPr>
          <w:rFonts w:ascii="Times New Roman" w:eastAsia="Times New Roman"/>
          <w:sz w:val="24"/>
        </w:rPr>
        <w:t>2017</w:t>
      </w:r>
      <w:r>
        <w:rPr>
          <w:rFonts w:ascii="Times New Roman" w:eastAsia="Times New Roman"/>
          <w:spacing w:val="9"/>
          <w:sz w:val="24"/>
        </w:rPr>
        <w:t xml:space="preserve"> </w:t>
      </w:r>
      <w:r>
        <w:rPr>
          <w:spacing w:val="-23"/>
          <w:sz w:val="24"/>
        </w:rPr>
        <w:t xml:space="preserve">年 </w:t>
      </w:r>
      <w:r>
        <w:rPr>
          <w:rFonts w:ascii="Times New Roman" w:eastAsia="Times New Roman"/>
          <w:sz w:val="24"/>
        </w:rPr>
        <w:t>6</w:t>
      </w:r>
      <w:r>
        <w:rPr>
          <w:rFonts w:ascii="Times New Roman" w:eastAsia="Times New Roman"/>
          <w:spacing w:val="12"/>
          <w:sz w:val="24"/>
        </w:rPr>
        <w:t xml:space="preserve"> </w:t>
      </w:r>
      <w:r>
        <w:rPr>
          <w:spacing w:val="-24"/>
          <w:sz w:val="24"/>
        </w:rPr>
        <w:t xml:space="preserve">月 </w:t>
      </w:r>
      <w:r>
        <w:rPr>
          <w:rFonts w:ascii="Times New Roman" w:eastAsia="Times New Roman"/>
          <w:sz w:val="24"/>
        </w:rPr>
        <w:t>27</w:t>
      </w:r>
      <w:r>
        <w:rPr>
          <w:rFonts w:ascii="Times New Roman" w:eastAsia="Times New Roman"/>
          <w:spacing w:val="11"/>
          <w:sz w:val="24"/>
        </w:rPr>
        <w:t xml:space="preserve"> </w:t>
      </w:r>
      <w:r>
        <w:rPr>
          <w:sz w:val="24"/>
        </w:rPr>
        <w:t>日第十二届全国人民代表大会常务委员会第二十八次会议第二次修正）；</w:t>
      </w:r>
    </w:p>
    <w:p>
      <w:pPr>
        <w:pStyle w:val="23"/>
        <w:numPr>
          <w:ilvl w:val="3"/>
          <w:numId w:val="6"/>
        </w:numPr>
        <w:tabs>
          <w:tab w:val="left" w:pos="1321"/>
        </w:tabs>
        <w:spacing w:line="364" w:lineRule="auto"/>
        <w:ind w:right="237" w:firstLine="480"/>
        <w:rPr>
          <w:sz w:val="24"/>
        </w:rPr>
      </w:pPr>
      <w:r>
        <w:rPr>
          <w:spacing w:val="-3"/>
          <w:sz w:val="24"/>
        </w:rPr>
        <w:t>《中华人民共和国大气污染防治法》</w:t>
      </w:r>
      <w:r>
        <w:rPr>
          <w:sz w:val="24"/>
        </w:rPr>
        <w:t>（主席令第十六号，</w:t>
      </w:r>
      <w:r>
        <w:rPr>
          <w:rFonts w:ascii="Times New Roman" w:eastAsia="Times New Roman"/>
          <w:sz w:val="24"/>
        </w:rPr>
        <w:t>2018</w:t>
      </w:r>
      <w:r>
        <w:rPr>
          <w:rFonts w:ascii="Times New Roman" w:eastAsia="Times New Roman"/>
          <w:spacing w:val="-2"/>
          <w:sz w:val="24"/>
        </w:rPr>
        <w:t xml:space="preserve"> </w:t>
      </w:r>
      <w:r>
        <w:rPr>
          <w:spacing w:val="-31"/>
          <w:sz w:val="24"/>
        </w:rPr>
        <w:t xml:space="preserve">年 </w:t>
      </w:r>
      <w:r>
        <w:rPr>
          <w:rFonts w:ascii="Times New Roman" w:eastAsia="Times New Roman"/>
          <w:sz w:val="24"/>
        </w:rPr>
        <w:t>10</w:t>
      </w:r>
      <w:r>
        <w:rPr>
          <w:rFonts w:ascii="Times New Roman" w:eastAsia="Times New Roman"/>
          <w:spacing w:val="-2"/>
          <w:sz w:val="24"/>
        </w:rPr>
        <w:t xml:space="preserve"> </w:t>
      </w:r>
      <w:r>
        <w:rPr>
          <w:spacing w:val="-31"/>
          <w:sz w:val="24"/>
        </w:rPr>
        <w:t xml:space="preserve">月 </w:t>
      </w:r>
      <w:r>
        <w:rPr>
          <w:rFonts w:ascii="Times New Roman" w:eastAsia="Times New Roman"/>
          <w:sz w:val="24"/>
        </w:rPr>
        <w:t>26</w:t>
      </w:r>
      <w:r>
        <w:rPr>
          <w:rFonts w:ascii="Times New Roman" w:eastAsia="Times New Roman"/>
          <w:spacing w:val="-1"/>
          <w:sz w:val="24"/>
        </w:rPr>
        <w:t xml:space="preserve"> </w:t>
      </w:r>
      <w:r>
        <w:rPr>
          <w:spacing w:val="-4"/>
          <w:sz w:val="24"/>
        </w:rPr>
        <w:t>日第十三</w:t>
      </w:r>
      <w:r>
        <w:rPr>
          <w:sz w:val="24"/>
        </w:rPr>
        <w:t>届全国人民代表大会常务委员会第六次会议第二次修正）；</w:t>
      </w:r>
    </w:p>
    <w:p>
      <w:pPr>
        <w:pStyle w:val="23"/>
        <w:numPr>
          <w:ilvl w:val="3"/>
          <w:numId w:val="6"/>
        </w:numPr>
        <w:tabs>
          <w:tab w:val="left" w:pos="1321"/>
        </w:tabs>
        <w:ind w:left="1321" w:hanging="601"/>
        <w:rPr>
          <w:rFonts w:ascii="Times New Roman" w:eastAsia="Times New Roman"/>
          <w:sz w:val="24"/>
        </w:rPr>
      </w:pPr>
      <w:r>
        <w:rPr>
          <w:spacing w:val="-4"/>
          <w:sz w:val="24"/>
        </w:rPr>
        <w:t>《中华人民共和国固体废物污染环境防治法》</w:t>
      </w:r>
      <w:r>
        <w:rPr>
          <w:sz w:val="24"/>
        </w:rPr>
        <w:t>（</w:t>
      </w:r>
      <w:r>
        <w:rPr>
          <w:spacing w:val="-1"/>
          <w:sz w:val="24"/>
        </w:rPr>
        <w:t>主席令第五十八号，</w:t>
      </w:r>
      <w:r>
        <w:rPr>
          <w:rFonts w:ascii="Times New Roman" w:eastAsia="Times New Roman"/>
          <w:spacing w:val="-4"/>
          <w:sz w:val="24"/>
        </w:rPr>
        <w:t>2020</w:t>
      </w:r>
      <w:r>
        <w:rPr>
          <w:rFonts w:ascii="Times New Roman" w:eastAsia="Times New Roman"/>
          <w:sz w:val="24"/>
        </w:rPr>
        <w:t xml:space="preserve"> </w:t>
      </w:r>
      <w:r>
        <w:rPr>
          <w:spacing w:val="-30"/>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29</w:t>
      </w:r>
    </w:p>
    <w:p>
      <w:pPr>
        <w:pStyle w:val="10"/>
        <w:spacing w:before="156"/>
        <w:ind w:left="240"/>
      </w:pPr>
      <w:r>
        <w:t>日第十三届全国人民代表大会常务委员会第十七次会议第二次修订）；</w:t>
      </w:r>
    </w:p>
    <w:p>
      <w:pPr>
        <w:pStyle w:val="23"/>
        <w:numPr>
          <w:ilvl w:val="3"/>
          <w:numId w:val="6"/>
        </w:numPr>
        <w:tabs>
          <w:tab w:val="left" w:pos="1328"/>
        </w:tabs>
        <w:spacing w:before="159" w:line="364" w:lineRule="auto"/>
        <w:ind w:right="237" w:firstLine="480"/>
        <w:rPr>
          <w:sz w:val="24"/>
        </w:rPr>
      </w:pPr>
      <w:r>
        <w:rPr>
          <w:sz w:val="24"/>
        </w:rPr>
        <w:t>《中华人民共和国消防法》（主席令第二十九号，</w:t>
      </w:r>
      <w:r>
        <w:rPr>
          <w:rFonts w:ascii="Times New Roman" w:eastAsia="Times New Roman"/>
          <w:sz w:val="24"/>
        </w:rPr>
        <w:t>2019</w:t>
      </w:r>
      <w:r>
        <w:rPr>
          <w:rFonts w:ascii="Times New Roman" w:eastAsia="Times New Roman"/>
          <w:spacing w:val="12"/>
          <w:sz w:val="24"/>
        </w:rPr>
        <w:t xml:space="preserve"> </w:t>
      </w:r>
      <w:r>
        <w:rPr>
          <w:spacing w:val="-24"/>
          <w:sz w:val="24"/>
        </w:rPr>
        <w:t xml:space="preserve">年 </w:t>
      </w:r>
      <w:r>
        <w:rPr>
          <w:rFonts w:ascii="Times New Roman" w:eastAsia="Times New Roman"/>
          <w:sz w:val="24"/>
        </w:rPr>
        <w:t>4</w:t>
      </w:r>
      <w:r>
        <w:rPr>
          <w:rFonts w:ascii="Times New Roman" w:eastAsia="Times New Roman"/>
          <w:spacing w:val="10"/>
          <w:sz w:val="24"/>
        </w:rPr>
        <w:t xml:space="preserve"> </w:t>
      </w:r>
      <w:r>
        <w:rPr>
          <w:spacing w:val="-23"/>
          <w:sz w:val="24"/>
        </w:rPr>
        <w:t xml:space="preserve">月 </w:t>
      </w:r>
      <w:r>
        <w:rPr>
          <w:rFonts w:ascii="Times New Roman" w:eastAsia="Times New Roman"/>
          <w:sz w:val="24"/>
        </w:rPr>
        <w:t>23</w:t>
      </w:r>
      <w:r>
        <w:rPr>
          <w:rFonts w:ascii="Times New Roman" w:eastAsia="Times New Roman"/>
          <w:spacing w:val="12"/>
          <w:sz w:val="24"/>
        </w:rPr>
        <w:t xml:space="preserve"> </w:t>
      </w:r>
      <w:r>
        <w:rPr>
          <w:sz w:val="24"/>
        </w:rPr>
        <w:t>日第十三届全国人民代表大会常务委员会第十次会议修正）；</w:t>
      </w:r>
    </w:p>
    <w:p>
      <w:pPr>
        <w:spacing w:line="364" w:lineRule="auto"/>
        <w:rPr>
          <w:sz w:val="24"/>
        </w:rPr>
        <w:sectPr>
          <w:footerReference r:id="rId4" w:type="default"/>
          <w:pgSz w:w="11910" w:h="16840"/>
          <w:pgMar w:top="1360" w:right="840" w:bottom="1180" w:left="840" w:header="882" w:footer="993" w:gutter="0"/>
          <w:pgNumType w:start="1"/>
          <w:cols w:space="720" w:num="1"/>
        </w:sectPr>
      </w:pPr>
    </w:p>
    <w:p>
      <w:pPr>
        <w:pStyle w:val="23"/>
        <w:numPr>
          <w:ilvl w:val="3"/>
          <w:numId w:val="6"/>
        </w:numPr>
        <w:tabs>
          <w:tab w:val="left" w:pos="1321"/>
        </w:tabs>
        <w:spacing w:before="64"/>
        <w:ind w:left="1321" w:hanging="601"/>
        <w:rPr>
          <w:sz w:val="24"/>
        </w:rPr>
      </w:pPr>
      <w:r>
        <w:rPr>
          <w:spacing w:val="-7"/>
          <w:sz w:val="24"/>
        </w:rPr>
        <w:t>《危险化学品安全管理条例》</w:t>
      </w:r>
      <w:r>
        <w:rPr>
          <w:spacing w:val="-3"/>
          <w:sz w:val="24"/>
        </w:rPr>
        <w:t>（</w:t>
      </w:r>
      <w:r>
        <w:rPr>
          <w:spacing w:val="-10"/>
          <w:sz w:val="24"/>
        </w:rPr>
        <w:t xml:space="preserve">国务院令第 </w:t>
      </w:r>
      <w:r>
        <w:rPr>
          <w:rFonts w:ascii="Times New Roman" w:eastAsia="Times New Roman"/>
          <w:sz w:val="24"/>
        </w:rPr>
        <w:t xml:space="preserve">645 </w:t>
      </w:r>
      <w:r>
        <w:rPr>
          <w:spacing w:val="-15"/>
          <w:sz w:val="24"/>
        </w:rPr>
        <w:t>号，</w:t>
      </w:r>
      <w:r>
        <w:rPr>
          <w:rFonts w:ascii="Times New Roman" w:eastAsia="Times New Roman"/>
          <w:sz w:val="24"/>
        </w:rPr>
        <w:t xml:space="preserve">2013 </w:t>
      </w:r>
      <w:r>
        <w:rPr>
          <w:spacing w:val="-30"/>
          <w:sz w:val="24"/>
        </w:rPr>
        <w:t xml:space="preserve">年 </w:t>
      </w:r>
      <w:r>
        <w:rPr>
          <w:rFonts w:ascii="Times New Roman" w:eastAsia="Times New Roman"/>
          <w:sz w:val="24"/>
        </w:rPr>
        <w:t xml:space="preserve">12 </w:t>
      </w:r>
      <w:r>
        <w:rPr>
          <w:spacing w:val="-30"/>
          <w:sz w:val="24"/>
        </w:rPr>
        <w:t xml:space="preserve">月 </w:t>
      </w:r>
      <w:r>
        <w:rPr>
          <w:rFonts w:ascii="Times New Roman" w:eastAsia="Times New Roman"/>
          <w:sz w:val="24"/>
        </w:rPr>
        <w:t xml:space="preserve">7 </w:t>
      </w:r>
      <w:r>
        <w:rPr>
          <w:sz w:val="24"/>
        </w:rPr>
        <w:t>日第二次修订</w:t>
      </w:r>
      <w:r>
        <w:rPr>
          <w:spacing w:val="-120"/>
          <w:sz w:val="24"/>
        </w:rPr>
        <w:t>）</w:t>
      </w:r>
      <w:r>
        <w:rPr>
          <w:sz w:val="24"/>
        </w:rPr>
        <w:t>；</w:t>
      </w:r>
    </w:p>
    <w:p>
      <w:pPr>
        <w:pStyle w:val="23"/>
        <w:numPr>
          <w:ilvl w:val="3"/>
          <w:numId w:val="6"/>
        </w:numPr>
        <w:tabs>
          <w:tab w:val="left" w:pos="1321"/>
        </w:tabs>
        <w:spacing w:before="160"/>
        <w:ind w:left="1321" w:hanging="601"/>
        <w:rPr>
          <w:sz w:val="24"/>
        </w:rPr>
      </w:pPr>
      <w:r>
        <w:rPr>
          <w:sz w:val="24"/>
        </w:rPr>
        <w:t>《突发事件应急预案管理暂行办法》（国办发</w:t>
      </w:r>
      <w:r>
        <w:rPr>
          <w:rFonts w:ascii="Times New Roman" w:eastAsia="Times New Roman"/>
          <w:sz w:val="24"/>
        </w:rPr>
        <w:t>[2013]101</w:t>
      </w:r>
      <w:r>
        <w:rPr>
          <w:rFonts w:ascii="Times New Roman" w:eastAsia="Times New Roman"/>
          <w:spacing w:val="-3"/>
          <w:sz w:val="24"/>
        </w:rPr>
        <w:t xml:space="preserve"> </w:t>
      </w:r>
      <w:r>
        <w:rPr>
          <w:sz w:val="24"/>
        </w:rPr>
        <w:t>号）；</w:t>
      </w:r>
    </w:p>
    <w:p>
      <w:pPr>
        <w:pStyle w:val="23"/>
        <w:numPr>
          <w:ilvl w:val="3"/>
          <w:numId w:val="6"/>
        </w:numPr>
        <w:tabs>
          <w:tab w:val="left" w:pos="1321"/>
        </w:tabs>
        <w:spacing w:before="158"/>
        <w:ind w:left="1321" w:hanging="601"/>
        <w:rPr>
          <w:sz w:val="24"/>
        </w:rPr>
      </w:pPr>
      <w:r>
        <w:rPr>
          <w:spacing w:val="-14"/>
          <w:sz w:val="24"/>
        </w:rPr>
        <w:t>国务院办公厅关于印发《国家突发环境事件应急预案》的通知</w:t>
      </w:r>
      <w:r>
        <w:rPr>
          <w:sz w:val="24"/>
        </w:rPr>
        <w:t>（国办函</w:t>
      </w:r>
      <w:r>
        <w:rPr>
          <w:rFonts w:ascii="Times New Roman" w:eastAsia="Times New Roman"/>
          <w:spacing w:val="1"/>
          <w:sz w:val="24"/>
        </w:rPr>
        <w:t>[</w:t>
      </w:r>
      <w:r>
        <w:rPr>
          <w:rFonts w:ascii="Times New Roman" w:eastAsia="Times New Roman"/>
          <w:sz w:val="24"/>
        </w:rPr>
        <w:t>2014</w:t>
      </w:r>
      <w:r>
        <w:rPr>
          <w:rFonts w:ascii="Times New Roman" w:eastAsia="Times New Roman"/>
          <w:spacing w:val="-1"/>
          <w:sz w:val="24"/>
        </w:rPr>
        <w:t>]</w:t>
      </w:r>
      <w:r>
        <w:rPr>
          <w:rFonts w:ascii="Times New Roman" w:eastAsia="Times New Roman"/>
          <w:spacing w:val="-8"/>
          <w:sz w:val="24"/>
        </w:rPr>
        <w:t>1</w:t>
      </w:r>
      <w:r>
        <w:rPr>
          <w:rFonts w:ascii="Times New Roman" w:eastAsia="Times New Roman"/>
          <w:spacing w:val="-3"/>
          <w:sz w:val="24"/>
        </w:rPr>
        <w:t>1</w:t>
      </w:r>
      <w:r>
        <w:rPr>
          <w:rFonts w:ascii="Times New Roman" w:eastAsia="Times New Roman"/>
          <w:sz w:val="24"/>
        </w:rPr>
        <w:t xml:space="preserve">9 </w:t>
      </w:r>
      <w:r>
        <w:rPr>
          <w:sz w:val="24"/>
        </w:rPr>
        <w:t>号</w:t>
      </w:r>
      <w:r>
        <w:rPr>
          <w:spacing w:val="-120"/>
          <w:sz w:val="24"/>
        </w:rPr>
        <w:t>）</w:t>
      </w:r>
      <w:r>
        <w:rPr>
          <w:sz w:val="24"/>
        </w:rPr>
        <w:t>；</w:t>
      </w:r>
    </w:p>
    <w:p>
      <w:pPr>
        <w:pStyle w:val="23"/>
        <w:numPr>
          <w:ilvl w:val="3"/>
          <w:numId w:val="6"/>
        </w:numPr>
        <w:tabs>
          <w:tab w:val="left" w:pos="1321"/>
        </w:tabs>
        <w:spacing w:before="161" w:line="362" w:lineRule="auto"/>
        <w:ind w:right="115" w:firstLine="480"/>
        <w:rPr>
          <w:sz w:val="24"/>
        </w:rPr>
      </w:pPr>
      <w:r>
        <w:rPr>
          <w:spacing w:val="-4"/>
          <w:sz w:val="24"/>
        </w:rPr>
        <w:t>环境保护部关于印发《企业事业单位突发环境事件应急预案备案管理办法</w:t>
      </w:r>
      <w:r>
        <w:rPr>
          <w:sz w:val="24"/>
        </w:rPr>
        <w:t>（试行</w:t>
      </w:r>
      <w:r>
        <w:rPr>
          <w:spacing w:val="-22"/>
          <w:sz w:val="24"/>
        </w:rPr>
        <w:t xml:space="preserve">） </w:t>
      </w:r>
      <w:r>
        <w:rPr>
          <w:spacing w:val="-5"/>
          <w:sz w:val="24"/>
        </w:rPr>
        <w:t>》的通知</w:t>
      </w:r>
      <w:r>
        <w:rPr>
          <w:sz w:val="24"/>
        </w:rPr>
        <w:t>（环发</w:t>
      </w:r>
      <w:r>
        <w:rPr>
          <w:rFonts w:ascii="Times New Roman" w:eastAsia="Times New Roman"/>
          <w:sz w:val="24"/>
        </w:rPr>
        <w:t>[2015]4</w:t>
      </w:r>
      <w:r>
        <w:rPr>
          <w:rFonts w:ascii="Times New Roman" w:eastAsia="Times New Roman"/>
          <w:spacing w:val="-3"/>
          <w:sz w:val="24"/>
        </w:rPr>
        <w:t xml:space="preserve"> </w:t>
      </w:r>
      <w:r>
        <w:rPr>
          <w:sz w:val="24"/>
        </w:rPr>
        <w:t>号）；</w:t>
      </w:r>
    </w:p>
    <w:p>
      <w:pPr>
        <w:pStyle w:val="23"/>
        <w:numPr>
          <w:ilvl w:val="3"/>
          <w:numId w:val="6"/>
        </w:numPr>
        <w:tabs>
          <w:tab w:val="left" w:pos="1441"/>
        </w:tabs>
        <w:spacing w:before="5" w:line="362" w:lineRule="auto"/>
        <w:ind w:right="237" w:firstLine="480"/>
        <w:rPr>
          <w:sz w:val="24"/>
        </w:rPr>
      </w:pPr>
      <w:r>
        <w:rPr>
          <w:spacing w:val="-4"/>
          <w:sz w:val="24"/>
        </w:rPr>
        <w:t>湖北省环境保护厅办公室关于转发《企业事业单位突发环境事件应急预案备案管</w:t>
      </w:r>
      <w:r>
        <w:rPr>
          <w:spacing w:val="-6"/>
          <w:sz w:val="24"/>
        </w:rPr>
        <w:t>理办法</w:t>
      </w:r>
      <w:r>
        <w:rPr>
          <w:rFonts w:ascii="Times New Roman" w:eastAsia="Times New Roman"/>
          <w:sz w:val="24"/>
        </w:rPr>
        <w:t>(</w:t>
      </w:r>
      <w:r>
        <w:rPr>
          <w:sz w:val="24"/>
        </w:rPr>
        <w:t>试行</w:t>
      </w:r>
      <w:r>
        <w:rPr>
          <w:rFonts w:ascii="Times New Roman" w:eastAsia="Times New Roman"/>
          <w:sz w:val="24"/>
        </w:rPr>
        <w:t>)</w:t>
      </w:r>
      <w:r>
        <w:rPr>
          <w:sz w:val="24"/>
        </w:rPr>
        <w:t>》的通知（鄂环办</w:t>
      </w:r>
      <w:r>
        <w:rPr>
          <w:rFonts w:ascii="Times New Roman" w:eastAsia="Times New Roman"/>
          <w:sz w:val="24"/>
        </w:rPr>
        <w:t>[2015]126</w:t>
      </w:r>
      <w:r>
        <w:rPr>
          <w:rFonts w:ascii="Times New Roman" w:eastAsia="Times New Roman"/>
          <w:spacing w:val="-1"/>
          <w:sz w:val="24"/>
        </w:rPr>
        <w:t xml:space="preserve"> </w:t>
      </w:r>
      <w:r>
        <w:rPr>
          <w:sz w:val="24"/>
        </w:rPr>
        <w:t>号）；</w:t>
      </w:r>
    </w:p>
    <w:p>
      <w:pPr>
        <w:pStyle w:val="23"/>
        <w:numPr>
          <w:ilvl w:val="3"/>
          <w:numId w:val="6"/>
        </w:numPr>
        <w:tabs>
          <w:tab w:val="left" w:pos="1432"/>
        </w:tabs>
        <w:spacing w:before="5"/>
        <w:ind w:left="1431" w:hanging="712"/>
        <w:rPr>
          <w:sz w:val="24"/>
        </w:rPr>
      </w:pPr>
      <w:r>
        <w:rPr>
          <w:sz w:val="24"/>
        </w:rPr>
        <w:t>《突发环境事件应急管理办法》（</w:t>
      </w:r>
      <w:r>
        <w:rPr>
          <w:spacing w:val="-8"/>
          <w:sz w:val="24"/>
        </w:rPr>
        <w:t xml:space="preserve">环境保护部令第 </w:t>
      </w:r>
      <w:r>
        <w:rPr>
          <w:rFonts w:ascii="Times New Roman" w:eastAsia="Times New Roman"/>
          <w:sz w:val="24"/>
        </w:rPr>
        <w:t xml:space="preserve">34 </w:t>
      </w:r>
      <w:r>
        <w:rPr>
          <w:sz w:val="24"/>
        </w:rPr>
        <w:t>号）；</w:t>
      </w:r>
    </w:p>
    <w:p>
      <w:pPr>
        <w:pStyle w:val="23"/>
        <w:numPr>
          <w:ilvl w:val="3"/>
          <w:numId w:val="6"/>
        </w:numPr>
        <w:tabs>
          <w:tab w:val="left" w:pos="1441"/>
        </w:tabs>
        <w:spacing w:before="160"/>
        <w:ind w:left="1441" w:hanging="721"/>
        <w:rPr>
          <w:sz w:val="24"/>
        </w:rPr>
      </w:pPr>
      <w:r>
        <w:rPr>
          <w:sz w:val="24"/>
        </w:rPr>
        <w:t>《突发环境事件应急预案管理暂行办法》（环发</w:t>
      </w:r>
      <w:r>
        <w:rPr>
          <w:rFonts w:ascii="Times New Roman" w:eastAsia="Times New Roman"/>
          <w:sz w:val="24"/>
        </w:rPr>
        <w:t>[2010]113</w:t>
      </w:r>
      <w:r>
        <w:rPr>
          <w:rFonts w:ascii="Times New Roman" w:eastAsia="Times New Roman"/>
          <w:spacing w:val="-4"/>
          <w:sz w:val="24"/>
        </w:rPr>
        <w:t xml:space="preserve"> </w:t>
      </w:r>
      <w:r>
        <w:rPr>
          <w:sz w:val="24"/>
        </w:rPr>
        <w:t>号）；</w:t>
      </w:r>
    </w:p>
    <w:p>
      <w:pPr>
        <w:pStyle w:val="23"/>
        <w:numPr>
          <w:ilvl w:val="3"/>
          <w:numId w:val="6"/>
        </w:numPr>
        <w:tabs>
          <w:tab w:val="left" w:pos="1441"/>
        </w:tabs>
        <w:spacing w:before="158"/>
        <w:ind w:left="1441" w:hanging="721"/>
        <w:rPr>
          <w:sz w:val="24"/>
        </w:rPr>
      </w:pPr>
      <w:r>
        <w:rPr>
          <w:sz w:val="24"/>
        </w:rPr>
        <w:t>《突发环境事件信息报告办法》（</w:t>
      </w:r>
      <w:r>
        <w:rPr>
          <w:spacing w:val="-8"/>
          <w:sz w:val="24"/>
        </w:rPr>
        <w:t xml:space="preserve">环境保护部令第 </w:t>
      </w:r>
      <w:r>
        <w:rPr>
          <w:rFonts w:ascii="Times New Roman" w:eastAsia="Times New Roman"/>
          <w:sz w:val="24"/>
        </w:rPr>
        <w:t xml:space="preserve">17 </w:t>
      </w:r>
      <w:r>
        <w:rPr>
          <w:sz w:val="24"/>
        </w:rPr>
        <w:t>号）；</w:t>
      </w:r>
    </w:p>
    <w:p>
      <w:pPr>
        <w:pStyle w:val="23"/>
        <w:numPr>
          <w:ilvl w:val="3"/>
          <w:numId w:val="6"/>
        </w:numPr>
        <w:tabs>
          <w:tab w:val="left" w:pos="1441"/>
        </w:tabs>
        <w:spacing w:before="158"/>
        <w:ind w:left="1441" w:hanging="721"/>
        <w:rPr>
          <w:sz w:val="24"/>
        </w:rPr>
      </w:pPr>
      <w:r>
        <w:rPr>
          <w:sz w:val="24"/>
        </w:rPr>
        <w:t>《湖北省环境保护厅突发环境事件应急预案》（鄂政办</w:t>
      </w:r>
      <w:r>
        <w:rPr>
          <w:rFonts w:ascii="Times New Roman" w:eastAsia="Times New Roman"/>
          <w:sz w:val="24"/>
        </w:rPr>
        <w:t>[2013]309</w:t>
      </w:r>
      <w:r>
        <w:rPr>
          <w:rFonts w:ascii="Times New Roman" w:eastAsia="Times New Roman"/>
          <w:spacing w:val="-3"/>
          <w:sz w:val="24"/>
        </w:rPr>
        <w:t xml:space="preserve"> </w:t>
      </w:r>
      <w:r>
        <w:rPr>
          <w:sz w:val="24"/>
        </w:rPr>
        <w:t>号）；</w:t>
      </w:r>
    </w:p>
    <w:p>
      <w:pPr>
        <w:pStyle w:val="23"/>
        <w:numPr>
          <w:ilvl w:val="3"/>
          <w:numId w:val="6"/>
        </w:numPr>
        <w:tabs>
          <w:tab w:val="left" w:pos="1441"/>
        </w:tabs>
        <w:spacing w:before="161"/>
        <w:ind w:left="1441" w:hanging="721"/>
        <w:rPr>
          <w:sz w:val="24"/>
        </w:rPr>
      </w:pPr>
      <w:r>
        <w:rPr>
          <w:sz w:val="24"/>
        </w:rPr>
        <w:t>《咸宁市突发环境事件应急预案》；</w:t>
      </w:r>
    </w:p>
    <w:p>
      <w:pPr>
        <w:pStyle w:val="23"/>
        <w:numPr>
          <w:ilvl w:val="3"/>
          <w:numId w:val="6"/>
        </w:numPr>
        <w:tabs>
          <w:tab w:val="left" w:pos="1441"/>
        </w:tabs>
        <w:spacing w:before="160"/>
        <w:ind w:left="1441" w:hanging="721"/>
        <w:rPr>
          <w:sz w:val="24"/>
        </w:rPr>
      </w:pPr>
      <w:r>
        <w:rPr>
          <w:sz w:val="24"/>
        </w:rPr>
        <w:t>《赤壁市突发环境事件应急预案》；</w:t>
      </w:r>
    </w:p>
    <w:p>
      <w:pPr>
        <w:pStyle w:val="23"/>
        <w:numPr>
          <w:ilvl w:val="3"/>
          <w:numId w:val="6"/>
        </w:numPr>
        <w:tabs>
          <w:tab w:val="left" w:pos="1441"/>
        </w:tabs>
        <w:spacing w:before="158"/>
        <w:ind w:left="1441" w:hanging="721"/>
        <w:rPr>
          <w:sz w:val="24"/>
        </w:rPr>
      </w:pPr>
      <w:r>
        <w:rPr>
          <w:sz w:val="24"/>
        </w:rPr>
        <w:t>《危险化学品名录》（</w:t>
      </w:r>
      <w:r>
        <w:rPr>
          <w:rFonts w:ascii="Times New Roman" w:eastAsia="Times New Roman"/>
          <w:sz w:val="24"/>
        </w:rPr>
        <w:t xml:space="preserve">2015 </w:t>
      </w:r>
      <w:r>
        <w:rPr>
          <w:sz w:val="24"/>
        </w:rPr>
        <w:t>版）；</w:t>
      </w:r>
    </w:p>
    <w:p>
      <w:pPr>
        <w:pStyle w:val="10"/>
        <w:spacing w:before="161"/>
        <w:ind w:left="720"/>
      </w:pPr>
      <w:r>
        <w:t>（</w:t>
      </w:r>
      <w:r>
        <w:rPr>
          <w:rFonts w:ascii="Times New Roman" w:eastAsia="Times New Roman"/>
        </w:rPr>
        <w:t>18</w:t>
      </w:r>
      <w:r>
        <w:t>）《危险货物品名表》（</w:t>
      </w:r>
      <w:r>
        <w:rPr>
          <w:rFonts w:ascii="Times New Roman" w:eastAsia="Times New Roman"/>
        </w:rPr>
        <w:t>GB12268-2012</w:t>
      </w:r>
      <w:r>
        <w:t>）；</w:t>
      </w:r>
    </w:p>
    <w:p>
      <w:pPr>
        <w:pStyle w:val="10"/>
        <w:spacing w:before="158"/>
        <w:ind w:left="720"/>
      </w:pPr>
      <w:r>
        <w:t>（</w:t>
      </w:r>
      <w:r>
        <w:rPr>
          <w:rFonts w:ascii="Times New Roman" w:eastAsia="Times New Roman"/>
        </w:rPr>
        <w:t>19</w:t>
      </w:r>
      <w:r>
        <w:t>）《国家危险废物名录》（</w:t>
      </w:r>
      <w:r>
        <w:rPr>
          <w:rFonts w:ascii="Times New Roman" w:eastAsia="Times New Roman"/>
        </w:rPr>
        <w:t xml:space="preserve">2021 </w:t>
      </w:r>
      <w:r>
        <w:t>版）。</w:t>
      </w:r>
    </w:p>
    <w:p>
      <w:pPr>
        <w:pStyle w:val="10"/>
        <w:spacing w:before="10"/>
      </w:pPr>
    </w:p>
    <w:p>
      <w:pPr>
        <w:pStyle w:val="23"/>
        <w:numPr>
          <w:ilvl w:val="2"/>
          <w:numId w:val="6"/>
        </w:numPr>
        <w:tabs>
          <w:tab w:val="left" w:pos="941"/>
        </w:tabs>
        <w:ind w:left="940" w:hanging="701"/>
        <w:rPr>
          <w:b/>
          <w:sz w:val="28"/>
        </w:rPr>
      </w:pPr>
      <w:bookmarkStart w:id="8" w:name="_bookmark4"/>
      <w:bookmarkEnd w:id="8"/>
      <w:bookmarkStart w:id="9" w:name="1.2.2_标准、技术规范"/>
      <w:bookmarkEnd w:id="9"/>
      <w:r>
        <w:rPr>
          <w:b/>
          <w:sz w:val="28"/>
        </w:rPr>
        <w:t>标准、技术规范</w:t>
      </w:r>
    </w:p>
    <w:p>
      <w:pPr>
        <w:pStyle w:val="10"/>
        <w:spacing w:before="8"/>
        <w:rPr>
          <w:b/>
          <w:sz w:val="26"/>
        </w:rPr>
      </w:pPr>
    </w:p>
    <w:p>
      <w:pPr>
        <w:pStyle w:val="23"/>
        <w:numPr>
          <w:ilvl w:val="0"/>
          <w:numId w:val="7"/>
        </w:numPr>
        <w:tabs>
          <w:tab w:val="left" w:pos="1321"/>
        </w:tabs>
        <w:rPr>
          <w:sz w:val="24"/>
        </w:rPr>
      </w:pPr>
      <w:r>
        <w:rPr>
          <w:sz w:val="24"/>
        </w:rPr>
        <w:t>《企业突发环境事件风险分级方法》（</w:t>
      </w:r>
      <w:r>
        <w:rPr>
          <w:rFonts w:ascii="Times New Roman" w:eastAsia="Times New Roman"/>
          <w:sz w:val="24"/>
        </w:rPr>
        <w:t>HJ</w:t>
      </w:r>
      <w:r>
        <w:rPr>
          <w:rFonts w:ascii="Times New Roman" w:eastAsia="Times New Roman"/>
          <w:spacing w:val="-1"/>
          <w:sz w:val="24"/>
        </w:rPr>
        <w:t xml:space="preserve"> </w:t>
      </w:r>
      <w:r>
        <w:rPr>
          <w:rFonts w:ascii="Times New Roman" w:eastAsia="Times New Roman"/>
          <w:sz w:val="24"/>
        </w:rPr>
        <w:t>941-2018</w:t>
      </w:r>
      <w:r>
        <w:rPr>
          <w:sz w:val="24"/>
        </w:rPr>
        <w:t>）；</w:t>
      </w:r>
    </w:p>
    <w:p>
      <w:pPr>
        <w:pStyle w:val="23"/>
        <w:numPr>
          <w:ilvl w:val="0"/>
          <w:numId w:val="7"/>
        </w:numPr>
        <w:tabs>
          <w:tab w:val="left" w:pos="1321"/>
        </w:tabs>
        <w:spacing w:before="158"/>
        <w:rPr>
          <w:sz w:val="24"/>
        </w:rPr>
      </w:pPr>
      <w:r>
        <w:rPr>
          <w:sz w:val="24"/>
        </w:rPr>
        <w:t>《建设项目环境风险评价技术导则》（</w:t>
      </w:r>
      <w:r>
        <w:rPr>
          <w:rFonts w:ascii="Times New Roman" w:eastAsia="Times New Roman"/>
          <w:sz w:val="24"/>
        </w:rPr>
        <w:t>HJ/T</w:t>
      </w:r>
      <w:r>
        <w:rPr>
          <w:rFonts w:ascii="Times New Roman" w:eastAsia="Times New Roman"/>
          <w:spacing w:val="-7"/>
          <w:sz w:val="24"/>
        </w:rPr>
        <w:t xml:space="preserve"> </w:t>
      </w:r>
      <w:r>
        <w:rPr>
          <w:rFonts w:ascii="Times New Roman" w:eastAsia="Times New Roman"/>
          <w:sz w:val="24"/>
        </w:rPr>
        <w:t>169-2018</w:t>
      </w:r>
      <w:r>
        <w:rPr>
          <w:sz w:val="24"/>
        </w:rPr>
        <w:t>）；</w:t>
      </w:r>
    </w:p>
    <w:p>
      <w:pPr>
        <w:pStyle w:val="23"/>
        <w:numPr>
          <w:ilvl w:val="0"/>
          <w:numId w:val="7"/>
        </w:numPr>
        <w:tabs>
          <w:tab w:val="left" w:pos="1321"/>
        </w:tabs>
        <w:spacing w:before="160"/>
        <w:rPr>
          <w:sz w:val="24"/>
        </w:rPr>
      </w:pPr>
      <w:r>
        <w:rPr>
          <w:sz w:val="24"/>
        </w:rPr>
        <w:t>《生产经营单位生产安全事故应急预案编制导则》（</w:t>
      </w:r>
      <w:r>
        <w:rPr>
          <w:rFonts w:ascii="Times New Roman" w:eastAsia="Times New Roman"/>
          <w:sz w:val="24"/>
        </w:rPr>
        <w:t>GB/T</w:t>
      </w:r>
      <w:r>
        <w:rPr>
          <w:rFonts w:ascii="Times New Roman" w:eastAsia="Times New Roman"/>
          <w:spacing w:val="-4"/>
          <w:sz w:val="24"/>
        </w:rPr>
        <w:t xml:space="preserve"> </w:t>
      </w:r>
      <w:r>
        <w:rPr>
          <w:rFonts w:ascii="Times New Roman" w:eastAsia="Times New Roman"/>
          <w:sz w:val="24"/>
        </w:rPr>
        <w:t>29639-2013</w:t>
      </w:r>
      <w:r>
        <w:rPr>
          <w:sz w:val="24"/>
        </w:rPr>
        <w:t>）；</w:t>
      </w:r>
    </w:p>
    <w:p>
      <w:pPr>
        <w:pStyle w:val="23"/>
        <w:numPr>
          <w:ilvl w:val="0"/>
          <w:numId w:val="7"/>
        </w:numPr>
        <w:tabs>
          <w:tab w:val="left" w:pos="1321"/>
        </w:tabs>
        <w:spacing w:before="159"/>
        <w:rPr>
          <w:sz w:val="24"/>
        </w:rPr>
      </w:pPr>
      <w:r>
        <w:rPr>
          <w:sz w:val="24"/>
        </w:rPr>
        <w:t>《危险化学品重大危险源辨识》（</w:t>
      </w:r>
      <w:r>
        <w:rPr>
          <w:rFonts w:ascii="Times New Roman" w:eastAsia="Times New Roman"/>
          <w:sz w:val="24"/>
        </w:rPr>
        <w:t>GB18218-2018</w:t>
      </w:r>
      <w:r>
        <w:rPr>
          <w:sz w:val="24"/>
        </w:rPr>
        <w:t>）；</w:t>
      </w:r>
    </w:p>
    <w:p>
      <w:pPr>
        <w:pStyle w:val="23"/>
        <w:numPr>
          <w:ilvl w:val="0"/>
          <w:numId w:val="7"/>
        </w:numPr>
        <w:tabs>
          <w:tab w:val="left" w:pos="1321"/>
        </w:tabs>
        <w:spacing w:before="160"/>
        <w:rPr>
          <w:sz w:val="24"/>
        </w:rPr>
      </w:pPr>
      <w:r>
        <w:rPr>
          <w:sz w:val="24"/>
        </w:rPr>
        <w:t>《环境空气质量标准》（</w:t>
      </w:r>
      <w:r>
        <w:rPr>
          <w:rFonts w:ascii="Times New Roman" w:eastAsia="Times New Roman"/>
          <w:sz w:val="24"/>
        </w:rPr>
        <w:t>GB3095-2012</w:t>
      </w:r>
      <w:r>
        <w:rPr>
          <w:sz w:val="24"/>
        </w:rPr>
        <w:t>）及其修改单；</w:t>
      </w:r>
    </w:p>
    <w:p>
      <w:pPr>
        <w:pStyle w:val="23"/>
        <w:numPr>
          <w:ilvl w:val="0"/>
          <w:numId w:val="7"/>
        </w:numPr>
        <w:tabs>
          <w:tab w:val="left" w:pos="1321"/>
        </w:tabs>
        <w:spacing w:before="158"/>
        <w:rPr>
          <w:sz w:val="24"/>
        </w:rPr>
      </w:pPr>
      <w:r>
        <w:rPr>
          <w:sz w:val="24"/>
        </w:rPr>
        <w:t>《地表水环境质量标准》（</w:t>
      </w:r>
      <w:r>
        <w:rPr>
          <w:rFonts w:ascii="Times New Roman" w:eastAsia="Times New Roman"/>
          <w:sz w:val="24"/>
        </w:rPr>
        <w:t>GB3838-2002</w:t>
      </w:r>
      <w:r>
        <w:rPr>
          <w:sz w:val="24"/>
        </w:rPr>
        <w:t>）；</w:t>
      </w:r>
    </w:p>
    <w:p>
      <w:pPr>
        <w:pStyle w:val="23"/>
        <w:numPr>
          <w:ilvl w:val="0"/>
          <w:numId w:val="7"/>
        </w:numPr>
        <w:tabs>
          <w:tab w:val="left" w:pos="1321"/>
        </w:tabs>
        <w:spacing w:before="161"/>
        <w:rPr>
          <w:sz w:val="24"/>
        </w:rPr>
      </w:pPr>
      <w:r>
        <w:rPr>
          <w:sz w:val="24"/>
        </w:rPr>
        <w:t>《污水综合排放标准》（</w:t>
      </w:r>
      <w:r>
        <w:rPr>
          <w:rFonts w:ascii="Times New Roman" w:eastAsia="Times New Roman"/>
          <w:sz w:val="24"/>
        </w:rPr>
        <w:t>GB8978-1996</w:t>
      </w:r>
      <w:r>
        <w:rPr>
          <w:sz w:val="24"/>
        </w:rPr>
        <w:t>）；</w:t>
      </w:r>
    </w:p>
    <w:p>
      <w:pPr>
        <w:pStyle w:val="23"/>
        <w:numPr>
          <w:ilvl w:val="0"/>
          <w:numId w:val="7"/>
        </w:numPr>
        <w:tabs>
          <w:tab w:val="left" w:pos="1321"/>
        </w:tabs>
        <w:spacing w:before="158"/>
        <w:rPr>
          <w:sz w:val="24"/>
        </w:rPr>
      </w:pPr>
      <w:r>
        <w:rPr>
          <w:sz w:val="24"/>
        </w:rPr>
        <w:t>《大气污染物综合排放标准》（</w:t>
      </w:r>
      <w:r>
        <w:rPr>
          <w:rFonts w:ascii="Times New Roman" w:eastAsia="Times New Roman"/>
          <w:sz w:val="24"/>
        </w:rPr>
        <w:t>GB16297-1996</w:t>
      </w:r>
      <w:r>
        <w:rPr>
          <w:sz w:val="24"/>
        </w:rPr>
        <w:t>）；</w:t>
      </w:r>
    </w:p>
    <w:p>
      <w:pPr>
        <w:pStyle w:val="23"/>
        <w:numPr>
          <w:ilvl w:val="0"/>
          <w:numId w:val="7"/>
        </w:numPr>
        <w:tabs>
          <w:tab w:val="left" w:pos="1321"/>
        </w:tabs>
        <w:spacing w:before="160"/>
        <w:rPr>
          <w:sz w:val="24"/>
        </w:rPr>
      </w:pPr>
      <w:r>
        <w:rPr>
          <w:sz w:val="24"/>
        </w:rPr>
        <w:t>《化学品分类和危险性公示通则》（</w:t>
      </w:r>
      <w:r>
        <w:rPr>
          <w:rFonts w:ascii="Times New Roman" w:eastAsia="Times New Roman"/>
          <w:sz w:val="24"/>
        </w:rPr>
        <w:t>GB13690-2009</w:t>
      </w:r>
      <w:r>
        <w:rPr>
          <w:sz w:val="24"/>
        </w:rPr>
        <w:t>）。</w:t>
      </w:r>
    </w:p>
    <w:p>
      <w:pPr>
        <w:pStyle w:val="10"/>
        <w:spacing w:before="8"/>
      </w:pPr>
    </w:p>
    <w:p>
      <w:pPr>
        <w:pStyle w:val="23"/>
        <w:numPr>
          <w:ilvl w:val="2"/>
          <w:numId w:val="6"/>
        </w:numPr>
        <w:tabs>
          <w:tab w:val="left" w:pos="869"/>
        </w:tabs>
        <w:rPr>
          <w:b/>
          <w:sz w:val="28"/>
        </w:rPr>
      </w:pPr>
      <w:bookmarkStart w:id="10" w:name="_bookmark5"/>
      <w:bookmarkEnd w:id="10"/>
      <w:bookmarkStart w:id="11" w:name="1.2.3其它参考资料"/>
      <w:bookmarkEnd w:id="11"/>
      <w:r>
        <w:rPr>
          <w:b/>
          <w:sz w:val="28"/>
        </w:rPr>
        <w:t>其它参考资料</w:t>
      </w:r>
    </w:p>
    <w:p>
      <w:pPr>
        <w:pStyle w:val="10"/>
        <w:spacing w:before="8"/>
        <w:rPr>
          <w:b/>
          <w:sz w:val="26"/>
        </w:rPr>
      </w:pPr>
    </w:p>
    <w:p>
      <w:pPr>
        <w:pStyle w:val="23"/>
        <w:numPr>
          <w:ilvl w:val="0"/>
          <w:numId w:val="8"/>
        </w:numPr>
        <w:tabs>
          <w:tab w:val="left" w:pos="1321"/>
        </w:tabs>
        <w:rPr>
          <w:sz w:val="24"/>
        </w:rPr>
      </w:pPr>
      <w:r>
        <w:rPr>
          <w:sz w:val="24"/>
        </w:rPr>
        <w:t>《</w:t>
      </w:r>
      <w:r>
        <w:rPr>
          <w:rFonts w:hint="eastAsia"/>
          <w:spacing w:val="-8"/>
        </w:rPr>
        <w:t>赤壁市泰博服饰股份有限公司</w:t>
      </w:r>
      <w:r>
        <w:rPr>
          <w:rFonts w:hint="eastAsia"/>
          <w:spacing w:val="-8"/>
          <w:lang w:val="en-US"/>
        </w:rPr>
        <w:t>EVA产品升级</w:t>
      </w:r>
      <w:r>
        <w:rPr>
          <w:sz w:val="24"/>
        </w:rPr>
        <w:t>项目环境影响评价报告表》及其批文</w:t>
      </w:r>
    </w:p>
    <w:p>
      <w:pPr>
        <w:rPr>
          <w:sz w:val="24"/>
        </w:rPr>
        <w:sectPr>
          <w:pgSz w:w="11910" w:h="16840"/>
          <w:pgMar w:top="1360" w:right="840" w:bottom="1180" w:left="840" w:header="882" w:footer="993" w:gutter="0"/>
          <w:cols w:space="720" w:num="1"/>
        </w:sectPr>
      </w:pPr>
    </w:p>
    <w:p>
      <w:pPr>
        <w:pStyle w:val="10"/>
        <w:spacing w:before="64"/>
        <w:ind w:left="240"/>
      </w:pPr>
      <w:r>
        <w:t>（赤环函</w:t>
      </w:r>
      <w:r>
        <w:rPr>
          <w:rFonts w:ascii="Times New Roman" w:eastAsia="Times New Roman"/>
        </w:rPr>
        <w:t xml:space="preserve">[2020]97 </w:t>
      </w:r>
      <w:r>
        <w:t>号），</w:t>
      </w:r>
      <w:r>
        <w:rPr>
          <w:rFonts w:ascii="Times New Roman" w:eastAsia="Times New Roman"/>
        </w:rPr>
        <w:t xml:space="preserve">2020 </w:t>
      </w:r>
      <w:r>
        <w:t xml:space="preserve">年 </w:t>
      </w:r>
      <w:r>
        <w:rPr>
          <w:rFonts w:ascii="Times New Roman" w:eastAsia="Times New Roman"/>
        </w:rPr>
        <w:t xml:space="preserve">12 </w:t>
      </w:r>
      <w:r>
        <w:t>月；</w:t>
      </w:r>
    </w:p>
    <w:p>
      <w:pPr>
        <w:pStyle w:val="23"/>
        <w:numPr>
          <w:ilvl w:val="0"/>
          <w:numId w:val="8"/>
        </w:numPr>
        <w:tabs>
          <w:tab w:val="left" w:pos="1321"/>
        </w:tabs>
        <w:spacing w:before="160"/>
        <w:rPr>
          <w:sz w:val="24"/>
        </w:rPr>
      </w:pPr>
      <w:r>
        <w:rPr>
          <w:rFonts w:hint="eastAsia"/>
          <w:spacing w:val="-8"/>
        </w:rPr>
        <w:t>赤壁市泰博服饰股份有限公司</w:t>
      </w:r>
      <w:r>
        <w:rPr>
          <w:sz w:val="24"/>
        </w:rPr>
        <w:t>提供的其它资料。</w:t>
      </w:r>
    </w:p>
    <w:p>
      <w:pPr>
        <w:pStyle w:val="10"/>
        <w:spacing w:before="9"/>
      </w:pPr>
    </w:p>
    <w:p>
      <w:pPr>
        <w:pStyle w:val="6"/>
        <w:numPr>
          <w:ilvl w:val="1"/>
          <w:numId w:val="6"/>
        </w:numPr>
        <w:tabs>
          <w:tab w:val="left" w:pos="766"/>
        </w:tabs>
      </w:pPr>
      <w:bookmarkStart w:id="12" w:name="1.3_适用范围"/>
      <w:bookmarkEnd w:id="12"/>
      <w:bookmarkStart w:id="13" w:name="_bookmark6"/>
      <w:bookmarkEnd w:id="13"/>
      <w:r>
        <w:t>适用范围</w:t>
      </w:r>
    </w:p>
    <w:p>
      <w:pPr>
        <w:pStyle w:val="10"/>
        <w:spacing w:before="6"/>
        <w:rPr>
          <w:b/>
          <w:sz w:val="27"/>
        </w:rPr>
      </w:pPr>
    </w:p>
    <w:p>
      <w:pPr>
        <w:pStyle w:val="10"/>
        <w:spacing w:before="1" w:line="364" w:lineRule="auto"/>
        <w:ind w:left="240" w:right="237" w:firstLine="480"/>
        <w:jc w:val="both"/>
      </w:pPr>
      <w:r>
        <w:rPr>
          <w:spacing w:val="-4"/>
        </w:rPr>
        <w:t>本应急预案适用于</w:t>
      </w:r>
      <w:r>
        <w:rPr>
          <w:rFonts w:hint="eastAsia"/>
          <w:spacing w:val="-8"/>
        </w:rPr>
        <w:t>赤壁市泰博服饰股份有限公司</w:t>
      </w:r>
      <w:r>
        <w:rPr>
          <w:spacing w:val="-4"/>
        </w:rPr>
        <w:t>发生的各类突发环境事件应急救援、及周边</w:t>
      </w:r>
      <w:r>
        <w:rPr>
          <w:spacing w:val="-6"/>
        </w:rPr>
        <w:t>企业突发环境事件需要请求支援时的应急联动。可能发生的环境事件包括企业可独立处置和需</w:t>
      </w:r>
      <w:r>
        <w:t>要外界力量参与两类。</w:t>
      </w:r>
    </w:p>
    <w:p>
      <w:pPr>
        <w:pStyle w:val="10"/>
        <w:spacing w:line="362" w:lineRule="auto"/>
        <w:ind w:left="240" w:right="237" w:firstLine="480"/>
      </w:pPr>
      <w:r>
        <w:rPr>
          <w:spacing w:val="-6"/>
        </w:rPr>
        <w:t>若突发环境事件超过本企业处置能力时，应实施应急联动，在进行先期处置的同时，由应</w:t>
      </w:r>
      <w:r>
        <w:t>急总指挥向上级申请启动上级应急预案，配合执行上级的应急指挥部所要求的工作。</w:t>
      </w:r>
    </w:p>
    <w:p>
      <w:pPr>
        <w:pStyle w:val="10"/>
        <w:spacing w:before="4" w:line="364" w:lineRule="auto"/>
        <w:ind w:left="240" w:right="237" w:firstLine="480"/>
        <w:jc w:val="both"/>
      </w:pPr>
      <w:r>
        <w:rPr>
          <w:spacing w:val="-5"/>
        </w:rPr>
        <w:t>若周边企业单位发生突发事故或上级有关部门需要本企业应急支持时，本企业全力配合赤</w:t>
      </w:r>
      <w:r>
        <w:rPr>
          <w:spacing w:val="-9"/>
        </w:rPr>
        <w:t>壁市生态环境部门、赤壁市政府或其他上级主管部门的调度，全面贯彻执行政府部门的应急指</w:t>
      </w:r>
      <w:r>
        <w:t>令。</w:t>
      </w:r>
    </w:p>
    <w:p>
      <w:pPr>
        <w:pStyle w:val="6"/>
        <w:numPr>
          <w:ilvl w:val="1"/>
          <w:numId w:val="6"/>
        </w:numPr>
        <w:tabs>
          <w:tab w:val="left" w:pos="766"/>
        </w:tabs>
        <w:spacing w:before="155"/>
      </w:pPr>
      <w:bookmarkStart w:id="14" w:name="1.4_事故分级"/>
      <w:bookmarkEnd w:id="14"/>
      <w:bookmarkStart w:id="15" w:name="_bookmark7"/>
      <w:bookmarkEnd w:id="15"/>
      <w:r>
        <w:t>事故分级</w:t>
      </w:r>
    </w:p>
    <w:p>
      <w:pPr>
        <w:pStyle w:val="10"/>
        <w:spacing w:before="10"/>
        <w:rPr>
          <w:b/>
          <w:sz w:val="27"/>
        </w:rPr>
      </w:pPr>
    </w:p>
    <w:p>
      <w:pPr>
        <w:pStyle w:val="23"/>
        <w:numPr>
          <w:ilvl w:val="2"/>
          <w:numId w:val="6"/>
        </w:numPr>
        <w:tabs>
          <w:tab w:val="left" w:pos="941"/>
        </w:tabs>
        <w:ind w:left="940" w:hanging="701"/>
        <w:rPr>
          <w:b/>
          <w:sz w:val="28"/>
        </w:rPr>
      </w:pPr>
      <w:bookmarkStart w:id="16" w:name="_bookmark8"/>
      <w:bookmarkEnd w:id="16"/>
      <w:bookmarkStart w:id="17" w:name="1.4.1_国家分级"/>
      <w:bookmarkEnd w:id="17"/>
      <w:r>
        <w:rPr>
          <w:b/>
          <w:sz w:val="28"/>
        </w:rPr>
        <w:t>国家分级</w:t>
      </w:r>
    </w:p>
    <w:p>
      <w:pPr>
        <w:pStyle w:val="10"/>
        <w:spacing w:before="8"/>
        <w:rPr>
          <w:b/>
          <w:sz w:val="26"/>
        </w:rPr>
      </w:pPr>
    </w:p>
    <w:p>
      <w:pPr>
        <w:pStyle w:val="10"/>
        <w:spacing w:line="364" w:lineRule="auto"/>
        <w:ind w:left="240" w:right="103" w:firstLine="480"/>
      </w:pPr>
      <w:r>
        <w:rPr>
          <w:spacing w:val="-9"/>
        </w:rPr>
        <w:t>根据《国家突发环境事件应急预案》，按照事件严重性和紧急程度，突发环境事件特别重</w:t>
      </w:r>
      <w:r>
        <w:rPr>
          <w:spacing w:val="-13"/>
        </w:rPr>
        <w:t>大环境事件</w:t>
      </w:r>
      <w:r>
        <w:t>（</w:t>
      </w:r>
      <w:r>
        <w:rPr>
          <w:rFonts w:ascii="Times New Roman" w:eastAsia="Times New Roman"/>
        </w:rPr>
        <w:t>I</w:t>
      </w:r>
      <w:r>
        <w:rPr>
          <w:rFonts w:ascii="Times New Roman" w:eastAsia="Times New Roman"/>
          <w:spacing w:val="1"/>
        </w:rPr>
        <w:t xml:space="preserve"> </w:t>
      </w:r>
      <w:r>
        <w:t>级</w:t>
      </w:r>
      <w:r>
        <w:rPr>
          <w:spacing w:val="-27"/>
        </w:rPr>
        <w:t>）</w:t>
      </w:r>
      <w:r>
        <w:rPr>
          <w:spacing w:val="-8"/>
        </w:rPr>
        <w:t>、重大环境事件</w:t>
      </w:r>
      <w:r>
        <w:rPr>
          <w:spacing w:val="-3"/>
        </w:rPr>
        <w:t>（</w:t>
      </w:r>
      <w:r>
        <w:rPr>
          <w:rFonts w:ascii="Times New Roman" w:eastAsia="Times New Roman"/>
          <w:spacing w:val="-3"/>
        </w:rPr>
        <w:t>II</w:t>
      </w:r>
      <w:r>
        <w:rPr>
          <w:rFonts w:ascii="Times New Roman" w:eastAsia="Times New Roman"/>
          <w:spacing w:val="5"/>
        </w:rPr>
        <w:t xml:space="preserve"> </w:t>
      </w:r>
      <w:r>
        <w:t>级</w:t>
      </w:r>
      <w:r>
        <w:rPr>
          <w:spacing w:val="-24"/>
        </w:rPr>
        <w:t>）</w:t>
      </w:r>
      <w:r>
        <w:rPr>
          <w:spacing w:val="-9"/>
        </w:rPr>
        <w:t>、较大环境事件</w:t>
      </w:r>
      <w:r>
        <w:t>（</w:t>
      </w:r>
      <w:r>
        <w:rPr>
          <w:rFonts w:ascii="Times New Roman" w:eastAsia="Times New Roman"/>
        </w:rPr>
        <w:t>III</w:t>
      </w:r>
      <w:r>
        <w:rPr>
          <w:rFonts w:ascii="Times New Roman" w:eastAsia="Times New Roman"/>
          <w:spacing w:val="5"/>
        </w:rPr>
        <w:t xml:space="preserve"> </w:t>
      </w:r>
      <w:r>
        <w:t>级</w:t>
      </w:r>
      <w:r>
        <w:rPr>
          <w:spacing w:val="-24"/>
        </w:rPr>
        <w:t>）</w:t>
      </w:r>
      <w:r>
        <w:rPr>
          <w:spacing w:val="-4"/>
        </w:rPr>
        <w:t>和一般环境事件</w:t>
      </w:r>
      <w:r>
        <w:t>（</w:t>
      </w:r>
      <w:r>
        <w:rPr>
          <w:rFonts w:ascii="Times New Roman" w:eastAsia="Times New Roman"/>
        </w:rPr>
        <w:t>IV</w:t>
      </w:r>
      <w:r>
        <w:rPr>
          <w:rFonts w:ascii="Times New Roman" w:eastAsia="Times New Roman"/>
          <w:spacing w:val="1"/>
        </w:rPr>
        <w:t xml:space="preserve"> </w:t>
      </w:r>
      <w:r>
        <w:t>级） 四级。</w:t>
      </w:r>
    </w:p>
    <w:p>
      <w:pPr>
        <w:pStyle w:val="10"/>
        <w:spacing w:line="304" w:lineRule="exact"/>
        <w:ind w:left="720"/>
      </w:pPr>
      <w:r>
        <w:rPr>
          <w:rFonts w:ascii="Times New Roman" w:eastAsia="Times New Roman"/>
        </w:rPr>
        <w:t>1</w:t>
      </w:r>
      <w:r>
        <w:t>、特别重大环境事件（</w:t>
      </w:r>
      <w:r>
        <w:rPr>
          <w:rFonts w:ascii="Times New Roman" w:eastAsia="Times New Roman"/>
        </w:rPr>
        <w:t xml:space="preserve">I </w:t>
      </w:r>
      <w:r>
        <w:t>级）</w:t>
      </w:r>
    </w:p>
    <w:p>
      <w:pPr>
        <w:pStyle w:val="10"/>
        <w:spacing w:before="161"/>
        <w:ind w:left="720"/>
      </w:pPr>
      <w:r>
        <w:t>凡符合下列情形之一的，为特别重大环境事件：</w:t>
      </w:r>
    </w:p>
    <w:p>
      <w:pPr>
        <w:pStyle w:val="23"/>
        <w:numPr>
          <w:ilvl w:val="0"/>
          <w:numId w:val="9"/>
        </w:numPr>
        <w:tabs>
          <w:tab w:val="left" w:pos="1321"/>
        </w:tabs>
        <w:spacing w:before="160"/>
        <w:rPr>
          <w:sz w:val="24"/>
        </w:rPr>
      </w:pPr>
      <w:r>
        <w:rPr>
          <w:spacing w:val="-20"/>
          <w:sz w:val="24"/>
        </w:rPr>
        <w:t xml:space="preserve">发生 </w:t>
      </w:r>
      <w:r>
        <w:rPr>
          <w:rFonts w:ascii="Times New Roman" w:eastAsia="Times New Roman"/>
          <w:sz w:val="24"/>
        </w:rPr>
        <w:t xml:space="preserve">30 </w:t>
      </w:r>
      <w:r>
        <w:rPr>
          <w:sz w:val="24"/>
        </w:rPr>
        <w:t>人以上死亡，或中毒（重伤）</w:t>
      </w:r>
      <w:r>
        <w:rPr>
          <w:rFonts w:ascii="Times New Roman" w:eastAsia="Times New Roman"/>
          <w:sz w:val="24"/>
        </w:rPr>
        <w:t xml:space="preserve">100 </w:t>
      </w:r>
      <w:r>
        <w:rPr>
          <w:sz w:val="24"/>
        </w:rPr>
        <w:t>人以上；</w:t>
      </w:r>
    </w:p>
    <w:p>
      <w:pPr>
        <w:pStyle w:val="23"/>
        <w:numPr>
          <w:ilvl w:val="0"/>
          <w:numId w:val="9"/>
        </w:numPr>
        <w:tabs>
          <w:tab w:val="left" w:pos="1321"/>
        </w:tabs>
        <w:spacing w:before="158"/>
        <w:rPr>
          <w:sz w:val="24"/>
        </w:rPr>
      </w:pPr>
      <w:r>
        <w:rPr>
          <w:spacing w:val="-5"/>
          <w:sz w:val="24"/>
        </w:rPr>
        <w:t xml:space="preserve">因环境事件需疏散、转移群众 </w:t>
      </w:r>
      <w:r>
        <w:rPr>
          <w:rFonts w:ascii="Times New Roman" w:eastAsia="Times New Roman"/>
          <w:sz w:val="24"/>
        </w:rPr>
        <w:t xml:space="preserve">5 </w:t>
      </w:r>
      <w:r>
        <w:rPr>
          <w:spacing w:val="-5"/>
          <w:sz w:val="24"/>
        </w:rPr>
        <w:t xml:space="preserve">万人以上，或直接经济损失 </w:t>
      </w:r>
      <w:r>
        <w:rPr>
          <w:rFonts w:ascii="Times New Roman" w:eastAsia="Times New Roman"/>
          <w:sz w:val="24"/>
        </w:rPr>
        <w:t xml:space="preserve">1000 </w:t>
      </w:r>
      <w:r>
        <w:rPr>
          <w:sz w:val="24"/>
        </w:rPr>
        <w:t>万元以上；</w:t>
      </w:r>
    </w:p>
    <w:p>
      <w:pPr>
        <w:pStyle w:val="23"/>
        <w:numPr>
          <w:ilvl w:val="0"/>
          <w:numId w:val="9"/>
        </w:numPr>
        <w:tabs>
          <w:tab w:val="left" w:pos="1321"/>
        </w:tabs>
        <w:spacing w:before="158"/>
        <w:rPr>
          <w:sz w:val="24"/>
        </w:rPr>
      </w:pPr>
      <w:r>
        <w:rPr>
          <w:sz w:val="24"/>
        </w:rPr>
        <w:t>区域生态功能严重丧失或濒危物种生存环境遭到严重污染；</w:t>
      </w:r>
    </w:p>
    <w:p>
      <w:pPr>
        <w:pStyle w:val="23"/>
        <w:numPr>
          <w:ilvl w:val="0"/>
          <w:numId w:val="9"/>
        </w:numPr>
        <w:tabs>
          <w:tab w:val="left" w:pos="1321"/>
        </w:tabs>
        <w:spacing w:before="161"/>
        <w:rPr>
          <w:sz w:val="24"/>
        </w:rPr>
      </w:pPr>
      <w:r>
        <w:rPr>
          <w:sz w:val="24"/>
        </w:rPr>
        <w:t>因环境污染使当地正常的经济、社会活动受到严重影响；</w:t>
      </w:r>
    </w:p>
    <w:p>
      <w:pPr>
        <w:pStyle w:val="23"/>
        <w:numPr>
          <w:ilvl w:val="0"/>
          <w:numId w:val="9"/>
        </w:numPr>
        <w:tabs>
          <w:tab w:val="left" w:pos="1321"/>
        </w:tabs>
        <w:spacing w:before="160" w:line="362" w:lineRule="auto"/>
        <w:ind w:left="240" w:right="240" w:firstLine="480"/>
        <w:rPr>
          <w:sz w:val="24"/>
        </w:rPr>
      </w:pPr>
      <w:r>
        <w:rPr>
          <w:sz w:val="24"/>
        </w:rPr>
        <w:t xml:space="preserve">利用放射性物质进行人为破坏事件，或 </w:t>
      </w:r>
      <w:r>
        <w:rPr>
          <w:rFonts w:ascii="Times New Roman" w:eastAsia="Times New Roman"/>
          <w:sz w:val="24"/>
        </w:rPr>
        <w:t>1</w:t>
      </w:r>
      <w:r>
        <w:rPr>
          <w:sz w:val="24"/>
        </w:rPr>
        <w:t>、</w:t>
      </w:r>
      <w:r>
        <w:rPr>
          <w:rFonts w:ascii="Times New Roman" w:eastAsia="Times New Roman"/>
          <w:sz w:val="24"/>
        </w:rPr>
        <w:t>2</w:t>
      </w:r>
      <w:r>
        <w:rPr>
          <w:rFonts w:ascii="Times New Roman" w:eastAsia="Times New Roman"/>
          <w:spacing w:val="9"/>
          <w:sz w:val="24"/>
        </w:rPr>
        <w:t xml:space="preserve"> </w:t>
      </w:r>
      <w:r>
        <w:rPr>
          <w:spacing w:val="-1"/>
          <w:sz w:val="24"/>
        </w:rPr>
        <w:t>类放射源失控造成大范围严重辐射污</w:t>
      </w:r>
      <w:r>
        <w:rPr>
          <w:sz w:val="24"/>
        </w:rPr>
        <w:t>染后果；</w:t>
      </w:r>
    </w:p>
    <w:p>
      <w:pPr>
        <w:pStyle w:val="23"/>
        <w:numPr>
          <w:ilvl w:val="0"/>
          <w:numId w:val="9"/>
        </w:numPr>
        <w:tabs>
          <w:tab w:val="left" w:pos="1321"/>
        </w:tabs>
        <w:spacing w:before="5"/>
        <w:rPr>
          <w:sz w:val="24"/>
        </w:rPr>
      </w:pPr>
      <w:r>
        <w:rPr>
          <w:sz w:val="24"/>
        </w:rPr>
        <w:t>因环境污染造成重要城市主要水源地取水中断的污染事故；</w:t>
      </w:r>
    </w:p>
    <w:p>
      <w:pPr>
        <w:pStyle w:val="23"/>
        <w:numPr>
          <w:ilvl w:val="0"/>
          <w:numId w:val="9"/>
        </w:numPr>
        <w:tabs>
          <w:tab w:val="left" w:pos="1321"/>
        </w:tabs>
        <w:spacing w:before="158" w:line="364" w:lineRule="auto"/>
        <w:ind w:left="240" w:right="240" w:firstLine="480"/>
        <w:rPr>
          <w:sz w:val="24"/>
        </w:rPr>
      </w:pPr>
      <w:r>
        <w:rPr>
          <w:sz w:val="24"/>
        </w:rPr>
        <w:t>因危险化学品（含剧毒品）</w:t>
      </w:r>
      <w:r>
        <w:rPr>
          <w:spacing w:val="-1"/>
          <w:sz w:val="24"/>
        </w:rPr>
        <w:t>生产和贮运中发生泄漏，严重影响人民群众生产、生活</w:t>
      </w:r>
      <w:r>
        <w:rPr>
          <w:sz w:val="24"/>
        </w:rPr>
        <w:t>的污染事故。</w:t>
      </w:r>
    </w:p>
    <w:p>
      <w:pPr>
        <w:spacing w:line="364" w:lineRule="auto"/>
        <w:rPr>
          <w:sz w:val="24"/>
        </w:rPr>
        <w:sectPr>
          <w:pgSz w:w="11910" w:h="16840"/>
          <w:pgMar w:top="1360" w:right="840" w:bottom="1180" w:left="840" w:header="882" w:footer="993" w:gutter="0"/>
          <w:cols w:space="720" w:num="1"/>
        </w:sectPr>
      </w:pPr>
    </w:p>
    <w:p>
      <w:pPr>
        <w:pStyle w:val="10"/>
        <w:spacing w:before="64"/>
        <w:ind w:left="720"/>
      </w:pPr>
      <w:r>
        <w:rPr>
          <w:rFonts w:ascii="Times New Roman" w:eastAsia="Times New Roman"/>
        </w:rPr>
        <w:t>2</w:t>
      </w:r>
      <w:r>
        <w:t>、重大环境事件（</w:t>
      </w:r>
      <w:r>
        <w:rPr>
          <w:rFonts w:ascii="Times New Roman" w:eastAsia="Times New Roman"/>
        </w:rPr>
        <w:t xml:space="preserve">II </w:t>
      </w:r>
      <w:r>
        <w:t>级）</w:t>
      </w:r>
    </w:p>
    <w:p>
      <w:pPr>
        <w:pStyle w:val="10"/>
        <w:spacing w:before="160"/>
        <w:ind w:left="720"/>
      </w:pPr>
      <w:r>
        <w:t>凡符合下列情形之一的，为重大环境事件：</w:t>
      </w:r>
    </w:p>
    <w:p>
      <w:pPr>
        <w:pStyle w:val="23"/>
        <w:numPr>
          <w:ilvl w:val="0"/>
          <w:numId w:val="10"/>
        </w:numPr>
        <w:tabs>
          <w:tab w:val="left" w:pos="1321"/>
        </w:tabs>
        <w:spacing w:before="158"/>
        <w:rPr>
          <w:sz w:val="24"/>
        </w:rPr>
      </w:pPr>
      <w:r>
        <w:rPr>
          <w:sz w:val="24"/>
        </w:rPr>
        <w:t xml:space="preserve">发生 </w:t>
      </w:r>
      <w:r>
        <w:rPr>
          <w:rFonts w:ascii="Times New Roman" w:eastAsia="Times New Roman"/>
          <w:sz w:val="24"/>
        </w:rPr>
        <w:t xml:space="preserve">10 </w:t>
      </w:r>
      <w:r>
        <w:rPr>
          <w:sz w:val="24"/>
        </w:rPr>
        <w:t>人以上、</w:t>
      </w:r>
      <w:r>
        <w:rPr>
          <w:rFonts w:ascii="Times New Roman" w:eastAsia="Times New Roman"/>
          <w:sz w:val="24"/>
        </w:rPr>
        <w:t xml:space="preserve">30 </w:t>
      </w:r>
      <w:r>
        <w:rPr>
          <w:sz w:val="24"/>
        </w:rPr>
        <w:t>人以下死亡，或中毒（重伤）</w:t>
      </w:r>
      <w:r>
        <w:rPr>
          <w:rFonts w:ascii="Times New Roman" w:eastAsia="Times New Roman"/>
          <w:sz w:val="24"/>
        </w:rPr>
        <w:t xml:space="preserve">50 </w:t>
      </w:r>
      <w:r>
        <w:rPr>
          <w:sz w:val="24"/>
        </w:rPr>
        <w:t>人以上、</w:t>
      </w:r>
      <w:r>
        <w:rPr>
          <w:rFonts w:ascii="Times New Roman" w:eastAsia="Times New Roman"/>
          <w:sz w:val="24"/>
        </w:rPr>
        <w:t xml:space="preserve">100 </w:t>
      </w:r>
      <w:r>
        <w:rPr>
          <w:sz w:val="24"/>
        </w:rPr>
        <w:t>人以下；</w:t>
      </w:r>
    </w:p>
    <w:p>
      <w:pPr>
        <w:pStyle w:val="23"/>
        <w:numPr>
          <w:ilvl w:val="0"/>
          <w:numId w:val="10"/>
        </w:numPr>
        <w:tabs>
          <w:tab w:val="left" w:pos="1321"/>
        </w:tabs>
        <w:spacing w:before="161"/>
        <w:rPr>
          <w:sz w:val="24"/>
        </w:rPr>
      </w:pPr>
      <w:r>
        <w:rPr>
          <w:sz w:val="24"/>
        </w:rPr>
        <w:t>区域生态功能部分丧失或濒危物种生存环境受到污染；</w:t>
      </w:r>
    </w:p>
    <w:p>
      <w:pPr>
        <w:pStyle w:val="23"/>
        <w:numPr>
          <w:ilvl w:val="0"/>
          <w:numId w:val="10"/>
        </w:numPr>
        <w:tabs>
          <w:tab w:val="left" w:pos="1321"/>
        </w:tabs>
        <w:spacing w:before="158" w:line="364" w:lineRule="auto"/>
        <w:ind w:left="240" w:right="235" w:firstLine="480"/>
        <w:rPr>
          <w:sz w:val="24"/>
        </w:rPr>
      </w:pPr>
      <w:r>
        <w:rPr>
          <w:spacing w:val="-2"/>
          <w:sz w:val="24"/>
        </w:rPr>
        <w:t xml:space="preserve">因环境污染使当地经济、社会活动受到较大影响，疏散转移群众 </w:t>
      </w:r>
      <w:r>
        <w:rPr>
          <w:rFonts w:ascii="Times New Roman" w:eastAsia="Times New Roman"/>
          <w:sz w:val="24"/>
        </w:rPr>
        <w:t xml:space="preserve">1   </w:t>
      </w:r>
      <w:r>
        <w:rPr>
          <w:spacing w:val="-5"/>
          <w:sz w:val="24"/>
        </w:rPr>
        <w:t>万人以上、</w:t>
      </w:r>
      <w:r>
        <w:rPr>
          <w:rFonts w:ascii="Times New Roman" w:eastAsia="Times New Roman"/>
          <w:sz w:val="24"/>
        </w:rPr>
        <w:t xml:space="preserve">5 </w:t>
      </w:r>
      <w:r>
        <w:rPr>
          <w:spacing w:val="-4"/>
          <w:sz w:val="24"/>
        </w:rPr>
        <w:t>万人以下的；</w:t>
      </w:r>
    </w:p>
    <w:p>
      <w:pPr>
        <w:pStyle w:val="10"/>
        <w:spacing w:line="306" w:lineRule="exact"/>
        <w:ind w:left="720"/>
      </w:pPr>
      <w:r>
        <w:t>（</w:t>
      </w:r>
      <w:r>
        <w:rPr>
          <w:rFonts w:ascii="Times New Roman" w:eastAsia="Times New Roman"/>
        </w:rPr>
        <w:t>4</w:t>
      </w:r>
      <w:r>
        <w:t>）</w:t>
      </w:r>
      <w:r>
        <w:rPr>
          <w:rFonts w:ascii="Times New Roman" w:eastAsia="Times New Roman"/>
        </w:rPr>
        <w:t>1</w:t>
      </w:r>
      <w:r>
        <w:t>、</w:t>
      </w:r>
      <w:r>
        <w:rPr>
          <w:rFonts w:ascii="Times New Roman" w:eastAsia="Times New Roman"/>
        </w:rPr>
        <w:t xml:space="preserve">2 </w:t>
      </w:r>
      <w:r>
        <w:t>类放射源丢失、被盗或失控；</w:t>
      </w:r>
    </w:p>
    <w:p>
      <w:pPr>
        <w:pStyle w:val="10"/>
        <w:spacing w:before="160" w:line="364" w:lineRule="auto"/>
        <w:ind w:left="240" w:right="240" w:firstLine="480"/>
      </w:pPr>
      <w:r>
        <w:t>（</w:t>
      </w:r>
      <w:r>
        <w:rPr>
          <w:rFonts w:ascii="Times New Roman" w:eastAsia="Times New Roman"/>
        </w:rPr>
        <w:t>5</w:t>
      </w:r>
      <w:r>
        <w:t>）因环境污染造成重要河流、湖泊、水库及沿海水域大面积污染，或县级以上城镇水源地取水中断的污染事件；</w:t>
      </w:r>
    </w:p>
    <w:p>
      <w:pPr>
        <w:pStyle w:val="10"/>
        <w:spacing w:line="306" w:lineRule="exact"/>
        <w:ind w:left="720"/>
      </w:pPr>
      <w:r>
        <w:rPr>
          <w:rFonts w:ascii="Times New Roman" w:eastAsia="Times New Roman"/>
        </w:rPr>
        <w:t>3</w:t>
      </w:r>
      <w:r>
        <w:t>、较大环境事件（</w:t>
      </w:r>
      <w:r>
        <w:rPr>
          <w:rFonts w:ascii="Times New Roman" w:eastAsia="Times New Roman"/>
        </w:rPr>
        <w:t xml:space="preserve">III </w:t>
      </w:r>
      <w:r>
        <w:t>级）</w:t>
      </w:r>
    </w:p>
    <w:p>
      <w:pPr>
        <w:pStyle w:val="23"/>
        <w:numPr>
          <w:ilvl w:val="0"/>
          <w:numId w:val="11"/>
        </w:numPr>
        <w:tabs>
          <w:tab w:val="left" w:pos="1321"/>
        </w:tabs>
        <w:spacing w:before="158"/>
        <w:rPr>
          <w:sz w:val="24"/>
        </w:rPr>
      </w:pPr>
      <w:r>
        <w:rPr>
          <w:sz w:val="24"/>
        </w:rPr>
        <w:t xml:space="preserve">发生 </w:t>
      </w:r>
      <w:r>
        <w:rPr>
          <w:rFonts w:ascii="Times New Roman" w:eastAsia="Times New Roman"/>
          <w:sz w:val="24"/>
        </w:rPr>
        <w:t xml:space="preserve">3 </w:t>
      </w:r>
      <w:r>
        <w:rPr>
          <w:sz w:val="24"/>
        </w:rPr>
        <w:t>人以上、</w:t>
      </w:r>
      <w:r>
        <w:rPr>
          <w:rFonts w:ascii="Times New Roman" w:eastAsia="Times New Roman"/>
          <w:sz w:val="24"/>
        </w:rPr>
        <w:t xml:space="preserve">10 </w:t>
      </w:r>
      <w:r>
        <w:rPr>
          <w:sz w:val="24"/>
        </w:rPr>
        <w:t>人以下死亡，或中毒（重伤）</w:t>
      </w:r>
      <w:r>
        <w:rPr>
          <w:rFonts w:ascii="Times New Roman" w:eastAsia="Times New Roman"/>
          <w:sz w:val="24"/>
        </w:rPr>
        <w:t xml:space="preserve">50 </w:t>
      </w:r>
      <w:r>
        <w:rPr>
          <w:sz w:val="24"/>
        </w:rPr>
        <w:t>人以下；</w:t>
      </w:r>
    </w:p>
    <w:p>
      <w:pPr>
        <w:pStyle w:val="23"/>
        <w:numPr>
          <w:ilvl w:val="0"/>
          <w:numId w:val="11"/>
        </w:numPr>
        <w:tabs>
          <w:tab w:val="left" w:pos="1321"/>
        </w:tabs>
        <w:spacing w:before="161"/>
        <w:rPr>
          <w:sz w:val="24"/>
        </w:rPr>
      </w:pPr>
      <w:r>
        <w:rPr>
          <w:sz w:val="24"/>
        </w:rPr>
        <w:t>因环境污染造成跨地级行政区域纠纷，使当地经济、社会活动受到影响；</w:t>
      </w:r>
    </w:p>
    <w:p>
      <w:pPr>
        <w:pStyle w:val="10"/>
        <w:spacing w:before="160"/>
        <w:ind w:left="720"/>
      </w:pPr>
      <w:r>
        <w:t>（</w:t>
      </w:r>
      <w:r>
        <w:rPr>
          <w:rFonts w:ascii="Times New Roman" w:eastAsia="Times New Roman"/>
        </w:rPr>
        <w:t>3</w:t>
      </w:r>
      <w:r>
        <w:t>）</w:t>
      </w:r>
      <w:r>
        <w:rPr>
          <w:rFonts w:ascii="Times New Roman" w:eastAsia="Times New Roman"/>
        </w:rPr>
        <w:t xml:space="preserve">3 </w:t>
      </w:r>
      <w:r>
        <w:t>类放射源丢失、被盗或失控。</w:t>
      </w:r>
    </w:p>
    <w:p>
      <w:pPr>
        <w:pStyle w:val="10"/>
        <w:spacing w:before="158"/>
        <w:ind w:left="720"/>
      </w:pPr>
      <w:r>
        <w:rPr>
          <w:rFonts w:ascii="Times New Roman" w:eastAsia="Times New Roman"/>
        </w:rPr>
        <w:t>4</w:t>
      </w:r>
      <w:r>
        <w:t>、一般环境事件（</w:t>
      </w:r>
      <w:r>
        <w:rPr>
          <w:rFonts w:ascii="Times New Roman" w:eastAsia="Times New Roman"/>
        </w:rPr>
        <w:t xml:space="preserve">IV </w:t>
      </w:r>
      <w:r>
        <w:t>级）</w:t>
      </w:r>
    </w:p>
    <w:p>
      <w:pPr>
        <w:pStyle w:val="10"/>
        <w:spacing w:before="161"/>
        <w:ind w:left="720"/>
      </w:pPr>
      <w:r>
        <w:t>凡符合下列情形之一的，为一般环境事件：</w:t>
      </w:r>
    </w:p>
    <w:p>
      <w:pPr>
        <w:pStyle w:val="23"/>
        <w:numPr>
          <w:ilvl w:val="0"/>
          <w:numId w:val="12"/>
        </w:numPr>
        <w:tabs>
          <w:tab w:val="left" w:pos="1321"/>
        </w:tabs>
        <w:spacing w:before="158"/>
        <w:rPr>
          <w:sz w:val="24"/>
        </w:rPr>
      </w:pPr>
      <w:r>
        <w:rPr>
          <w:sz w:val="24"/>
        </w:rPr>
        <w:t xml:space="preserve">发生 </w:t>
      </w:r>
      <w:r>
        <w:rPr>
          <w:rFonts w:ascii="Times New Roman" w:eastAsia="Times New Roman"/>
          <w:sz w:val="24"/>
        </w:rPr>
        <w:t xml:space="preserve">3 </w:t>
      </w:r>
      <w:r>
        <w:rPr>
          <w:sz w:val="24"/>
        </w:rPr>
        <w:t>人以下死亡；</w:t>
      </w:r>
    </w:p>
    <w:p>
      <w:pPr>
        <w:pStyle w:val="23"/>
        <w:numPr>
          <w:ilvl w:val="0"/>
          <w:numId w:val="12"/>
        </w:numPr>
        <w:tabs>
          <w:tab w:val="left" w:pos="1321"/>
        </w:tabs>
        <w:spacing w:before="161"/>
        <w:rPr>
          <w:sz w:val="24"/>
        </w:rPr>
      </w:pPr>
      <w:r>
        <w:rPr>
          <w:sz w:val="24"/>
        </w:rPr>
        <w:t>因环境污染造成跨县级行政区域纠纷，引起一般群体性影响的；</w:t>
      </w:r>
    </w:p>
    <w:p>
      <w:pPr>
        <w:pStyle w:val="10"/>
        <w:spacing w:before="158"/>
        <w:ind w:left="720"/>
      </w:pPr>
      <w:r>
        <w:t>（</w:t>
      </w:r>
      <w:r>
        <w:rPr>
          <w:rFonts w:ascii="Times New Roman" w:eastAsia="Times New Roman"/>
        </w:rPr>
        <w:t>3</w:t>
      </w:r>
      <w:r>
        <w:t>）</w:t>
      </w:r>
      <w:r>
        <w:rPr>
          <w:rFonts w:ascii="Times New Roman" w:eastAsia="Times New Roman"/>
        </w:rPr>
        <w:t>4</w:t>
      </w:r>
      <w:r>
        <w:t>、</w:t>
      </w:r>
      <w:r>
        <w:rPr>
          <w:rFonts w:ascii="Times New Roman" w:eastAsia="Times New Roman"/>
        </w:rPr>
        <w:t xml:space="preserve">5 </w:t>
      </w:r>
      <w:r>
        <w:t>类放射源丢失、被盗或失控。</w:t>
      </w:r>
    </w:p>
    <w:p>
      <w:pPr>
        <w:pStyle w:val="10"/>
        <w:spacing w:before="9"/>
      </w:pPr>
    </w:p>
    <w:p>
      <w:pPr>
        <w:pStyle w:val="23"/>
        <w:numPr>
          <w:ilvl w:val="2"/>
          <w:numId w:val="6"/>
        </w:numPr>
        <w:tabs>
          <w:tab w:val="left" w:pos="941"/>
        </w:tabs>
        <w:ind w:left="940" w:hanging="701"/>
        <w:rPr>
          <w:b/>
          <w:sz w:val="28"/>
        </w:rPr>
      </w:pPr>
      <w:bookmarkStart w:id="18" w:name="1.4.2_本项目分级"/>
      <w:bookmarkEnd w:id="18"/>
      <w:bookmarkStart w:id="19" w:name="_bookmark9"/>
      <w:bookmarkEnd w:id="19"/>
      <w:r>
        <w:rPr>
          <w:b/>
          <w:sz w:val="28"/>
        </w:rPr>
        <w:t>本项目分级</w:t>
      </w:r>
    </w:p>
    <w:p>
      <w:pPr>
        <w:pStyle w:val="10"/>
        <w:spacing w:before="8"/>
        <w:rPr>
          <w:b/>
          <w:sz w:val="26"/>
        </w:rPr>
      </w:pPr>
    </w:p>
    <w:p>
      <w:pPr>
        <w:pStyle w:val="10"/>
        <w:spacing w:before="1" w:line="364" w:lineRule="auto"/>
        <w:ind w:left="240" w:right="115" w:firstLine="480"/>
      </w:pPr>
      <w:r>
        <w:rPr>
          <w:spacing w:val="-7"/>
        </w:rPr>
        <w:t>根据《国务院办公厅关于印发国家突发环境事件应急预案的通知》</w:t>
      </w:r>
      <w:r>
        <w:t>（国办函</w:t>
      </w:r>
      <w:r>
        <w:rPr>
          <w:rFonts w:ascii="Times New Roman" w:eastAsia="Times New Roman"/>
        </w:rPr>
        <w:t xml:space="preserve">[2014]119 </w:t>
      </w:r>
      <w:r>
        <w:t>号</w:t>
      </w:r>
      <w:r>
        <w:rPr>
          <w:spacing w:val="-14"/>
        </w:rPr>
        <w:t xml:space="preserve">） </w:t>
      </w:r>
      <w:r>
        <w:rPr>
          <w:spacing w:val="-8"/>
        </w:rPr>
        <w:t>事件分级要求，结合本公司的实际情况，按照可能发生的突发环境事件的性质、严重程度、可</w:t>
      </w:r>
      <w:r>
        <w:rPr>
          <w:spacing w:val="-10"/>
        </w:rPr>
        <w:t xml:space="preserve">控性和影响范围，本预案将突发环境事件分为三级，依次为 </w:t>
      </w:r>
      <w:r>
        <w:rPr>
          <w:rFonts w:ascii="Times New Roman" w:eastAsia="Times New Roman"/>
        </w:rPr>
        <w:t xml:space="preserve">I </w:t>
      </w:r>
      <w:r>
        <w:t>级、</w:t>
      </w:r>
      <w:r>
        <w:rPr>
          <w:rFonts w:ascii="Times New Roman" w:eastAsia="Times New Roman"/>
        </w:rPr>
        <w:t xml:space="preserve">II </w:t>
      </w:r>
      <w:r>
        <w:t>级、</w:t>
      </w:r>
      <w:r>
        <w:rPr>
          <w:rFonts w:ascii="Times New Roman" w:eastAsia="Times New Roman"/>
        </w:rPr>
        <w:t xml:space="preserve">III </w:t>
      </w:r>
      <w:r>
        <w:t>级。</w:t>
      </w:r>
    </w:p>
    <w:p>
      <w:pPr>
        <w:pStyle w:val="23"/>
        <w:numPr>
          <w:ilvl w:val="0"/>
          <w:numId w:val="13"/>
        </w:numPr>
        <w:tabs>
          <w:tab w:val="left" w:pos="1321"/>
        </w:tabs>
        <w:spacing w:line="304" w:lineRule="exact"/>
        <w:rPr>
          <w:sz w:val="24"/>
        </w:rPr>
      </w:pPr>
      <w:r>
        <w:rPr>
          <w:sz w:val="24"/>
        </w:rPr>
        <w:t>重大环境事件（</w:t>
      </w:r>
      <w:r>
        <w:rPr>
          <w:rFonts w:ascii="Times New Roman" w:eastAsia="Times New Roman"/>
          <w:sz w:val="24"/>
        </w:rPr>
        <w:t>I</w:t>
      </w:r>
      <w:r>
        <w:rPr>
          <w:rFonts w:ascii="Times New Roman" w:eastAsia="Times New Roman"/>
          <w:spacing w:val="-1"/>
          <w:sz w:val="24"/>
        </w:rPr>
        <w:t xml:space="preserve"> </w:t>
      </w:r>
      <w:r>
        <w:rPr>
          <w:sz w:val="24"/>
        </w:rPr>
        <w:t>级）</w:t>
      </w:r>
    </w:p>
    <w:p>
      <w:pPr>
        <w:pStyle w:val="10"/>
        <w:spacing w:before="160"/>
        <w:ind w:left="720"/>
      </w:pPr>
      <w:r>
        <w:t>凡符合下列情形之一的，为重大环境事件：</w:t>
      </w:r>
    </w:p>
    <w:p>
      <w:pPr>
        <w:pStyle w:val="10"/>
        <w:spacing w:before="158" w:line="364" w:lineRule="auto"/>
        <w:ind w:left="240" w:right="145" w:firstLine="480"/>
      </w:pPr>
      <w:r>
        <w:rPr>
          <w:rFonts w:hint="eastAsia" w:ascii="宋体" w:hAnsi="宋体" w:eastAsia="宋体"/>
        </w:rPr>
        <w:t>①</w:t>
      </w:r>
      <w:r>
        <w:rPr>
          <w:spacing w:val="-1"/>
        </w:rPr>
        <w:t>操作失误、违章作业，电气线路、电气设备运行时短路、过载、接触不良、散热不良、</w:t>
      </w:r>
      <w:r>
        <w:rPr>
          <w:spacing w:val="-10"/>
        </w:rPr>
        <w:t>漏电、断线碰壳、绝缘老化损坏，可燃</w:t>
      </w:r>
      <w:r>
        <w:rPr>
          <w:rFonts w:hint="eastAsia"/>
          <w:spacing w:val="-10"/>
        </w:rPr>
        <w:t>、有毒液态</w:t>
      </w:r>
      <w:r>
        <w:rPr>
          <w:spacing w:val="-10"/>
        </w:rPr>
        <w:t>泄漏以及原材料等管理不善，导致大规模火灾爆炸，造成人员中毒或伤亡，依靠厂区应急力量无法控制的。</w:t>
      </w:r>
    </w:p>
    <w:p>
      <w:pPr>
        <w:pStyle w:val="10"/>
        <w:spacing w:line="364" w:lineRule="auto"/>
        <w:ind w:left="240" w:right="237" w:firstLine="480"/>
      </w:pPr>
      <w:r>
        <w:rPr>
          <w:rFonts w:hint="eastAsia" w:ascii="宋体" w:hAnsi="宋体" w:eastAsia="宋体"/>
        </w:rPr>
        <w:t>②</w:t>
      </w:r>
      <w:r>
        <w:rPr>
          <w:rFonts w:hint="eastAsia"/>
          <w:spacing w:val="-7"/>
        </w:rPr>
        <w:t>可燃</w:t>
      </w:r>
      <w:r>
        <w:rPr>
          <w:spacing w:val="-7"/>
        </w:rPr>
        <w:t>有毒</w:t>
      </w:r>
      <w:r>
        <w:rPr>
          <w:rFonts w:hint="eastAsia"/>
          <w:spacing w:val="-7"/>
        </w:rPr>
        <w:t>液态</w:t>
      </w:r>
      <w:r>
        <w:rPr>
          <w:spacing w:val="-7"/>
        </w:rPr>
        <w:t>输送管道破损，有毒</w:t>
      </w:r>
      <w:r>
        <w:rPr>
          <w:rFonts w:hint="eastAsia"/>
          <w:spacing w:val="-7"/>
        </w:rPr>
        <w:t>液态</w:t>
      </w:r>
      <w:r>
        <w:rPr>
          <w:spacing w:val="-7"/>
        </w:rPr>
        <w:t>泄漏造成环境安全隐患，导致人员中毒或伤</w:t>
      </w:r>
      <w:r>
        <w:t>亡的。</w:t>
      </w:r>
    </w:p>
    <w:p>
      <w:pPr>
        <w:spacing w:line="364" w:lineRule="auto"/>
        <w:sectPr>
          <w:pgSz w:w="11910" w:h="16840"/>
          <w:pgMar w:top="1360" w:right="840" w:bottom="1180" w:left="840" w:header="882" w:footer="993" w:gutter="0"/>
          <w:cols w:space="720" w:num="1"/>
        </w:sectPr>
      </w:pPr>
    </w:p>
    <w:p>
      <w:pPr>
        <w:pStyle w:val="23"/>
        <w:numPr>
          <w:ilvl w:val="0"/>
          <w:numId w:val="13"/>
        </w:numPr>
        <w:tabs>
          <w:tab w:val="left" w:pos="1321"/>
        </w:tabs>
        <w:spacing w:before="64"/>
        <w:rPr>
          <w:sz w:val="24"/>
        </w:rPr>
      </w:pPr>
      <w:r>
        <w:rPr>
          <w:sz w:val="24"/>
        </w:rPr>
        <w:t>较大环境事件（</w:t>
      </w:r>
      <w:r>
        <w:rPr>
          <w:rFonts w:ascii="Times New Roman" w:eastAsia="Times New Roman"/>
          <w:sz w:val="24"/>
        </w:rPr>
        <w:t xml:space="preserve">II </w:t>
      </w:r>
      <w:r>
        <w:rPr>
          <w:sz w:val="24"/>
        </w:rPr>
        <w:t>级）</w:t>
      </w:r>
    </w:p>
    <w:p>
      <w:pPr>
        <w:pStyle w:val="10"/>
        <w:spacing w:before="160"/>
        <w:ind w:left="720"/>
      </w:pPr>
      <w:r>
        <w:t>凡符合下列情形之一的，为较大环境事件：</w:t>
      </w:r>
    </w:p>
    <w:p>
      <w:pPr>
        <w:pStyle w:val="10"/>
        <w:spacing w:before="158" w:line="364" w:lineRule="auto"/>
        <w:ind w:left="240" w:right="145" w:firstLine="480"/>
      </w:pPr>
      <w:r>
        <w:rPr>
          <w:rFonts w:hint="eastAsia" w:ascii="宋体" w:hAnsi="宋体" w:eastAsia="宋体"/>
        </w:rPr>
        <w:t>①</w:t>
      </w:r>
      <w:r>
        <w:rPr>
          <w:spacing w:val="-1"/>
        </w:rPr>
        <w:t>操作失误、违章作业，电气线路、电气设备运行时短路、过载、接触不良、散热不良、</w:t>
      </w:r>
      <w:r>
        <w:rPr>
          <w:spacing w:val="-10"/>
        </w:rPr>
        <w:t>漏电、断线碰壳、绝缘老化损坏等导致电气火灾爆炸，可燃</w:t>
      </w:r>
      <w:r>
        <w:rPr>
          <w:rFonts w:hint="eastAsia"/>
          <w:spacing w:val="-10"/>
        </w:rPr>
        <w:t>液态</w:t>
      </w:r>
      <w:r>
        <w:rPr>
          <w:spacing w:val="-10"/>
        </w:rPr>
        <w:t>泄漏以及原材料、</w:t>
      </w:r>
      <w:r>
        <w:rPr>
          <w:spacing w:val="-11"/>
        </w:rPr>
        <w:t>成品等管理不善，导致火灾爆炸，未造成人员中毒或伤亡，环境影响依靠厂区应急力量可以控制的。</w:t>
      </w:r>
    </w:p>
    <w:p>
      <w:pPr>
        <w:pStyle w:val="10"/>
        <w:spacing w:line="364" w:lineRule="auto"/>
        <w:ind w:left="240" w:right="237" w:firstLine="480"/>
      </w:pPr>
      <w:r>
        <w:rPr>
          <w:rFonts w:hint="eastAsia" w:ascii="宋体" w:hAnsi="宋体" w:eastAsia="宋体"/>
        </w:rPr>
        <w:t>②</w:t>
      </w:r>
      <w:r>
        <w:rPr>
          <w:rFonts w:hint="eastAsia"/>
          <w:spacing w:val="-7"/>
        </w:rPr>
        <w:t>油墨</w:t>
      </w:r>
      <w:r>
        <w:rPr>
          <w:spacing w:val="-7"/>
        </w:rPr>
        <w:t>等有毒</w:t>
      </w:r>
      <w:r>
        <w:rPr>
          <w:rFonts w:hint="eastAsia"/>
          <w:spacing w:val="-7"/>
        </w:rPr>
        <w:t>液态</w:t>
      </w:r>
      <w:r>
        <w:rPr>
          <w:spacing w:val="-7"/>
        </w:rPr>
        <w:t>输送管道破损，有毒</w:t>
      </w:r>
      <w:r>
        <w:rPr>
          <w:rFonts w:hint="eastAsia"/>
          <w:spacing w:val="-7"/>
        </w:rPr>
        <w:t>液态</w:t>
      </w:r>
      <w:r>
        <w:rPr>
          <w:spacing w:val="-7"/>
        </w:rPr>
        <w:t>泄漏造成环境安全隐患，未造成人员中毒或</w:t>
      </w:r>
      <w:r>
        <w:t>伤亡，可依靠厂区应急能力及时处置的。</w:t>
      </w:r>
    </w:p>
    <w:p>
      <w:pPr>
        <w:pStyle w:val="10"/>
        <w:ind w:left="720"/>
      </w:pPr>
      <w:r>
        <w:rPr>
          <w:rFonts w:hint="eastAsia" w:ascii="宋体" w:hAnsi="宋体" w:eastAsia="宋体"/>
        </w:rPr>
        <w:t>③</w:t>
      </w:r>
      <w:r>
        <w:t>机械故障等导致</w:t>
      </w:r>
      <w:r>
        <w:rPr>
          <w:rFonts w:hint="eastAsia"/>
        </w:rPr>
        <w:t>热切工序与印刷</w:t>
      </w:r>
      <w:r>
        <w:t>等废气</w:t>
      </w:r>
      <w:r>
        <w:rPr>
          <w:rFonts w:hint="eastAsia"/>
        </w:rPr>
        <w:t>集气罩收集</w:t>
      </w:r>
      <w:r>
        <w:t>治理设施停止运行，废气大量泄漏造成环境污染的。</w:t>
      </w:r>
    </w:p>
    <w:p>
      <w:pPr>
        <w:pStyle w:val="23"/>
        <w:numPr>
          <w:ilvl w:val="0"/>
          <w:numId w:val="13"/>
        </w:numPr>
        <w:tabs>
          <w:tab w:val="left" w:pos="1321"/>
        </w:tabs>
        <w:spacing w:before="157"/>
        <w:rPr>
          <w:sz w:val="24"/>
        </w:rPr>
      </w:pPr>
      <w:r>
        <w:rPr>
          <w:sz w:val="24"/>
        </w:rPr>
        <w:t>一般环境事件（</w:t>
      </w:r>
      <w:r>
        <w:rPr>
          <w:rFonts w:ascii="Times New Roman" w:eastAsia="Times New Roman"/>
          <w:sz w:val="24"/>
        </w:rPr>
        <w:t>III</w:t>
      </w:r>
      <w:r>
        <w:rPr>
          <w:rFonts w:ascii="Times New Roman" w:eastAsia="Times New Roman"/>
          <w:spacing w:val="3"/>
          <w:sz w:val="24"/>
        </w:rPr>
        <w:t xml:space="preserve"> </w:t>
      </w:r>
      <w:r>
        <w:rPr>
          <w:sz w:val="24"/>
        </w:rPr>
        <w:t>级）</w:t>
      </w:r>
    </w:p>
    <w:p>
      <w:pPr>
        <w:pStyle w:val="10"/>
        <w:spacing w:before="158"/>
        <w:ind w:left="720"/>
      </w:pPr>
      <w:r>
        <w:t>凡符合下列情形之一的，为一般环境事件：</w:t>
      </w:r>
    </w:p>
    <w:p>
      <w:pPr>
        <w:pStyle w:val="10"/>
        <w:spacing w:before="161"/>
        <w:ind w:left="720"/>
      </w:pPr>
      <w:r>
        <w:rPr>
          <w:rFonts w:hint="eastAsia" w:ascii="宋体" w:hAnsi="宋体" w:eastAsia="宋体"/>
        </w:rPr>
        <w:t>①</w:t>
      </w:r>
      <w:r>
        <w:t>机械故障等导致</w:t>
      </w:r>
      <w:r>
        <w:rPr>
          <w:rFonts w:hint="eastAsia"/>
        </w:rPr>
        <w:t>热切工序与印刷</w:t>
      </w:r>
      <w:r>
        <w:t>等废气</w:t>
      </w:r>
      <w:r>
        <w:rPr>
          <w:rFonts w:hint="eastAsia"/>
        </w:rPr>
        <w:t>集气罩收集治</w:t>
      </w:r>
      <w:r>
        <w:t>理设施效率下降，废气泄漏造成环境污染的。</w:t>
      </w:r>
    </w:p>
    <w:p>
      <w:pPr>
        <w:pStyle w:val="10"/>
        <w:spacing w:before="160" w:line="362" w:lineRule="auto"/>
        <w:ind w:left="240" w:right="237" w:firstLine="480"/>
      </w:pPr>
      <w:r>
        <w:rPr>
          <w:rFonts w:hint="eastAsia" w:ascii="宋体" w:hAnsi="宋体" w:eastAsia="宋体"/>
        </w:rPr>
        <w:t>②</w:t>
      </w:r>
      <w:r>
        <w:rPr>
          <w:spacing w:val="-9"/>
        </w:rPr>
        <w:t>因管理不善，人为事故，随意丢弃危废，或一般固废与废</w:t>
      </w:r>
      <w:r>
        <w:rPr>
          <w:rFonts w:hint="eastAsia"/>
          <w:spacing w:val="-9"/>
        </w:rPr>
        <w:t>油墨罐、废机油</w:t>
      </w:r>
      <w:r>
        <w:rPr>
          <w:spacing w:val="-9"/>
        </w:rPr>
        <w:t>等危废混装，造成危废弃</w:t>
      </w:r>
      <w:r>
        <w:t>置、泄漏的。</w:t>
      </w:r>
    </w:p>
    <w:p>
      <w:pPr>
        <w:pStyle w:val="10"/>
        <w:spacing w:before="5" w:line="362" w:lineRule="auto"/>
        <w:ind w:left="240" w:right="237" w:firstLine="480"/>
      </w:pPr>
      <w:r>
        <w:rPr>
          <w:rFonts w:hint="eastAsia" w:ascii="宋体" w:hAnsi="宋体" w:eastAsia="宋体"/>
        </w:rPr>
        <w:t>③</w:t>
      </w:r>
      <w:r>
        <w:rPr>
          <w:spacing w:val="-10"/>
        </w:rPr>
        <w:t>因管理不善，人为事故，容器破损等导致</w:t>
      </w:r>
      <w:r>
        <w:rPr>
          <w:rFonts w:hint="eastAsia"/>
          <w:spacing w:val="-10"/>
        </w:rPr>
        <w:t>油墨</w:t>
      </w:r>
      <w:r>
        <w:rPr>
          <w:spacing w:val="-10"/>
        </w:rPr>
        <w:t>泄漏，造成环境安全隐患，污</w:t>
      </w:r>
      <w:r>
        <w:t>染周边环境的。</w:t>
      </w:r>
    </w:p>
    <w:p>
      <w:pPr>
        <w:pStyle w:val="10"/>
        <w:spacing w:before="5"/>
        <w:ind w:left="720"/>
      </w:pPr>
      <w:r>
        <w:t xml:space="preserve">具体分级指标见表 </w:t>
      </w:r>
      <w:r>
        <w:rPr>
          <w:rFonts w:ascii="Times New Roman" w:eastAsia="Times New Roman"/>
        </w:rPr>
        <w:t>1.4-1</w:t>
      </w:r>
      <w:r>
        <w:t>。</w:t>
      </w:r>
    </w:p>
    <w:p>
      <w:pPr>
        <w:pStyle w:val="9"/>
        <w:tabs>
          <w:tab w:val="left" w:pos="1051"/>
        </w:tabs>
        <w:spacing w:before="158"/>
        <w:ind w:left="12"/>
      </w:pPr>
      <w:r>
        <w:t>表</w:t>
      </w:r>
      <w:r>
        <w:rPr>
          <w:spacing w:val="-62"/>
        </w:rPr>
        <w:t xml:space="preserve"> </w:t>
      </w:r>
      <w:r>
        <w:rPr>
          <w:rFonts w:ascii="Times New Roman" w:eastAsia="Times New Roman"/>
        </w:rPr>
        <w:t>1.4-1</w:t>
      </w:r>
      <w:r>
        <w:rPr>
          <w:rFonts w:ascii="Times New Roman" w:eastAsia="Times New Roman"/>
        </w:rPr>
        <w:tab/>
      </w:r>
      <w:r>
        <w:t>突发环境事件分级标准一览表</w:t>
      </w:r>
    </w:p>
    <w:p>
      <w:pPr>
        <w:pStyle w:val="10"/>
        <w:spacing w:before="5"/>
        <w:rPr>
          <w:b/>
          <w:sz w:val="12"/>
        </w:rPr>
      </w:pPr>
    </w:p>
    <w:tbl>
      <w:tblPr>
        <w:tblStyle w:val="15"/>
        <w:tblW w:w="0" w:type="auto"/>
        <w:tblInd w:w="12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01"/>
        <w:gridCol w:w="825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601" w:type="dxa"/>
            <w:tcBorders>
              <w:left w:val="nil"/>
              <w:bottom w:val="single" w:color="000000" w:sz="4" w:space="0"/>
              <w:right w:val="single" w:color="000000" w:sz="4" w:space="0"/>
            </w:tcBorders>
          </w:tcPr>
          <w:p>
            <w:pPr>
              <w:pStyle w:val="24"/>
              <w:spacing w:before="33"/>
              <w:ind w:left="163" w:right="130"/>
              <w:jc w:val="center"/>
              <w:rPr>
                <w:b/>
                <w:sz w:val="21"/>
              </w:rPr>
            </w:pPr>
            <w:r>
              <w:rPr>
                <w:b/>
                <w:sz w:val="21"/>
              </w:rPr>
              <w:t>事件分级</w:t>
            </w:r>
          </w:p>
        </w:tc>
        <w:tc>
          <w:tcPr>
            <w:tcW w:w="8253" w:type="dxa"/>
            <w:tcBorders>
              <w:left w:val="single" w:color="000000" w:sz="4" w:space="0"/>
              <w:bottom w:val="single" w:color="000000" w:sz="4" w:space="0"/>
              <w:right w:val="nil"/>
            </w:tcBorders>
          </w:tcPr>
          <w:p>
            <w:pPr>
              <w:pStyle w:val="24"/>
              <w:spacing w:before="33"/>
              <w:ind w:left="3694" w:right="3670"/>
              <w:jc w:val="center"/>
              <w:rPr>
                <w:b/>
                <w:sz w:val="21"/>
              </w:rPr>
            </w:pPr>
            <w:r>
              <w:rPr>
                <w:b/>
                <w:sz w:val="21"/>
              </w:rPr>
              <w:t>分级标准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34" w:hRule="atLeast"/>
        </w:trPr>
        <w:tc>
          <w:tcPr>
            <w:tcW w:w="1601" w:type="dxa"/>
            <w:tcBorders>
              <w:top w:val="single" w:color="000000" w:sz="4" w:space="0"/>
              <w:left w:val="nil"/>
              <w:bottom w:val="single" w:color="000000" w:sz="4" w:space="0"/>
              <w:right w:val="single" w:color="000000" w:sz="4" w:space="0"/>
            </w:tcBorders>
          </w:tcPr>
          <w:p>
            <w:pPr>
              <w:pStyle w:val="24"/>
              <w:rPr>
                <w:b/>
                <w:sz w:val="20"/>
              </w:rPr>
            </w:pPr>
          </w:p>
          <w:p>
            <w:pPr>
              <w:pStyle w:val="24"/>
              <w:spacing w:before="6"/>
              <w:rPr>
                <w:b/>
              </w:rPr>
            </w:pPr>
          </w:p>
          <w:p>
            <w:pPr>
              <w:pStyle w:val="24"/>
              <w:ind w:left="163" w:right="132"/>
              <w:jc w:val="center"/>
              <w:rPr>
                <w:sz w:val="21"/>
              </w:rPr>
            </w:pPr>
            <w:r>
              <w:rPr>
                <w:sz w:val="21"/>
              </w:rPr>
              <w:t>重大环境事件</w:t>
            </w:r>
          </w:p>
          <w:p>
            <w:pPr>
              <w:pStyle w:val="24"/>
              <w:spacing w:before="2"/>
              <w:ind w:left="163" w:right="132"/>
              <w:jc w:val="center"/>
              <w:rPr>
                <w:sz w:val="21"/>
              </w:rPr>
            </w:pPr>
            <w:r>
              <w:rPr>
                <w:sz w:val="21"/>
              </w:rPr>
              <w:t>（</w:t>
            </w:r>
            <w:r>
              <w:rPr>
                <w:rFonts w:ascii="Times New Roman" w:eastAsia="Times New Roman"/>
                <w:sz w:val="21"/>
              </w:rPr>
              <w:t xml:space="preserve">I </w:t>
            </w:r>
            <w:r>
              <w:rPr>
                <w:sz w:val="21"/>
              </w:rPr>
              <w:t>级）</w:t>
            </w:r>
          </w:p>
        </w:tc>
        <w:tc>
          <w:tcPr>
            <w:tcW w:w="8253" w:type="dxa"/>
            <w:tcBorders>
              <w:top w:val="single" w:color="000000" w:sz="4" w:space="0"/>
              <w:left w:val="single" w:color="000000" w:sz="4" w:space="0"/>
              <w:bottom w:val="single" w:color="000000" w:sz="4" w:space="0"/>
              <w:right w:val="nil"/>
            </w:tcBorders>
          </w:tcPr>
          <w:p>
            <w:pPr>
              <w:pStyle w:val="24"/>
              <w:spacing w:line="242" w:lineRule="auto"/>
              <w:ind w:left="117" w:right="93" w:firstLine="420"/>
              <w:jc w:val="both"/>
              <w:rPr>
                <w:sz w:val="21"/>
              </w:rPr>
            </w:pPr>
            <w:r>
              <w:rPr>
                <w:rFonts w:hint="eastAsia" w:ascii="宋体" w:hAnsi="宋体" w:eastAsia="宋体"/>
                <w:sz w:val="21"/>
              </w:rPr>
              <w:t>①</w:t>
            </w:r>
            <w:r>
              <w:rPr>
                <w:sz w:val="21"/>
              </w:rPr>
              <w:t>操作失误、违章作业，电气线路、电气设备运行时短路、过载、接触不良、散热不良、漏电、断线碰壳、绝缘老化损坏，</w:t>
            </w:r>
            <w:r>
              <w:rPr>
                <w:rFonts w:hint="eastAsia"/>
                <w:sz w:val="21"/>
              </w:rPr>
              <w:t>油墨</w:t>
            </w:r>
            <w:r>
              <w:rPr>
                <w:sz w:val="21"/>
              </w:rPr>
              <w:t>等可燃</w:t>
            </w:r>
            <w:r>
              <w:rPr>
                <w:rFonts w:hint="eastAsia"/>
                <w:sz w:val="21"/>
              </w:rPr>
              <w:t>液态</w:t>
            </w:r>
            <w:r>
              <w:rPr>
                <w:sz w:val="21"/>
              </w:rPr>
              <w:t>泄漏以及原材料、成品等管理不善，导致大规模火灾爆炸，造成人员中毒或伤亡，依靠厂区应急力量无法控制的。</w:t>
            </w:r>
          </w:p>
          <w:p>
            <w:pPr>
              <w:pStyle w:val="24"/>
              <w:spacing w:before="1" w:line="270" w:lineRule="atLeast"/>
              <w:ind w:left="117" w:right="93" w:firstLine="420"/>
              <w:rPr>
                <w:sz w:val="21"/>
              </w:rPr>
            </w:pPr>
            <w:r>
              <w:rPr>
                <w:rFonts w:hint="eastAsia" w:ascii="宋体" w:hAnsi="宋体" w:eastAsia="宋体"/>
                <w:sz w:val="21"/>
              </w:rPr>
              <w:t>②</w:t>
            </w:r>
            <w:r>
              <w:rPr>
                <w:rFonts w:hint="eastAsia"/>
                <w:sz w:val="21"/>
              </w:rPr>
              <w:t>油墨、乙烯</w:t>
            </w:r>
            <w:r>
              <w:rPr>
                <w:rFonts w:hint="eastAsia"/>
                <w:sz w:val="21"/>
                <w:lang w:val="en-US"/>
              </w:rPr>
              <w:t>-醋酸乙烯共聚特（EVA）</w:t>
            </w:r>
            <w:r>
              <w:rPr>
                <w:sz w:val="21"/>
              </w:rPr>
              <w:t>有毒</w:t>
            </w:r>
            <w:r>
              <w:rPr>
                <w:rFonts w:hint="eastAsia"/>
                <w:sz w:val="21"/>
              </w:rPr>
              <w:t>液态</w:t>
            </w:r>
            <w:r>
              <w:rPr>
                <w:sz w:val="21"/>
              </w:rPr>
              <w:t>输送管道破损，有毒</w:t>
            </w:r>
            <w:r>
              <w:rPr>
                <w:rFonts w:hint="eastAsia"/>
                <w:sz w:val="21"/>
              </w:rPr>
              <w:t>液态</w:t>
            </w:r>
            <w:r>
              <w:rPr>
                <w:sz w:val="21"/>
              </w:rPr>
              <w:t>泄漏造成环境安全隐患，导致人员中毒或伤亡的。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177" w:hRule="atLeast"/>
        </w:trPr>
        <w:tc>
          <w:tcPr>
            <w:tcW w:w="1601" w:type="dxa"/>
            <w:tcBorders>
              <w:top w:val="single" w:color="000000" w:sz="4" w:space="0"/>
              <w:left w:val="nil"/>
              <w:bottom w:val="single" w:color="000000" w:sz="4" w:space="0"/>
              <w:right w:val="single" w:color="000000" w:sz="4" w:space="0"/>
            </w:tcBorders>
          </w:tcPr>
          <w:p>
            <w:pPr>
              <w:pStyle w:val="24"/>
              <w:rPr>
                <w:b/>
                <w:sz w:val="20"/>
              </w:rPr>
            </w:pPr>
          </w:p>
          <w:p>
            <w:pPr>
              <w:pStyle w:val="24"/>
              <w:rPr>
                <w:b/>
                <w:sz w:val="20"/>
              </w:rPr>
            </w:pPr>
          </w:p>
          <w:p>
            <w:pPr>
              <w:pStyle w:val="24"/>
              <w:spacing w:before="8"/>
              <w:rPr>
                <w:b/>
                <w:sz w:val="23"/>
              </w:rPr>
            </w:pPr>
          </w:p>
          <w:p>
            <w:pPr>
              <w:pStyle w:val="24"/>
              <w:ind w:left="163" w:right="132"/>
              <w:jc w:val="center"/>
              <w:rPr>
                <w:sz w:val="21"/>
              </w:rPr>
            </w:pPr>
            <w:r>
              <w:rPr>
                <w:sz w:val="21"/>
              </w:rPr>
              <w:t>较大环境事件</w:t>
            </w:r>
          </w:p>
          <w:p>
            <w:pPr>
              <w:pStyle w:val="24"/>
              <w:spacing w:before="5"/>
              <w:ind w:left="163" w:right="132"/>
              <w:jc w:val="center"/>
              <w:rPr>
                <w:sz w:val="21"/>
              </w:rPr>
            </w:pPr>
            <w:r>
              <w:rPr>
                <w:sz w:val="21"/>
              </w:rPr>
              <w:t>（</w:t>
            </w:r>
            <w:r>
              <w:rPr>
                <w:rFonts w:ascii="Times New Roman" w:eastAsia="Times New Roman"/>
                <w:sz w:val="21"/>
              </w:rPr>
              <w:t xml:space="preserve">II </w:t>
            </w:r>
            <w:r>
              <w:rPr>
                <w:sz w:val="21"/>
              </w:rPr>
              <w:t>级）</w:t>
            </w:r>
          </w:p>
        </w:tc>
        <w:tc>
          <w:tcPr>
            <w:tcW w:w="8253" w:type="dxa"/>
            <w:tcBorders>
              <w:top w:val="single" w:color="000000" w:sz="4" w:space="0"/>
              <w:left w:val="single" w:color="000000" w:sz="4" w:space="0"/>
              <w:bottom w:val="single" w:color="000000" w:sz="4" w:space="0"/>
              <w:right w:val="nil"/>
            </w:tcBorders>
          </w:tcPr>
          <w:p>
            <w:pPr>
              <w:pStyle w:val="24"/>
              <w:spacing w:line="242" w:lineRule="auto"/>
              <w:ind w:left="556" w:leftChars="243" w:right="93" w:hanging="21" w:hangingChars="10"/>
              <w:jc w:val="both"/>
              <w:rPr>
                <w:sz w:val="21"/>
              </w:rPr>
            </w:pPr>
            <w:r>
              <w:rPr>
                <w:rFonts w:hint="eastAsia" w:ascii="宋体" w:hAnsi="宋体" w:eastAsia="宋体"/>
                <w:sz w:val="21"/>
              </w:rPr>
              <w:t>①</w:t>
            </w:r>
            <w:r>
              <w:rPr>
                <w:sz w:val="21"/>
              </w:rPr>
              <w:t>操作失误、违章作业，电气线路、电气设备运行时短路、过载、接触不良、散热不良、漏电、断线碰壳、绝缘老化损坏等导致电气火灾爆炸，</w:t>
            </w:r>
            <w:r>
              <w:rPr>
                <w:rFonts w:hint="eastAsia"/>
                <w:sz w:val="21"/>
              </w:rPr>
              <w:t>油墨</w:t>
            </w:r>
            <w:r>
              <w:rPr>
                <w:sz w:val="21"/>
              </w:rPr>
              <w:t>等可燃</w:t>
            </w:r>
            <w:r>
              <w:rPr>
                <w:rFonts w:hint="eastAsia"/>
                <w:sz w:val="21"/>
              </w:rPr>
              <w:t>液态</w:t>
            </w:r>
            <w:r>
              <w:rPr>
                <w:sz w:val="21"/>
              </w:rPr>
              <w:t>泄漏以及原材料，导致火灾爆炸，未造成人员中毒或伤亡，环境影响依靠厂区应急力量可以控制的。</w:t>
            </w:r>
          </w:p>
          <w:p>
            <w:pPr>
              <w:pStyle w:val="24"/>
              <w:spacing w:before="2" w:line="242" w:lineRule="auto"/>
              <w:ind w:left="556" w:leftChars="243" w:right="93" w:hanging="21" w:hangingChars="10"/>
              <w:rPr>
                <w:sz w:val="21"/>
              </w:rPr>
            </w:pPr>
            <w:r>
              <w:rPr>
                <w:rFonts w:hint="eastAsia" w:ascii="宋体" w:hAnsi="宋体" w:eastAsia="宋体"/>
                <w:sz w:val="21"/>
              </w:rPr>
              <w:t>②</w:t>
            </w:r>
            <w:r>
              <w:rPr>
                <w:rFonts w:hint="eastAsia"/>
                <w:sz w:val="21"/>
              </w:rPr>
              <w:t>油墨、乙烯</w:t>
            </w:r>
            <w:r>
              <w:rPr>
                <w:rFonts w:hint="eastAsia"/>
                <w:sz w:val="21"/>
                <w:lang w:val="en-US"/>
              </w:rPr>
              <w:t>-醋酸乙烯共聚特（EVA）</w:t>
            </w:r>
            <w:r>
              <w:rPr>
                <w:rFonts w:hint="eastAsia"/>
                <w:sz w:val="21"/>
              </w:rPr>
              <w:t>等有毒液态</w:t>
            </w:r>
            <w:r>
              <w:rPr>
                <w:sz w:val="21"/>
              </w:rPr>
              <w:t>输送管道破损，有毒</w:t>
            </w:r>
            <w:r>
              <w:rPr>
                <w:rFonts w:hint="eastAsia"/>
                <w:sz w:val="21"/>
              </w:rPr>
              <w:t>液态</w:t>
            </w:r>
            <w:r>
              <w:rPr>
                <w:sz w:val="21"/>
              </w:rPr>
              <w:t>泄漏造成环境安全隐患，未造成人员中毒或伤亡，可依靠厂区应急能力及时处置的。</w:t>
            </w:r>
          </w:p>
          <w:p>
            <w:pPr>
              <w:pStyle w:val="24"/>
              <w:spacing w:before="1"/>
              <w:ind w:left="537"/>
              <w:rPr>
                <w:sz w:val="21"/>
              </w:rPr>
            </w:pPr>
            <w:r>
              <w:rPr>
                <w:rFonts w:hint="eastAsia" w:ascii="宋体" w:hAnsi="宋体" w:eastAsia="宋体"/>
                <w:sz w:val="21"/>
              </w:rPr>
              <w:t>③</w:t>
            </w:r>
            <w:r>
              <w:t>机械故障等导致</w:t>
            </w:r>
            <w:r>
              <w:rPr>
                <w:rFonts w:hint="eastAsia"/>
              </w:rPr>
              <w:t>热切工序与印刷</w:t>
            </w:r>
            <w:r>
              <w:t>等废气</w:t>
            </w:r>
            <w:r>
              <w:rPr>
                <w:rFonts w:hint="eastAsia"/>
              </w:rPr>
              <w:t>集气罩收集治</w:t>
            </w:r>
            <w:r>
              <w:t>理设施</w:t>
            </w:r>
            <w:r>
              <w:rPr>
                <w:rFonts w:hint="eastAsia"/>
              </w:rPr>
              <w:t>停止运行</w:t>
            </w:r>
            <w:r>
              <w:rPr>
                <w:sz w:val="21"/>
              </w:rPr>
              <w:t>，废气大量泄漏造成环境污染的。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trPr>
        <w:tc>
          <w:tcPr>
            <w:tcW w:w="1601" w:type="dxa"/>
            <w:tcBorders>
              <w:top w:val="single" w:color="000000" w:sz="4" w:space="0"/>
              <w:left w:val="nil"/>
              <w:right w:val="single" w:color="000000" w:sz="4" w:space="0"/>
            </w:tcBorders>
          </w:tcPr>
          <w:p>
            <w:pPr>
              <w:pStyle w:val="24"/>
              <w:spacing w:before="34"/>
              <w:ind w:left="163" w:right="132"/>
              <w:jc w:val="center"/>
              <w:rPr>
                <w:sz w:val="21"/>
              </w:rPr>
            </w:pPr>
            <w:r>
              <w:rPr>
                <w:sz w:val="21"/>
              </w:rPr>
              <w:t>一般环境事件</w:t>
            </w:r>
          </w:p>
        </w:tc>
        <w:tc>
          <w:tcPr>
            <w:tcW w:w="8253" w:type="dxa"/>
            <w:tcBorders>
              <w:top w:val="single" w:color="000000" w:sz="4" w:space="0"/>
              <w:left w:val="single" w:color="000000" w:sz="4" w:space="0"/>
              <w:right w:val="nil"/>
            </w:tcBorders>
          </w:tcPr>
          <w:p>
            <w:pPr>
              <w:pStyle w:val="24"/>
              <w:spacing w:before="34"/>
              <w:ind w:left="537" w:right="-15"/>
              <w:rPr>
                <w:sz w:val="21"/>
              </w:rPr>
            </w:pPr>
            <w:r>
              <w:rPr>
                <w:rFonts w:hint="eastAsia" w:ascii="宋体" w:hAnsi="宋体" w:eastAsia="宋体"/>
                <w:w w:val="95"/>
                <w:sz w:val="21"/>
              </w:rPr>
              <w:t>①</w:t>
            </w:r>
            <w:r>
              <w:t>机械故障等导致</w:t>
            </w:r>
            <w:r>
              <w:rPr>
                <w:rFonts w:hint="eastAsia"/>
              </w:rPr>
              <w:t>热切工序与印刷</w:t>
            </w:r>
            <w:r>
              <w:t>等废气</w:t>
            </w:r>
            <w:r>
              <w:rPr>
                <w:rFonts w:hint="eastAsia"/>
              </w:rPr>
              <w:t>集气罩收集治</w:t>
            </w:r>
            <w:r>
              <w:t>理设施</w:t>
            </w:r>
            <w:r>
              <w:rPr>
                <w:spacing w:val="-3"/>
                <w:w w:val="95"/>
                <w:sz w:val="21"/>
              </w:rPr>
              <w:t>效率下降，废气泄漏造成环境污染的。</w:t>
            </w:r>
          </w:p>
        </w:tc>
      </w:tr>
    </w:tbl>
    <w:p>
      <w:pPr>
        <w:rPr>
          <w:sz w:val="21"/>
        </w:rPr>
        <w:sectPr>
          <w:pgSz w:w="11910" w:h="16840"/>
          <w:pgMar w:top="1360" w:right="840" w:bottom="1180" w:left="840" w:header="882" w:footer="993" w:gutter="0"/>
          <w:cols w:space="720" w:num="1"/>
        </w:sectPr>
      </w:pPr>
    </w:p>
    <w:p>
      <w:pPr>
        <w:pStyle w:val="10"/>
        <w:spacing w:before="11"/>
        <w:rPr>
          <w:b/>
          <w:sz w:val="4"/>
        </w:rPr>
      </w:pPr>
    </w:p>
    <w:p>
      <w:pPr>
        <w:pStyle w:val="10"/>
        <w:ind w:left="117"/>
        <w:rPr>
          <w:sz w:val="20"/>
        </w:rPr>
      </w:pPr>
      <w:r>
        <w:rPr>
          <w:sz w:val="20"/>
        </w:rPr>
        <mc:AlternateContent>
          <mc:Choice Requires="wpg">
            <w:drawing>
              <wp:inline distT="0" distB="0" distL="114300" distR="114300">
                <wp:extent cx="6256655" cy="1062355"/>
                <wp:effectExtent l="0" t="0" r="10795" b="4445"/>
                <wp:docPr id="16" name="组合 3"/>
                <wp:cNvGraphicFramePr/>
                <a:graphic xmlns:a="http://schemas.openxmlformats.org/drawingml/2006/main">
                  <a:graphicData uri="http://schemas.microsoft.com/office/word/2010/wordprocessingGroup">
                    <wpg:wgp>
                      <wpg:cNvGrpSpPr/>
                      <wpg:grpSpPr>
                        <a:xfrm>
                          <a:off x="0" y="0"/>
                          <a:ext cx="6256655" cy="1062355"/>
                          <a:chOff x="0" y="0"/>
                          <a:chExt cx="9853" cy="1673"/>
                        </a:xfrm>
                      </wpg:grpSpPr>
                      <wps:wsp>
                        <wps:cNvPr id="3" name="直线 4"/>
                        <wps:cNvSpPr/>
                        <wps:spPr>
                          <a:xfrm>
                            <a:off x="0" y="14"/>
                            <a:ext cx="9853" cy="0"/>
                          </a:xfrm>
                          <a:prstGeom prst="line">
                            <a:avLst/>
                          </a:prstGeom>
                          <a:ln w="18288" cap="flat" cmpd="sng">
                            <a:solidFill>
                              <a:srgbClr val="000000"/>
                            </a:solidFill>
                            <a:prstDash val="solid"/>
                            <a:headEnd type="none" w="med" len="med"/>
                            <a:tailEnd type="none" w="med" len="med"/>
                          </a:ln>
                        </wps:spPr>
                        <wps:bodyPr upright="1"/>
                      </wps:wsp>
                      <wps:wsp>
                        <wps:cNvPr id="6" name="直线 5"/>
                        <wps:cNvSpPr/>
                        <wps:spPr>
                          <a:xfrm>
                            <a:off x="0" y="1658"/>
                            <a:ext cx="9853" cy="0"/>
                          </a:xfrm>
                          <a:prstGeom prst="line">
                            <a:avLst/>
                          </a:prstGeom>
                          <a:ln w="18288" cap="flat" cmpd="sng">
                            <a:solidFill>
                              <a:srgbClr val="000000"/>
                            </a:solidFill>
                            <a:prstDash val="solid"/>
                            <a:headEnd type="none" w="med" len="med"/>
                            <a:tailEnd type="none" w="med" len="med"/>
                          </a:ln>
                        </wps:spPr>
                        <wps:bodyPr upright="1"/>
                      </wps:wsp>
                      <wps:wsp>
                        <wps:cNvPr id="8" name="直线 6"/>
                        <wps:cNvSpPr/>
                        <wps:spPr>
                          <a:xfrm>
                            <a:off x="1601" y="29"/>
                            <a:ext cx="0" cy="1615"/>
                          </a:xfrm>
                          <a:prstGeom prst="line">
                            <a:avLst/>
                          </a:prstGeom>
                          <a:ln w="6096" cap="flat" cmpd="sng">
                            <a:solidFill>
                              <a:srgbClr val="000000"/>
                            </a:solidFill>
                            <a:prstDash val="solid"/>
                            <a:headEnd type="none" w="med" len="med"/>
                            <a:tailEnd type="none" w="med" len="med"/>
                          </a:ln>
                        </wps:spPr>
                        <wps:bodyPr upright="1"/>
                      </wps:wsp>
                      <wps:wsp>
                        <wps:cNvPr id="12" name="文本框 7"/>
                        <wps:cNvSpPr txBox="1"/>
                        <wps:spPr>
                          <a:xfrm>
                            <a:off x="355" y="35"/>
                            <a:ext cx="911" cy="232"/>
                          </a:xfrm>
                          <a:prstGeom prst="rect">
                            <a:avLst/>
                          </a:prstGeom>
                          <a:noFill/>
                          <a:ln>
                            <a:noFill/>
                          </a:ln>
                        </wps:spPr>
                        <wps:txbx>
                          <w:txbxContent>
                            <w:p>
                              <w:pPr>
                                <w:spacing w:line="231" w:lineRule="exact"/>
                                <w:rPr>
                                  <w:sz w:val="21"/>
                                </w:rPr>
                              </w:pPr>
                              <w:r>
                                <w:rPr>
                                  <w:sz w:val="21"/>
                                </w:rPr>
                                <w:t>（</w:t>
                              </w:r>
                              <w:r>
                                <w:rPr>
                                  <w:rFonts w:ascii="Times New Roman" w:eastAsia="Times New Roman"/>
                                  <w:sz w:val="21"/>
                                </w:rPr>
                                <w:t xml:space="preserve">III </w:t>
                              </w:r>
                              <w:r>
                                <w:rPr>
                                  <w:sz w:val="21"/>
                                </w:rPr>
                                <w:t>级）</w:t>
                              </w:r>
                            </w:p>
                          </w:txbxContent>
                        </wps:txbx>
                        <wps:bodyPr lIns="0" tIns="0" rIns="0" bIns="0" upright="1"/>
                      </wps:wsp>
                      <wps:wsp>
                        <wps:cNvPr id="14" name="文本框 8"/>
                        <wps:cNvSpPr txBox="1"/>
                        <wps:spPr>
                          <a:xfrm>
                            <a:off x="1708" y="42"/>
                            <a:ext cx="8056" cy="1570"/>
                          </a:xfrm>
                          <a:prstGeom prst="rect">
                            <a:avLst/>
                          </a:prstGeom>
                          <a:noFill/>
                          <a:ln>
                            <a:noFill/>
                          </a:ln>
                        </wps:spPr>
                        <wps:txbx>
                          <w:txbxContent>
                            <w:p>
                              <w:pPr>
                                <w:spacing w:line="239" w:lineRule="exact"/>
                                <w:ind w:left="420"/>
                                <w:rPr>
                                  <w:sz w:val="21"/>
                                </w:rPr>
                              </w:pPr>
                              <w:r>
                                <w:rPr>
                                  <w:rFonts w:hint="eastAsia" w:ascii="宋体" w:hAnsi="宋体" w:eastAsia="宋体"/>
                                  <w:sz w:val="21"/>
                                </w:rPr>
                                <w:t>②</w:t>
                              </w:r>
                              <w:r>
                                <w:rPr>
                                  <w:sz w:val="21"/>
                                </w:rPr>
                                <w:t>因管理不善，人为事故，随意丢弃危废，或一般固废与废机油</w:t>
                              </w:r>
                              <w:r>
                                <w:rPr>
                                  <w:rFonts w:hint="eastAsia"/>
                                  <w:sz w:val="21"/>
                                </w:rPr>
                                <w:t>墨、废活性</w:t>
                              </w:r>
                              <w:r>
                                <w:rPr>
                                  <w:rFonts w:hint="eastAsia"/>
                                  <w:spacing w:val="-8"/>
                                </w:rPr>
                                <w:t>炭</w:t>
                              </w:r>
                              <w:r>
                                <w:rPr>
                                  <w:rFonts w:hint="eastAsia"/>
                                  <w:sz w:val="21"/>
                                </w:rPr>
                                <w:t>、废油墨罐</w:t>
                              </w:r>
                              <w:r>
                                <w:rPr>
                                  <w:sz w:val="21"/>
                                </w:rPr>
                                <w:t>等危废混装，造成危废弃置、泄漏的。</w:t>
                              </w:r>
                            </w:p>
                            <w:p>
                              <w:pPr>
                                <w:spacing w:before="2" w:line="244" w:lineRule="auto"/>
                                <w:ind w:left="649" w:leftChars="190" w:right="18" w:hanging="231" w:hangingChars="110"/>
                                <w:rPr>
                                  <w:sz w:val="21"/>
                                </w:rPr>
                              </w:pPr>
                              <w:r>
                                <w:rPr>
                                  <w:rFonts w:hint="eastAsia" w:ascii="宋体" w:hAnsi="宋体" w:eastAsia="宋体"/>
                                  <w:sz w:val="21"/>
                                </w:rPr>
                                <w:t>③</w:t>
                              </w:r>
                              <w:r>
                                <w:rPr>
                                  <w:sz w:val="21"/>
                                </w:rPr>
                                <w:t>因管理不善，人为事故，容器破损等导致</w:t>
                              </w:r>
                              <w:r>
                                <w:rPr>
                                  <w:rFonts w:hint="eastAsia"/>
                                  <w:sz w:val="21"/>
                                </w:rPr>
                                <w:t>油墨泄露</w:t>
                              </w:r>
                              <w:r>
                                <w:rPr>
                                  <w:sz w:val="21"/>
                                </w:rPr>
                                <w:t>，造成环境安全隐患，污染周边环境的。</w:t>
                              </w:r>
                            </w:p>
                            <w:p>
                              <w:pPr>
                                <w:spacing w:line="265" w:lineRule="exact"/>
                                <w:ind w:left="420"/>
                                <w:rPr>
                                  <w:sz w:val="21"/>
                                </w:rPr>
                              </w:pPr>
                              <w:r>
                                <w:rPr>
                                  <w:rFonts w:hint="eastAsia" w:ascii="宋体" w:hAnsi="宋体" w:eastAsia="宋体"/>
                                  <w:sz w:val="21"/>
                                </w:rPr>
                                <w:t>④</w:t>
                              </w:r>
                              <w:r>
                                <w:rPr>
                                  <w:sz w:val="21"/>
                                </w:rPr>
                                <w:t>消防废水未有效收集，污染周边环境的。</w:t>
                              </w:r>
                            </w:p>
                          </w:txbxContent>
                        </wps:txbx>
                        <wps:bodyPr lIns="0" tIns="0" rIns="0" bIns="0" upright="1"/>
                      </wps:wsp>
                    </wpg:wgp>
                  </a:graphicData>
                </a:graphic>
              </wp:inline>
            </w:drawing>
          </mc:Choice>
          <mc:Fallback>
            <w:pict>
              <v:group id="组合 3" o:spid="_x0000_s1026" o:spt="203" style="height:83.65pt;width:492.65pt;" coordsize="9853,1673" o:gfxdata="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C8jIy2&#10;1gAAAAUBAAAPAAAAAAAAAAEAIAAAACIAAABkcnMvZG93bnJldi54bWxQSwECFAAUAAAACACHTuJA&#10;b1Hm00ADAAAnDAAADgAAAAAAAAABACAAAAAlAQAAZHJzL2Uyb0RvYy54bWxQSwUGAAAAAAYABgBZ&#10;AQAA1wYAAAAA&#10;">
                <o:lock v:ext="edit" aspectratio="f"/>
                <v:line id="直线 4" o:spid="_x0000_s1026" o:spt="20" style="position:absolute;left:0;top:14;height:0;width:9853;" filled="f" stroked="t" coordsize="21600,21600" o:gfxdata="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63dMugAAANoA&#10;AAAPAAAAAAAAAAEAIAAAACIAAABkcnMvZG93bnJldi54bWxQSwECFAAUAAAACACHTuJAMy8FnjsA&#10;AAA5AAAAEAAAAAAAAAABACAAAAAJAQAAZHJzL3NoYXBleG1sLnhtbFBLBQYAAAAABgAGAFsBAACz&#10;AwAAAAA=&#10;">
                  <v:fill on="f" focussize="0,0"/>
                  <v:stroke weight="1.44pt" color="#000000" joinstyle="round"/>
                  <v:imagedata o:title=""/>
                  <o:lock v:ext="edit" aspectratio="f"/>
                </v:line>
                <v:line id="直线 5" o:spid="_x0000_s1026" o:spt="20" style="position:absolute;left:0;top:1658;height:0;width:9853;" filled="f" stroked="t" coordsize="21600,21600" o:gfxdata="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nNTUugAAANoA&#10;AAAPAAAAAAAAAAEAIAAAACIAAABkcnMvZG93bnJldi54bWxQSwECFAAUAAAACACHTuJAMy8FnjsA&#10;AAA5AAAAEAAAAAAAAAABACAAAAAJAQAAZHJzL3NoYXBleG1sLnhtbFBLBQYAAAAABgAGAFsBAACz&#10;AwAAAAA=&#10;">
                  <v:fill on="f" focussize="0,0"/>
                  <v:stroke weight="1.44pt" color="#000000" joinstyle="round"/>
                  <v:imagedata o:title=""/>
                  <o:lock v:ext="edit" aspectratio="f"/>
                </v:line>
                <v:line id="直线 6" o:spid="_x0000_s1026" o:spt="20" style="position:absolute;left:1601;top:29;height:1615;width:0;" filled="f" stroked="t" coordsize="21600,21600" o:gfxdata="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Uw5S5AAAA2g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line>
                <v:shape id="文本框 7" o:spid="_x0000_s1026" o:spt="202" type="#_x0000_t202" style="position:absolute;left:355;top:35;height:232;width:911;"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1" w:lineRule="exact"/>
                          <w:rPr>
                            <w:sz w:val="21"/>
                          </w:rPr>
                        </w:pPr>
                        <w:r>
                          <w:rPr>
                            <w:sz w:val="21"/>
                          </w:rPr>
                          <w:t>（</w:t>
                        </w:r>
                        <w:r>
                          <w:rPr>
                            <w:rFonts w:ascii="Times New Roman" w:eastAsia="Times New Roman"/>
                            <w:sz w:val="21"/>
                          </w:rPr>
                          <w:t xml:space="preserve">III </w:t>
                        </w:r>
                        <w:r>
                          <w:rPr>
                            <w:sz w:val="21"/>
                          </w:rPr>
                          <w:t>级）</w:t>
                        </w:r>
                      </w:p>
                    </w:txbxContent>
                  </v:textbox>
                </v:shape>
                <v:shape id="文本框 8" o:spid="_x0000_s1026" o:spt="202" type="#_x0000_t202" style="position:absolute;left:1708;top:42;height:1570;width:8056;"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left="420"/>
                          <w:rPr>
                            <w:sz w:val="21"/>
                          </w:rPr>
                        </w:pPr>
                        <w:r>
                          <w:rPr>
                            <w:rFonts w:hint="eastAsia" w:ascii="宋体" w:hAnsi="宋体" w:eastAsia="宋体"/>
                            <w:sz w:val="21"/>
                          </w:rPr>
                          <w:t>②</w:t>
                        </w:r>
                        <w:r>
                          <w:rPr>
                            <w:sz w:val="21"/>
                          </w:rPr>
                          <w:t>因管理不善，人为事故，随意丢弃危废，或一般固废与废机油</w:t>
                        </w:r>
                        <w:r>
                          <w:rPr>
                            <w:rFonts w:hint="eastAsia"/>
                            <w:sz w:val="21"/>
                          </w:rPr>
                          <w:t>墨、废活性</w:t>
                        </w:r>
                        <w:r>
                          <w:rPr>
                            <w:rFonts w:hint="eastAsia"/>
                            <w:spacing w:val="-8"/>
                          </w:rPr>
                          <w:t>炭</w:t>
                        </w:r>
                        <w:r>
                          <w:rPr>
                            <w:rFonts w:hint="eastAsia"/>
                            <w:sz w:val="21"/>
                          </w:rPr>
                          <w:t>、废油墨罐</w:t>
                        </w:r>
                        <w:r>
                          <w:rPr>
                            <w:sz w:val="21"/>
                          </w:rPr>
                          <w:t>等危废混装，造成危废弃置、泄漏的。</w:t>
                        </w:r>
                      </w:p>
                      <w:p>
                        <w:pPr>
                          <w:spacing w:before="2" w:line="244" w:lineRule="auto"/>
                          <w:ind w:left="649" w:leftChars="190" w:right="18" w:hanging="231" w:hangingChars="110"/>
                          <w:rPr>
                            <w:sz w:val="21"/>
                          </w:rPr>
                        </w:pPr>
                        <w:r>
                          <w:rPr>
                            <w:rFonts w:hint="eastAsia" w:ascii="宋体" w:hAnsi="宋体" w:eastAsia="宋体"/>
                            <w:sz w:val="21"/>
                          </w:rPr>
                          <w:t>③</w:t>
                        </w:r>
                        <w:r>
                          <w:rPr>
                            <w:sz w:val="21"/>
                          </w:rPr>
                          <w:t>因管理不善，人为事故，容器破损等导致</w:t>
                        </w:r>
                        <w:r>
                          <w:rPr>
                            <w:rFonts w:hint="eastAsia"/>
                            <w:sz w:val="21"/>
                          </w:rPr>
                          <w:t>油墨泄露</w:t>
                        </w:r>
                        <w:r>
                          <w:rPr>
                            <w:sz w:val="21"/>
                          </w:rPr>
                          <w:t>，造成环境安全隐患，污染周边环境的。</w:t>
                        </w:r>
                      </w:p>
                      <w:p>
                        <w:pPr>
                          <w:spacing w:line="265" w:lineRule="exact"/>
                          <w:ind w:left="420"/>
                          <w:rPr>
                            <w:sz w:val="21"/>
                          </w:rPr>
                        </w:pPr>
                        <w:r>
                          <w:rPr>
                            <w:rFonts w:hint="eastAsia" w:ascii="宋体" w:hAnsi="宋体" w:eastAsia="宋体"/>
                            <w:sz w:val="21"/>
                          </w:rPr>
                          <w:t>④</w:t>
                        </w:r>
                        <w:r>
                          <w:rPr>
                            <w:sz w:val="21"/>
                          </w:rPr>
                          <w:t>消防废水未有效收集，污染周边环境的。</w:t>
                        </w:r>
                      </w:p>
                    </w:txbxContent>
                  </v:textbox>
                </v:shape>
                <w10:wrap type="none"/>
                <w10:anchorlock/>
              </v:group>
            </w:pict>
          </mc:Fallback>
        </mc:AlternateContent>
      </w:r>
    </w:p>
    <w:p>
      <w:pPr>
        <w:pStyle w:val="10"/>
        <w:spacing w:before="6"/>
        <w:rPr>
          <w:b/>
          <w:sz w:val="5"/>
        </w:rPr>
      </w:pPr>
    </w:p>
    <w:p>
      <w:pPr>
        <w:pStyle w:val="6"/>
        <w:numPr>
          <w:ilvl w:val="1"/>
          <w:numId w:val="6"/>
        </w:numPr>
        <w:tabs>
          <w:tab w:val="left" w:pos="766"/>
        </w:tabs>
        <w:spacing w:before="67"/>
      </w:pPr>
      <w:bookmarkStart w:id="20" w:name="1.5_应急预案体系"/>
      <w:bookmarkEnd w:id="20"/>
      <w:bookmarkStart w:id="21" w:name="_bookmark10"/>
      <w:bookmarkEnd w:id="21"/>
      <w:r>
        <w:t>应急预案体系</w:t>
      </w:r>
    </w:p>
    <w:p>
      <w:pPr>
        <w:pStyle w:val="10"/>
        <w:spacing w:before="10"/>
        <w:rPr>
          <w:b/>
          <w:sz w:val="27"/>
        </w:rPr>
      </w:pPr>
    </w:p>
    <w:p>
      <w:pPr>
        <w:pStyle w:val="23"/>
        <w:numPr>
          <w:ilvl w:val="2"/>
          <w:numId w:val="6"/>
        </w:numPr>
        <w:tabs>
          <w:tab w:val="left" w:pos="941"/>
        </w:tabs>
        <w:ind w:left="940" w:hanging="701"/>
        <w:rPr>
          <w:b/>
          <w:sz w:val="28"/>
        </w:rPr>
      </w:pPr>
      <w:bookmarkStart w:id="22" w:name="1.5.1_本项目应急预案组成"/>
      <w:bookmarkEnd w:id="22"/>
      <w:bookmarkStart w:id="23" w:name="_bookmark11"/>
      <w:bookmarkEnd w:id="23"/>
      <w:r>
        <w:rPr>
          <w:b/>
          <w:sz w:val="28"/>
        </w:rPr>
        <w:t>本项目应急预案组成</w:t>
      </w:r>
    </w:p>
    <w:p>
      <w:pPr>
        <w:pStyle w:val="10"/>
        <w:spacing w:before="8"/>
        <w:rPr>
          <w:b/>
          <w:sz w:val="26"/>
        </w:rPr>
      </w:pPr>
    </w:p>
    <w:p>
      <w:pPr>
        <w:pStyle w:val="10"/>
        <w:spacing w:line="364" w:lineRule="auto"/>
        <w:ind w:left="240" w:right="145" w:firstLine="480"/>
      </w:pPr>
      <w:r>
        <w:rPr>
          <w:spacing w:val="-1"/>
        </w:rPr>
        <w:t>为应对</w:t>
      </w:r>
      <w:r>
        <w:rPr>
          <w:rFonts w:hint="eastAsia"/>
          <w:spacing w:val="-8"/>
        </w:rPr>
        <w:t>赤壁市泰博服饰股份有限公司</w:t>
      </w:r>
      <w:r>
        <w:rPr>
          <w:spacing w:val="-1"/>
        </w:rPr>
        <w:t>可能发生的突发环境事件，采取相应的应急准备措施， 并在发生紧急状态后作出响应，以减少环境影响，制定了本应急预案，主要内容包括：总则、</w:t>
      </w:r>
      <w:r>
        <w:rPr>
          <w:spacing w:val="-9"/>
        </w:rPr>
        <w:t>企业概况、应急组织机构与职责、预防与预警机制、信息报告与通报、应急响应与措施、后期处置、应急保障、预案管理、附则。</w:t>
      </w:r>
    </w:p>
    <w:p>
      <w:pPr>
        <w:pStyle w:val="10"/>
        <w:spacing w:line="364" w:lineRule="auto"/>
        <w:ind w:left="240" w:right="235" w:firstLine="480"/>
        <w:jc w:val="both"/>
      </w:pPr>
      <w:r>
        <w:rPr>
          <w:spacing w:val="-5"/>
        </w:rPr>
        <w:t>结合</w:t>
      </w:r>
      <w:r>
        <w:rPr>
          <w:rFonts w:hint="eastAsia"/>
          <w:spacing w:val="-8"/>
        </w:rPr>
        <w:t>赤壁市泰博服饰股份有限公司</w:t>
      </w:r>
      <w:r>
        <w:rPr>
          <w:spacing w:val="-5"/>
        </w:rPr>
        <w:t>内部组织架构和经营管理体系，突发环境事件应急预案包</w:t>
      </w:r>
      <w:r>
        <w:t>括综合环境应急预案和重点岗位的现场处置预案二部分组成（</w:t>
      </w:r>
      <w:r>
        <w:rPr>
          <w:spacing w:val="-9"/>
        </w:rPr>
        <w:t xml:space="preserve">表 </w:t>
      </w:r>
      <w:r>
        <w:rPr>
          <w:rFonts w:ascii="Times New Roman" w:eastAsia="Times New Roman"/>
        </w:rPr>
        <w:t>1.5-1</w:t>
      </w:r>
      <w:r>
        <w:t>）。本应急预案属于综</w:t>
      </w:r>
      <w:r>
        <w:rPr>
          <w:spacing w:val="-5"/>
        </w:rPr>
        <w:t>合应急预案</w:t>
      </w:r>
      <w:r>
        <w:t>（突发环境事件应急预案</w:t>
      </w:r>
      <w:r>
        <w:rPr>
          <w:spacing w:val="-24"/>
        </w:rPr>
        <w:t>）</w:t>
      </w:r>
      <w:r>
        <w:rPr>
          <w:spacing w:val="-8"/>
        </w:rPr>
        <w:t>。企业同时制定了安全事故应急救援预案，加强安全生</w:t>
      </w:r>
      <w:r>
        <w:t>产管理。环境应急预案与安全事故应急救援预案之间相互协调，互为补充完善。</w:t>
      </w:r>
    </w:p>
    <w:p>
      <w:pPr>
        <w:pStyle w:val="10"/>
        <w:spacing w:line="364" w:lineRule="auto"/>
        <w:ind w:left="240" w:right="237" w:firstLine="480"/>
        <w:jc w:val="both"/>
      </w:pPr>
      <w:r>
        <w:rPr>
          <w:spacing w:val="-4"/>
        </w:rPr>
        <w:t>综合环境应急预案是总体阐述本公司突发环境事件的应急组织机构和职责、预案体系及相</w:t>
      </w:r>
      <w:r>
        <w:rPr>
          <w:spacing w:val="-10"/>
        </w:rPr>
        <w:t>应程序、事件预防及应急保障、应急培训及预案演练等内容，是应对突发环境事故，开展应急</w:t>
      </w:r>
      <w:r>
        <w:t>处置工作的综合性文件。</w:t>
      </w:r>
    </w:p>
    <w:p>
      <w:pPr>
        <w:pStyle w:val="10"/>
        <w:spacing w:line="364" w:lineRule="auto"/>
        <w:ind w:left="240" w:right="237" w:firstLine="480"/>
      </w:pPr>
      <w:r>
        <w:rPr>
          <w:spacing w:val="-5"/>
        </w:rPr>
        <w:t>现场处置预案是针对某个突发环境事故防控措施制定的处置方法。包括突发环境事件的危</w:t>
      </w:r>
      <w:r>
        <w:t>害、常见故障及事故特征、现场处置程序、应急处置要点和注意事项等内容。</w:t>
      </w:r>
    </w:p>
    <w:p>
      <w:pPr>
        <w:pStyle w:val="9"/>
        <w:ind w:left="3362"/>
        <w:jc w:val="left"/>
      </w:pPr>
      <w:r>
        <w:t xml:space="preserve">表 </w:t>
      </w:r>
      <w:r>
        <w:rPr>
          <w:rFonts w:ascii="Times New Roman" w:eastAsia="Times New Roman"/>
        </w:rPr>
        <w:t xml:space="preserve">1.5.1-1 </w:t>
      </w:r>
      <w:r>
        <w:t>公司应急预案体系清单</w:t>
      </w:r>
    </w:p>
    <w:p>
      <w:pPr>
        <w:pStyle w:val="10"/>
        <w:spacing w:before="10"/>
        <w:rPr>
          <w:b/>
          <w:sz w:val="11"/>
        </w:rPr>
      </w:pPr>
    </w:p>
    <w:tbl>
      <w:tblPr>
        <w:tblStyle w:val="15"/>
        <w:tblW w:w="0" w:type="auto"/>
        <w:tblInd w:w="12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520"/>
        <w:gridCol w:w="1425"/>
        <w:gridCol w:w="596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520" w:type="dxa"/>
            <w:tcBorders>
              <w:left w:val="nil"/>
              <w:bottom w:val="single" w:color="000000" w:sz="4" w:space="0"/>
              <w:right w:val="single" w:color="000000" w:sz="4" w:space="0"/>
            </w:tcBorders>
          </w:tcPr>
          <w:p>
            <w:pPr>
              <w:pStyle w:val="24"/>
              <w:spacing w:before="34"/>
              <w:ind w:left="650" w:right="559"/>
              <w:jc w:val="center"/>
              <w:rPr>
                <w:b/>
                <w:sz w:val="21"/>
              </w:rPr>
            </w:pPr>
            <w:r>
              <w:rPr>
                <w:b/>
                <w:sz w:val="21"/>
              </w:rPr>
              <w:t>应急预案类型</w:t>
            </w:r>
          </w:p>
        </w:tc>
        <w:tc>
          <w:tcPr>
            <w:tcW w:w="1425" w:type="dxa"/>
            <w:tcBorders>
              <w:left w:val="single" w:color="000000" w:sz="4" w:space="0"/>
              <w:bottom w:val="single" w:color="000000" w:sz="4" w:space="0"/>
              <w:right w:val="single" w:color="000000" w:sz="4" w:space="0"/>
            </w:tcBorders>
          </w:tcPr>
          <w:p>
            <w:pPr>
              <w:pStyle w:val="24"/>
              <w:spacing w:before="34"/>
              <w:ind w:left="490" w:right="463"/>
              <w:jc w:val="center"/>
              <w:rPr>
                <w:b/>
                <w:sz w:val="21"/>
              </w:rPr>
            </w:pPr>
            <w:r>
              <w:rPr>
                <w:b/>
                <w:sz w:val="21"/>
              </w:rPr>
              <w:t>数目</w:t>
            </w:r>
          </w:p>
        </w:tc>
        <w:tc>
          <w:tcPr>
            <w:tcW w:w="5962" w:type="dxa"/>
            <w:tcBorders>
              <w:left w:val="single" w:color="000000" w:sz="4" w:space="0"/>
              <w:bottom w:val="single" w:color="000000" w:sz="4" w:space="0"/>
              <w:right w:val="nil"/>
            </w:tcBorders>
          </w:tcPr>
          <w:p>
            <w:pPr>
              <w:pStyle w:val="24"/>
              <w:spacing w:before="34"/>
              <w:ind w:left="658" w:right="636"/>
              <w:jc w:val="center"/>
              <w:rPr>
                <w:b/>
                <w:sz w:val="21"/>
              </w:rPr>
            </w:pPr>
            <w:r>
              <w:rPr>
                <w:b/>
                <w:sz w:val="21"/>
              </w:rPr>
              <w:t>名称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520" w:type="dxa"/>
            <w:tcBorders>
              <w:top w:val="single" w:color="000000" w:sz="4" w:space="0"/>
              <w:left w:val="nil"/>
              <w:bottom w:val="single" w:color="000000" w:sz="4" w:space="0"/>
              <w:right w:val="single" w:color="000000" w:sz="4" w:space="0"/>
            </w:tcBorders>
          </w:tcPr>
          <w:p>
            <w:pPr>
              <w:pStyle w:val="24"/>
              <w:spacing w:before="32"/>
              <w:ind w:left="645" w:right="559"/>
              <w:jc w:val="center"/>
              <w:rPr>
                <w:sz w:val="21"/>
              </w:rPr>
            </w:pPr>
            <w:r>
              <w:rPr>
                <w:sz w:val="21"/>
              </w:rPr>
              <w:t>综合应急预案</w:t>
            </w:r>
          </w:p>
        </w:tc>
        <w:tc>
          <w:tcPr>
            <w:tcW w:w="1425" w:type="dxa"/>
            <w:tcBorders>
              <w:top w:val="single" w:color="000000" w:sz="4" w:space="0"/>
              <w:left w:val="single" w:color="000000" w:sz="4" w:space="0"/>
              <w:bottom w:val="single" w:color="000000" w:sz="4" w:space="0"/>
              <w:right w:val="single" w:color="000000" w:sz="4" w:space="0"/>
            </w:tcBorders>
          </w:tcPr>
          <w:p>
            <w:pPr>
              <w:pStyle w:val="24"/>
              <w:spacing w:before="48"/>
              <w:ind w:left="28"/>
              <w:jc w:val="center"/>
              <w:rPr>
                <w:rFonts w:ascii="Times New Roman"/>
                <w:sz w:val="21"/>
              </w:rPr>
            </w:pPr>
            <w:r>
              <w:rPr>
                <w:rFonts w:ascii="Times New Roman"/>
                <w:w w:val="99"/>
                <w:sz w:val="21"/>
              </w:rPr>
              <w:t>1</w:t>
            </w:r>
          </w:p>
        </w:tc>
        <w:tc>
          <w:tcPr>
            <w:tcW w:w="5962" w:type="dxa"/>
            <w:tcBorders>
              <w:top w:val="single" w:color="000000" w:sz="4" w:space="0"/>
              <w:left w:val="single" w:color="000000" w:sz="4" w:space="0"/>
              <w:bottom w:val="single" w:color="000000" w:sz="4" w:space="0"/>
              <w:right w:val="nil"/>
            </w:tcBorders>
          </w:tcPr>
          <w:p>
            <w:pPr>
              <w:pStyle w:val="24"/>
              <w:spacing w:before="32"/>
              <w:ind w:left="658" w:right="639"/>
              <w:jc w:val="center"/>
              <w:rPr>
                <w:sz w:val="21"/>
              </w:rPr>
            </w:pPr>
            <w:r>
              <w:rPr>
                <w:rFonts w:hint="eastAsia"/>
                <w:sz w:val="21"/>
              </w:rPr>
              <w:t>赤壁市泰博服饰股份有限公</w:t>
            </w:r>
            <w:r>
              <w:rPr>
                <w:sz w:val="21"/>
              </w:rPr>
              <w:t>突发环境事件应急预案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2520" w:type="dxa"/>
            <w:tcBorders>
              <w:top w:val="single" w:color="000000" w:sz="4" w:space="0"/>
              <w:left w:val="nil"/>
              <w:right w:val="single" w:color="000000" w:sz="4" w:space="0"/>
            </w:tcBorders>
          </w:tcPr>
          <w:p>
            <w:pPr>
              <w:pStyle w:val="24"/>
              <w:spacing w:before="32"/>
              <w:ind w:left="645" w:right="559"/>
              <w:jc w:val="center"/>
              <w:rPr>
                <w:sz w:val="21"/>
              </w:rPr>
            </w:pPr>
            <w:r>
              <w:rPr>
                <w:sz w:val="21"/>
              </w:rPr>
              <w:t>现场处置预案</w:t>
            </w:r>
          </w:p>
        </w:tc>
        <w:tc>
          <w:tcPr>
            <w:tcW w:w="1425" w:type="dxa"/>
            <w:tcBorders>
              <w:top w:val="single" w:color="000000" w:sz="4" w:space="0"/>
              <w:left w:val="single" w:color="000000" w:sz="4" w:space="0"/>
              <w:right w:val="single" w:color="000000" w:sz="4" w:space="0"/>
            </w:tcBorders>
          </w:tcPr>
          <w:p>
            <w:pPr>
              <w:pStyle w:val="24"/>
              <w:spacing w:before="49"/>
              <w:ind w:left="28"/>
              <w:jc w:val="center"/>
              <w:rPr>
                <w:rFonts w:ascii="Times New Roman"/>
                <w:sz w:val="21"/>
              </w:rPr>
            </w:pPr>
            <w:r>
              <w:rPr>
                <w:rFonts w:ascii="Times New Roman"/>
                <w:w w:val="99"/>
                <w:sz w:val="21"/>
              </w:rPr>
              <w:t>1</w:t>
            </w:r>
          </w:p>
        </w:tc>
        <w:tc>
          <w:tcPr>
            <w:tcW w:w="5962" w:type="dxa"/>
            <w:tcBorders>
              <w:top w:val="single" w:color="000000" w:sz="4" w:space="0"/>
              <w:left w:val="single" w:color="000000" w:sz="4" w:space="0"/>
              <w:right w:val="nil"/>
            </w:tcBorders>
          </w:tcPr>
          <w:p>
            <w:pPr>
              <w:pStyle w:val="24"/>
              <w:spacing w:before="32"/>
              <w:ind w:left="658" w:right="636"/>
              <w:jc w:val="center"/>
              <w:rPr>
                <w:sz w:val="21"/>
              </w:rPr>
            </w:pPr>
            <w:r>
              <w:rPr>
                <w:sz w:val="21"/>
              </w:rPr>
              <w:t>现场处置应急预案</w:t>
            </w:r>
          </w:p>
        </w:tc>
      </w:tr>
    </w:tbl>
    <w:p>
      <w:pPr>
        <w:pStyle w:val="23"/>
        <w:numPr>
          <w:ilvl w:val="2"/>
          <w:numId w:val="6"/>
        </w:numPr>
        <w:tabs>
          <w:tab w:val="left" w:pos="941"/>
        </w:tabs>
        <w:spacing w:before="160"/>
        <w:ind w:left="940" w:hanging="701"/>
        <w:rPr>
          <w:b/>
          <w:sz w:val="28"/>
        </w:rPr>
      </w:pPr>
      <w:bookmarkStart w:id="24" w:name="1.5.2_风险应急预案的衔接"/>
      <w:bookmarkEnd w:id="24"/>
      <w:bookmarkStart w:id="25" w:name="_bookmark12"/>
      <w:bookmarkEnd w:id="25"/>
      <w:r>
        <w:rPr>
          <w:b/>
          <w:sz w:val="28"/>
        </w:rPr>
        <w:t>风险应急预案的衔接</w:t>
      </w:r>
    </w:p>
    <w:p>
      <w:pPr>
        <w:pStyle w:val="10"/>
        <w:spacing w:before="8"/>
        <w:rPr>
          <w:b/>
          <w:sz w:val="26"/>
        </w:rPr>
      </w:pPr>
    </w:p>
    <w:p>
      <w:pPr>
        <w:pStyle w:val="10"/>
        <w:ind w:left="720"/>
      </w:pPr>
      <w:r>
        <w:rPr>
          <w:rFonts w:ascii="Times New Roman" w:eastAsia="Times New Roman"/>
        </w:rPr>
        <w:t>1</w:t>
      </w:r>
      <w:r>
        <w:t>、应急组织机构、人员的衔接</w:t>
      </w:r>
    </w:p>
    <w:p>
      <w:pPr>
        <w:pStyle w:val="10"/>
        <w:spacing w:before="158" w:line="364" w:lineRule="auto"/>
        <w:ind w:left="240" w:right="145" w:firstLine="480"/>
        <w:jc w:val="both"/>
      </w:pPr>
      <w:r>
        <w:rPr>
          <w:spacing w:val="-10"/>
        </w:rPr>
        <w:t>当发生风险事故时，公司应急指挥部办公室应及时承担起与当地区域或各职能管理部门的</w:t>
      </w:r>
      <w:r>
        <w:rPr>
          <w:spacing w:val="-14"/>
        </w:rPr>
        <w:t>应急指挥机构的联系工作，及时将事故发生情况及最新进展向相关部门汇报，并将上级指挥机</w:t>
      </w:r>
      <w:r>
        <w:rPr>
          <w:spacing w:val="-15"/>
        </w:rPr>
        <w:t>构的命令及时向公司应急指挥小组汇报；编制环境污染事故报告，并将报告向上级部门汇报。</w:t>
      </w:r>
    </w:p>
    <w:p>
      <w:pPr>
        <w:pStyle w:val="10"/>
        <w:spacing w:line="307" w:lineRule="exact"/>
        <w:ind w:left="720"/>
      </w:pPr>
      <w:r>
        <w:rPr>
          <w:rFonts w:ascii="Times New Roman" w:eastAsia="Times New Roman"/>
        </w:rPr>
        <w:t>2</w:t>
      </w:r>
      <w:r>
        <w:t>、应急救援保障的衔接</w:t>
      </w:r>
    </w:p>
    <w:p>
      <w:pPr>
        <w:spacing w:line="307" w:lineRule="exact"/>
        <w:sectPr>
          <w:pgSz w:w="11910" w:h="16840"/>
          <w:pgMar w:top="1360" w:right="840" w:bottom="1180" w:left="840" w:header="882" w:footer="993" w:gutter="0"/>
          <w:cols w:space="720" w:num="1"/>
        </w:sectPr>
      </w:pPr>
    </w:p>
    <w:p>
      <w:pPr>
        <w:pStyle w:val="23"/>
        <w:numPr>
          <w:ilvl w:val="0"/>
          <w:numId w:val="14"/>
        </w:numPr>
        <w:tabs>
          <w:tab w:val="left" w:pos="1321"/>
        </w:tabs>
        <w:spacing w:before="64" w:line="364" w:lineRule="auto"/>
        <w:ind w:right="145" w:firstLine="480"/>
        <w:rPr>
          <w:sz w:val="24"/>
        </w:rPr>
      </w:pPr>
      <w:r>
        <w:rPr>
          <w:spacing w:val="-1"/>
          <w:sz w:val="24"/>
        </w:rPr>
        <w:t>公共援助力量：企业还可以联系赤壁市应急管理局、赤壁市消防队、赤壁市人民医</w:t>
      </w:r>
      <w:r>
        <w:rPr>
          <w:spacing w:val="-2"/>
          <w:sz w:val="24"/>
        </w:rPr>
        <w:t>院、咸宁市生态环境局赤壁市分局、咸宁市生态环境局以及各相关职能部门，请求救援力量、</w:t>
      </w:r>
      <w:r>
        <w:rPr>
          <w:sz w:val="24"/>
        </w:rPr>
        <w:t>设备的支持。</w:t>
      </w:r>
    </w:p>
    <w:p>
      <w:pPr>
        <w:pStyle w:val="23"/>
        <w:numPr>
          <w:ilvl w:val="0"/>
          <w:numId w:val="14"/>
        </w:numPr>
        <w:tabs>
          <w:tab w:val="left" w:pos="1321"/>
        </w:tabs>
        <w:spacing w:line="362" w:lineRule="auto"/>
        <w:ind w:right="237" w:firstLine="480"/>
        <w:rPr>
          <w:sz w:val="24"/>
        </w:rPr>
      </w:pPr>
      <w:r>
        <w:rPr>
          <w:spacing w:val="-1"/>
          <w:sz w:val="24"/>
        </w:rPr>
        <w:t>专家援助：企业依托省、市、县有关专家，建立风险事故救援安全专家库，在紧急</w:t>
      </w:r>
      <w:r>
        <w:rPr>
          <w:sz w:val="24"/>
        </w:rPr>
        <w:t>情况下，可以联系获取救援支持。</w:t>
      </w:r>
    </w:p>
    <w:p>
      <w:pPr>
        <w:pStyle w:val="10"/>
        <w:spacing w:before="4"/>
        <w:ind w:left="720"/>
      </w:pPr>
      <w:r>
        <w:rPr>
          <w:rFonts w:ascii="Times New Roman" w:eastAsia="Times New Roman"/>
        </w:rPr>
        <w:t>3</w:t>
      </w:r>
      <w:r>
        <w:t>、应急培训计划的衔接</w:t>
      </w:r>
    </w:p>
    <w:p>
      <w:pPr>
        <w:pStyle w:val="10"/>
        <w:spacing w:before="158" w:line="364" w:lineRule="auto"/>
        <w:ind w:left="240" w:right="237" w:firstLine="480"/>
      </w:pPr>
      <w:r>
        <w:rPr>
          <w:spacing w:val="-7"/>
        </w:rPr>
        <w:t>企业在开展应急培训计划的同时，还应积极配合赤壁市、咸宁市、湖北省开展的应急培训</w:t>
      </w:r>
      <w:r>
        <w:t>计划，在发生风险事故时，及时与区域应急组织取得联系。</w:t>
      </w:r>
    </w:p>
    <w:p>
      <w:pPr>
        <w:pStyle w:val="10"/>
        <w:spacing w:before="1"/>
        <w:ind w:left="720"/>
      </w:pPr>
      <w:r>
        <w:rPr>
          <w:rFonts w:ascii="Times New Roman" w:eastAsia="Times New Roman"/>
        </w:rPr>
        <w:t>4</w:t>
      </w:r>
      <w:r>
        <w:t>、公众教育的衔接</w:t>
      </w:r>
    </w:p>
    <w:p>
      <w:pPr>
        <w:pStyle w:val="10"/>
        <w:spacing w:before="158" w:line="362" w:lineRule="auto"/>
        <w:ind w:left="240" w:right="235" w:firstLine="480"/>
      </w:pPr>
      <w:r>
        <w:rPr>
          <w:spacing w:val="-7"/>
        </w:rPr>
        <w:t>企业对厂区及周边公众开展教育、培训时，应加强与周边公众和区域相关单位的交流，如</w:t>
      </w:r>
      <w:r>
        <w:t>发生事故，可更好的疏散人群、防护污染。</w:t>
      </w:r>
    </w:p>
    <w:p>
      <w:pPr>
        <w:pStyle w:val="10"/>
        <w:spacing w:before="5"/>
        <w:ind w:left="720"/>
      </w:pPr>
      <w:r>
        <w:rPr>
          <w:rFonts w:ascii="Times New Roman" w:eastAsia="Times New Roman"/>
        </w:rPr>
        <w:t>5</w:t>
      </w:r>
      <w:r>
        <w:t>、与上下级应急预案的衔接</w:t>
      </w:r>
    </w:p>
    <w:p>
      <w:pPr>
        <w:pStyle w:val="10"/>
        <w:spacing w:before="161" w:line="364" w:lineRule="auto"/>
        <w:ind w:left="240" w:right="237" w:firstLine="480"/>
        <w:jc w:val="both"/>
      </w:pPr>
      <w:r>
        <w:rPr>
          <w:spacing w:val="-5"/>
        </w:rPr>
        <w:t>本企业突发环境事件应急预案在应急组织体系建立、预防预警机制、信息上报、应急响应</w:t>
      </w:r>
      <w:r>
        <w:rPr>
          <w:spacing w:val="-9"/>
        </w:rPr>
        <w:t>与处置等环节与《赤壁市突发环境事件应急预案》等相互衔接，本预案在原则上要符合上述预</w:t>
      </w:r>
      <w:r>
        <w:t>案的总体要求，在执行中，下级预案要服从上级预案的需要。</w:t>
      </w:r>
    </w:p>
    <w:p>
      <w:pPr>
        <w:pStyle w:val="10"/>
        <w:spacing w:line="364" w:lineRule="auto"/>
        <w:ind w:left="240" w:right="235" w:firstLine="480"/>
        <w:jc w:val="both"/>
      </w:pPr>
      <w:r>
        <w:rPr>
          <w:spacing w:val="-4"/>
        </w:rPr>
        <w:t>当企业发生突发环境事件超出控制，需要外界力量支持时</w:t>
      </w:r>
      <w:r>
        <w:t>（</w:t>
      </w:r>
      <w:r>
        <w:rPr>
          <w:spacing w:val="-4"/>
        </w:rPr>
        <w:t>或周边企业发生突发事件，需</w:t>
      </w:r>
      <w:r>
        <w:t>要本企业应急力量支援时</w:t>
      </w:r>
      <w:r>
        <w:rPr>
          <w:spacing w:val="-47"/>
        </w:rPr>
        <w:t>）</w:t>
      </w:r>
      <w:r>
        <w:rPr>
          <w:spacing w:val="-8"/>
        </w:rPr>
        <w:t>，本企业的应急组织在采取措施的同时根据本预案的报警程序向当</w:t>
      </w:r>
      <w:r>
        <w:rPr>
          <w:spacing w:val="-6"/>
        </w:rPr>
        <w:t>地政府和有关环保部门应急指挥部上报、请求支援，实现本预案与上级应急预案的衔接，并实</w:t>
      </w:r>
      <w:r>
        <w:t>施与上级的应急联动。</w:t>
      </w:r>
    </w:p>
    <w:p>
      <w:pPr>
        <w:pStyle w:val="10"/>
        <w:spacing w:line="305" w:lineRule="exact"/>
        <w:ind w:left="720"/>
      </w:pPr>
      <w:r>
        <w:t>本预案和外部应急预案衔接图如下：</w:t>
      </w:r>
    </w:p>
    <w:p>
      <w:pPr>
        <w:pStyle w:val="10"/>
        <w:spacing w:before="2"/>
        <w:jc w:val="center"/>
        <w:rPr>
          <w:sz w:val="21"/>
        </w:rPr>
      </w:pPr>
      <w:r>
        <w:rPr>
          <w:lang w:val="en-US" w:bidi="ar-SA"/>
        </w:rPr>
        <w:drawing>
          <wp:inline distT="0" distB="0" distL="114300" distR="114300">
            <wp:extent cx="5276850" cy="2688590"/>
            <wp:effectExtent l="0" t="0" r="0"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5276850" cy="2688590"/>
                    </a:xfrm>
                    <a:prstGeom prst="rect">
                      <a:avLst/>
                    </a:prstGeom>
                    <a:noFill/>
                    <a:ln>
                      <a:noFill/>
                    </a:ln>
                  </pic:spPr>
                </pic:pic>
              </a:graphicData>
            </a:graphic>
          </wp:inline>
        </w:drawing>
      </w:r>
    </w:p>
    <w:p>
      <w:pPr>
        <w:pStyle w:val="10"/>
        <w:spacing w:before="8"/>
        <w:rPr>
          <w:sz w:val="21"/>
        </w:rPr>
      </w:pPr>
    </w:p>
    <w:p>
      <w:pPr>
        <w:pStyle w:val="9"/>
        <w:ind w:left="12"/>
      </w:pPr>
      <w:r>
        <w:t xml:space="preserve">图 </w:t>
      </w:r>
      <w:r>
        <w:rPr>
          <w:rFonts w:ascii="Times New Roman" w:eastAsia="Times New Roman"/>
        </w:rPr>
        <w:t xml:space="preserve">1.5.2-1 </w:t>
      </w:r>
      <w:r>
        <w:t>本预案与地方政府应急预案衔接图</w:t>
      </w:r>
    </w:p>
    <w:p>
      <w:pPr>
        <w:sectPr>
          <w:pgSz w:w="11910" w:h="16840"/>
          <w:pgMar w:top="1360" w:right="840" w:bottom="1180" w:left="840" w:header="882" w:footer="993" w:gutter="0"/>
          <w:cols w:space="720" w:num="1"/>
        </w:sectPr>
      </w:pPr>
    </w:p>
    <w:p>
      <w:pPr>
        <w:pStyle w:val="23"/>
        <w:numPr>
          <w:ilvl w:val="2"/>
          <w:numId w:val="6"/>
        </w:numPr>
        <w:tabs>
          <w:tab w:val="left" w:pos="941"/>
        </w:tabs>
        <w:spacing w:before="64"/>
        <w:ind w:left="940" w:hanging="701"/>
        <w:rPr>
          <w:b/>
          <w:sz w:val="28"/>
        </w:rPr>
      </w:pPr>
      <w:bookmarkStart w:id="26" w:name="1.5.3_风险防范措施的衔接"/>
      <w:bookmarkEnd w:id="26"/>
      <w:bookmarkStart w:id="27" w:name="_bookmark13"/>
      <w:bookmarkEnd w:id="27"/>
      <w:r>
        <w:rPr>
          <w:b/>
          <w:sz w:val="28"/>
        </w:rPr>
        <w:t>风险防范措施的衔接</w:t>
      </w:r>
    </w:p>
    <w:p>
      <w:pPr>
        <w:pStyle w:val="10"/>
        <w:spacing w:before="8"/>
        <w:rPr>
          <w:b/>
          <w:sz w:val="26"/>
        </w:rPr>
      </w:pPr>
    </w:p>
    <w:p>
      <w:pPr>
        <w:pStyle w:val="23"/>
        <w:numPr>
          <w:ilvl w:val="0"/>
          <w:numId w:val="15"/>
        </w:numPr>
        <w:tabs>
          <w:tab w:val="left" w:pos="1321"/>
        </w:tabs>
        <w:rPr>
          <w:sz w:val="24"/>
        </w:rPr>
      </w:pPr>
      <w:r>
        <w:rPr>
          <w:sz w:val="24"/>
        </w:rPr>
        <w:t>消防及火灾报警系统的衔接</w:t>
      </w:r>
    </w:p>
    <w:p>
      <w:pPr>
        <w:pStyle w:val="10"/>
        <w:spacing w:before="161"/>
        <w:ind w:left="720"/>
      </w:pPr>
      <w:r>
        <w:t>本企业采用电话报警，火灾报送至企业消防负责人，必要时报送至赤壁市消防队。</w:t>
      </w:r>
    </w:p>
    <w:p>
      <w:pPr>
        <w:pStyle w:val="23"/>
        <w:numPr>
          <w:ilvl w:val="0"/>
          <w:numId w:val="15"/>
        </w:numPr>
        <w:tabs>
          <w:tab w:val="left" w:pos="1321"/>
        </w:tabs>
        <w:spacing w:before="158"/>
        <w:rPr>
          <w:sz w:val="24"/>
        </w:rPr>
      </w:pPr>
      <w:r>
        <w:rPr>
          <w:sz w:val="24"/>
        </w:rPr>
        <w:t>应急救援物资的衔接</w:t>
      </w:r>
    </w:p>
    <w:p>
      <w:pPr>
        <w:pStyle w:val="10"/>
        <w:spacing w:before="161" w:line="364" w:lineRule="auto"/>
        <w:ind w:left="240" w:right="237" w:firstLine="480"/>
        <w:jc w:val="both"/>
      </w:pPr>
      <w:r>
        <w:rPr>
          <w:spacing w:val="-6"/>
        </w:rPr>
        <w:t>当企业应急救援物资不能满足事故现场需求时，可在应急指挥中心或赤壁市应急中心协调</w:t>
      </w:r>
      <w:r>
        <w:rPr>
          <w:spacing w:val="-7"/>
        </w:rPr>
        <w:t>下向其他企业请求援助，以免风险事故的扩大，同时应服从赤壁市内调度，对其他单位援助请</w:t>
      </w:r>
      <w:r>
        <w:t>求进行帮助。</w:t>
      </w:r>
    </w:p>
    <w:p>
      <w:pPr>
        <w:pStyle w:val="6"/>
        <w:numPr>
          <w:ilvl w:val="1"/>
          <w:numId w:val="6"/>
        </w:numPr>
        <w:tabs>
          <w:tab w:val="left" w:pos="766"/>
        </w:tabs>
        <w:spacing w:before="155"/>
      </w:pPr>
      <w:bookmarkStart w:id="28" w:name="1.6_工作原则"/>
      <w:bookmarkEnd w:id="28"/>
      <w:bookmarkStart w:id="29" w:name="_bookmark14"/>
      <w:bookmarkEnd w:id="29"/>
      <w:r>
        <w:t>工作原则</w:t>
      </w:r>
    </w:p>
    <w:p>
      <w:pPr>
        <w:pStyle w:val="10"/>
        <w:spacing w:before="6"/>
        <w:rPr>
          <w:b/>
          <w:sz w:val="27"/>
        </w:rPr>
      </w:pPr>
    </w:p>
    <w:p>
      <w:pPr>
        <w:pStyle w:val="10"/>
        <w:spacing w:line="364" w:lineRule="auto"/>
        <w:ind w:left="240" w:right="237" w:firstLine="480"/>
      </w:pPr>
      <w:r>
        <w:rPr>
          <w:spacing w:val="-5"/>
        </w:rPr>
        <w:t>企业在建立突发性环境污染事故应急系统及其响应程序时，应本着实事求是、切实可行的</w:t>
      </w:r>
      <w:r>
        <w:t>方针，贯彻如下原则：</w:t>
      </w:r>
    </w:p>
    <w:p>
      <w:pPr>
        <w:pStyle w:val="23"/>
        <w:numPr>
          <w:ilvl w:val="0"/>
          <w:numId w:val="16"/>
        </w:numPr>
        <w:tabs>
          <w:tab w:val="left" w:pos="1321"/>
        </w:tabs>
        <w:spacing w:before="2"/>
        <w:rPr>
          <w:sz w:val="24"/>
        </w:rPr>
      </w:pPr>
      <w:r>
        <w:rPr>
          <w:sz w:val="24"/>
        </w:rPr>
        <w:t>符合国家有关规定和要求，结合本单位实际。</w:t>
      </w:r>
    </w:p>
    <w:p>
      <w:pPr>
        <w:pStyle w:val="23"/>
        <w:numPr>
          <w:ilvl w:val="0"/>
          <w:numId w:val="16"/>
        </w:numPr>
        <w:tabs>
          <w:tab w:val="left" w:pos="1323"/>
        </w:tabs>
        <w:spacing w:before="158" w:line="364" w:lineRule="auto"/>
        <w:ind w:left="240" w:right="237" w:firstLine="480"/>
        <w:rPr>
          <w:sz w:val="24"/>
        </w:rPr>
      </w:pPr>
      <w:r>
        <w:rPr>
          <w:spacing w:val="-1"/>
          <w:sz w:val="24"/>
        </w:rPr>
        <w:t>救人第一、环境优先。把保障员工的身体健康、生命安全作为首要任务，切实加强</w:t>
      </w:r>
      <w:r>
        <w:rPr>
          <w:sz w:val="24"/>
        </w:rPr>
        <w:t>应急救援人员的安全防护，坚持环境优先，因为环境一旦受到污染，修复难度大且成本高。</w:t>
      </w:r>
    </w:p>
    <w:p>
      <w:pPr>
        <w:pStyle w:val="23"/>
        <w:numPr>
          <w:ilvl w:val="0"/>
          <w:numId w:val="16"/>
        </w:numPr>
        <w:tabs>
          <w:tab w:val="left" w:pos="1323"/>
        </w:tabs>
        <w:spacing w:line="364" w:lineRule="auto"/>
        <w:ind w:left="240" w:right="240" w:firstLine="480"/>
        <w:rPr>
          <w:sz w:val="24"/>
        </w:rPr>
      </w:pPr>
      <w:r>
        <w:rPr>
          <w:spacing w:val="-1"/>
          <w:sz w:val="24"/>
        </w:rPr>
        <w:t>先期处置、降低危害。采用先进的救援装备和技术，依法规范应急救援工作，确保</w:t>
      </w:r>
      <w:r>
        <w:rPr>
          <w:sz w:val="24"/>
        </w:rPr>
        <w:t>应急预案的科学性、权威性和可操作性。</w:t>
      </w:r>
    </w:p>
    <w:p>
      <w:pPr>
        <w:pStyle w:val="23"/>
        <w:numPr>
          <w:ilvl w:val="0"/>
          <w:numId w:val="16"/>
        </w:numPr>
        <w:tabs>
          <w:tab w:val="left" w:pos="1323"/>
        </w:tabs>
        <w:spacing w:line="364" w:lineRule="auto"/>
        <w:ind w:left="240" w:right="240" w:firstLine="480"/>
        <w:rPr>
          <w:sz w:val="24"/>
        </w:rPr>
      </w:pPr>
      <w:r>
        <w:rPr>
          <w:spacing w:val="-1"/>
          <w:sz w:val="24"/>
        </w:rPr>
        <w:t>快速响应、科学应对。在公司统一领导和各职能部门组织协调下，各部门按照各自</w:t>
      </w:r>
      <w:r>
        <w:rPr>
          <w:sz w:val="24"/>
        </w:rPr>
        <w:t>职责和权限，负责环境事故的应急管理和应急处置工作。</w:t>
      </w:r>
    </w:p>
    <w:p>
      <w:pPr>
        <w:pStyle w:val="10"/>
        <w:spacing w:line="364" w:lineRule="auto"/>
        <w:ind w:left="240" w:right="237" w:firstLine="480"/>
        <w:jc w:val="both"/>
      </w:pPr>
      <w:r>
        <w:t>（</w:t>
      </w:r>
      <w:r>
        <w:rPr>
          <w:rFonts w:ascii="Times New Roman" w:eastAsia="Times New Roman"/>
        </w:rPr>
        <w:t>4</w:t>
      </w:r>
      <w:r>
        <w:t>）</w:t>
      </w:r>
      <w:r>
        <w:rPr>
          <w:spacing w:val="-1"/>
        </w:rPr>
        <w:t xml:space="preserve">预防为主、平战结合。应急工作与岗位职责相结合。应急工作与岗位职责相结合， </w:t>
      </w:r>
      <w:r>
        <w:rPr>
          <w:spacing w:val="-6"/>
        </w:rPr>
        <w:t>强调应急任务要细化落实到具体工作岗位，做好预防、预测、预警和预报工作，做好常态下的</w:t>
      </w:r>
      <w:r>
        <w:t>风险评估、物资储备、队伍建设、装备完善、预案演练等工作。</w:t>
      </w:r>
    </w:p>
    <w:p>
      <w:pPr>
        <w:spacing w:line="364" w:lineRule="auto"/>
        <w:jc w:val="both"/>
        <w:sectPr>
          <w:pgSz w:w="11910" w:h="16840"/>
          <w:pgMar w:top="1360" w:right="840" w:bottom="1180" w:left="840" w:header="882" w:footer="993" w:gutter="0"/>
          <w:cols w:space="720" w:num="1"/>
        </w:sectPr>
      </w:pPr>
    </w:p>
    <w:p>
      <w:pPr>
        <w:pStyle w:val="10"/>
        <w:spacing w:before="3"/>
        <w:rPr>
          <w:sz w:val="12"/>
        </w:rPr>
      </w:pPr>
    </w:p>
    <w:p>
      <w:pPr>
        <w:pStyle w:val="5"/>
        <w:numPr>
          <w:ilvl w:val="0"/>
          <w:numId w:val="6"/>
        </w:numPr>
        <w:tabs>
          <w:tab w:val="left" w:pos="560"/>
        </w:tabs>
        <w:ind w:left="559" w:hanging="320"/>
      </w:pPr>
      <w:bookmarkStart w:id="30" w:name="_bookmark15"/>
      <w:bookmarkEnd w:id="30"/>
      <w:bookmarkStart w:id="31" w:name="2_企业概况"/>
      <w:bookmarkEnd w:id="31"/>
      <w:r>
        <w:t>企业概况</w:t>
      </w:r>
    </w:p>
    <w:p>
      <w:pPr>
        <w:pStyle w:val="10"/>
        <w:spacing w:before="10"/>
        <w:rPr>
          <w:b/>
          <w:sz w:val="28"/>
        </w:rPr>
      </w:pPr>
    </w:p>
    <w:p>
      <w:pPr>
        <w:pStyle w:val="6"/>
        <w:numPr>
          <w:ilvl w:val="1"/>
          <w:numId w:val="6"/>
        </w:numPr>
        <w:tabs>
          <w:tab w:val="left" w:pos="766"/>
        </w:tabs>
      </w:pPr>
      <w:bookmarkStart w:id="32" w:name="_bookmark16"/>
      <w:bookmarkEnd w:id="32"/>
      <w:bookmarkStart w:id="33" w:name="2.1_公司概况"/>
      <w:bookmarkEnd w:id="33"/>
      <w:r>
        <w:t>公司概况</w:t>
      </w:r>
    </w:p>
    <w:p>
      <w:pPr>
        <w:pStyle w:val="10"/>
        <w:spacing w:before="11"/>
        <w:rPr>
          <w:b/>
          <w:sz w:val="33"/>
        </w:rPr>
      </w:pPr>
    </w:p>
    <w:p>
      <w:pPr>
        <w:pStyle w:val="10"/>
        <w:spacing w:before="160" w:line="364" w:lineRule="auto"/>
        <w:ind w:left="240" w:right="235" w:firstLine="232" w:firstLineChars="100"/>
      </w:pPr>
      <w:r>
        <w:rPr>
          <w:rFonts w:hint="eastAsia"/>
          <w:spacing w:val="-4"/>
        </w:rPr>
        <w:t>赤壁市泰博服饰股份有限公</w:t>
      </w:r>
      <w:r>
        <w:rPr>
          <w:spacing w:val="-4"/>
        </w:rPr>
        <w:t>成立于</w:t>
      </w:r>
      <w:r>
        <w:rPr>
          <w:rFonts w:hint="eastAsia"/>
          <w:lang w:val="en-US"/>
        </w:rPr>
        <w:t>2017年11月20日</w:t>
      </w:r>
      <w:r>
        <w:rPr>
          <w:spacing w:val="-9"/>
        </w:rPr>
        <w:t>，公司投资</w:t>
      </w:r>
      <w:r>
        <w:rPr>
          <w:rFonts w:hint="eastAsia"/>
          <w:spacing w:val="-9"/>
          <w:lang w:val="en-US"/>
        </w:rPr>
        <w:t>2700</w:t>
      </w:r>
      <w:r>
        <w:t>万元在</w:t>
      </w:r>
      <w:r>
        <w:rPr>
          <w:rFonts w:hint="eastAsia"/>
          <w:spacing w:val="-1"/>
        </w:rPr>
        <w:t>赤壁市车站路</w:t>
      </w:r>
      <w:r>
        <w:rPr>
          <w:rFonts w:hint="eastAsia"/>
          <w:spacing w:val="-1"/>
          <w:lang w:val="en-US"/>
        </w:rPr>
        <w:t>70号，租赁湖北陆海科技实业有限公司内闲置厂房及办公楼进行产品的生产、加工、销售一次性塑料雨衣及塑料包装袋</w:t>
      </w:r>
      <w:r>
        <w:rPr>
          <w:spacing w:val="-2"/>
        </w:rPr>
        <w:t>，</w:t>
      </w:r>
      <w:r>
        <w:rPr>
          <w:rFonts w:hint="eastAsia"/>
          <w:spacing w:val="-1"/>
          <w:lang w:val="en-US"/>
        </w:rPr>
        <w:t>本项目占地面积3000</w:t>
      </w:r>
      <w:r>
        <w:t>㎡</w:t>
      </w:r>
      <w:r>
        <w:rPr>
          <w:rFonts w:hint="eastAsia"/>
        </w:rPr>
        <w:t>，总建筑面积约为</w:t>
      </w:r>
      <w:r>
        <w:rPr>
          <w:rFonts w:hint="eastAsia"/>
          <w:lang w:val="en-US"/>
        </w:rPr>
        <w:t>2600</w:t>
      </w:r>
      <w:r>
        <w:t>㎡</w:t>
      </w:r>
      <w:r>
        <w:rPr>
          <w:rFonts w:hint="eastAsia"/>
          <w:spacing w:val="-1"/>
          <w:lang w:val="en-US"/>
        </w:rPr>
        <w:t>总投资，</w:t>
      </w:r>
      <w:r>
        <w:t xml:space="preserve">塑料雨衣 </w:t>
      </w:r>
      <w:r>
        <w:rPr>
          <w:rFonts w:ascii="Times New Roman" w:eastAsia="Times New Roman"/>
        </w:rPr>
        <w:t xml:space="preserve">400 </w:t>
      </w:r>
      <w:r>
        <w:t>万件</w:t>
      </w:r>
      <w:r>
        <w:rPr>
          <w:rFonts w:ascii="Times New Roman" w:eastAsia="Times New Roman"/>
        </w:rPr>
        <w:t>/</w:t>
      </w:r>
      <w:r>
        <w:t xml:space="preserve">年、塑料服装袋 </w:t>
      </w:r>
      <w:r>
        <w:rPr>
          <w:rFonts w:ascii="Times New Roman" w:eastAsia="Times New Roman"/>
        </w:rPr>
        <w:t xml:space="preserve">500 </w:t>
      </w:r>
      <w:r>
        <w:t>万只</w:t>
      </w:r>
      <w:r>
        <w:rPr>
          <w:rFonts w:ascii="Times New Roman" w:eastAsia="Times New Roman"/>
        </w:rPr>
        <w:t>/</w:t>
      </w:r>
      <w:r>
        <w:t>年</w:t>
      </w:r>
      <w:r>
        <w:rPr>
          <w:spacing w:val="-5"/>
        </w:rPr>
        <w:t>项目的主</w:t>
      </w:r>
      <w:r>
        <w:t>要建设内容详见下表。</w:t>
      </w:r>
    </w:p>
    <w:p>
      <w:pPr>
        <w:pStyle w:val="9"/>
        <w:spacing w:line="230" w:lineRule="exact"/>
        <w:ind w:left="488" w:right="1"/>
      </w:pPr>
      <w:r>
        <w:t xml:space="preserve">表 </w:t>
      </w:r>
      <w:r>
        <w:rPr>
          <w:rFonts w:ascii="Times New Roman" w:eastAsia="Times New Roman"/>
        </w:rPr>
        <w:t xml:space="preserve">2.1-1 </w:t>
      </w:r>
      <w:r>
        <w:t>主要建设内容一览表</w:t>
      </w:r>
    </w:p>
    <w:p>
      <w:pPr>
        <w:pStyle w:val="10"/>
        <w:spacing w:before="3"/>
        <w:rPr>
          <w:b/>
          <w:sz w:val="12"/>
        </w:rPr>
      </w:pPr>
    </w:p>
    <w:tbl>
      <w:tblPr>
        <w:tblStyle w:val="15"/>
        <w:tblW w:w="0" w:type="auto"/>
        <w:tblInd w:w="23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63"/>
        <w:gridCol w:w="1211"/>
        <w:gridCol w:w="756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63" w:type="dxa"/>
            <w:tcBorders>
              <w:left w:val="nil"/>
              <w:bottom w:val="single" w:color="000000" w:sz="4" w:space="0"/>
              <w:right w:val="single" w:color="000000" w:sz="4" w:space="0"/>
            </w:tcBorders>
          </w:tcPr>
          <w:p>
            <w:pPr>
              <w:pStyle w:val="24"/>
              <w:spacing w:before="32"/>
              <w:ind w:left="283"/>
              <w:rPr>
                <w:b/>
                <w:sz w:val="21"/>
              </w:rPr>
            </w:pPr>
            <w:r>
              <w:rPr>
                <w:b/>
                <w:sz w:val="21"/>
              </w:rPr>
              <w:t>分类</w:t>
            </w:r>
          </w:p>
        </w:tc>
        <w:tc>
          <w:tcPr>
            <w:tcW w:w="1211" w:type="dxa"/>
            <w:tcBorders>
              <w:left w:val="single" w:color="000000" w:sz="4" w:space="0"/>
              <w:bottom w:val="single" w:color="000000" w:sz="4" w:space="0"/>
              <w:right w:val="single" w:color="000000" w:sz="4" w:space="0"/>
            </w:tcBorders>
          </w:tcPr>
          <w:p>
            <w:pPr>
              <w:pStyle w:val="24"/>
              <w:spacing w:before="32"/>
              <w:ind w:left="54" w:right="27"/>
              <w:jc w:val="center"/>
              <w:rPr>
                <w:b/>
                <w:sz w:val="21"/>
              </w:rPr>
            </w:pPr>
            <w:r>
              <w:rPr>
                <w:b/>
                <w:sz w:val="21"/>
              </w:rPr>
              <w:t>名称</w:t>
            </w:r>
          </w:p>
        </w:tc>
        <w:tc>
          <w:tcPr>
            <w:tcW w:w="7566" w:type="dxa"/>
            <w:tcBorders>
              <w:left w:val="single" w:color="000000" w:sz="4" w:space="0"/>
              <w:bottom w:val="single" w:color="000000" w:sz="4" w:space="0"/>
              <w:right w:val="nil"/>
            </w:tcBorders>
          </w:tcPr>
          <w:p>
            <w:pPr>
              <w:pStyle w:val="24"/>
              <w:spacing w:before="32"/>
              <w:ind w:left="55" w:right="26"/>
              <w:jc w:val="center"/>
              <w:rPr>
                <w:b/>
                <w:sz w:val="21"/>
              </w:rPr>
            </w:pPr>
            <w:r>
              <w:rPr>
                <w:b/>
                <w:sz w:val="21"/>
              </w:rPr>
              <w:t>建设内容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963" w:type="dxa"/>
            <w:vMerge w:val="restart"/>
            <w:tcBorders>
              <w:top w:val="single" w:color="000000" w:sz="4" w:space="0"/>
              <w:left w:val="nil"/>
              <w:right w:val="single" w:color="000000" w:sz="4" w:space="0"/>
            </w:tcBorders>
          </w:tcPr>
          <w:p>
            <w:pPr>
              <w:pStyle w:val="24"/>
              <w:spacing w:before="3"/>
              <w:jc w:val="center"/>
              <w:rPr>
                <w:b/>
                <w:sz w:val="24"/>
              </w:rPr>
            </w:pPr>
          </w:p>
          <w:p>
            <w:pPr>
              <w:pStyle w:val="24"/>
              <w:ind w:left="74"/>
              <w:jc w:val="center"/>
              <w:rPr>
                <w:sz w:val="21"/>
              </w:rPr>
            </w:pPr>
            <w:r>
              <w:rPr>
                <w:sz w:val="21"/>
              </w:rPr>
              <w:t>主体工程</w:t>
            </w:r>
          </w:p>
        </w:tc>
        <w:tc>
          <w:tcPr>
            <w:tcW w:w="1211" w:type="dxa"/>
            <w:tcBorders>
              <w:top w:val="single" w:color="000000" w:sz="4" w:space="0"/>
              <w:left w:val="single" w:color="000000" w:sz="4" w:space="0"/>
              <w:bottom w:val="single" w:color="000000" w:sz="4" w:space="0"/>
              <w:right w:val="single" w:color="000000" w:sz="4" w:space="0"/>
            </w:tcBorders>
          </w:tcPr>
          <w:p>
            <w:pPr>
              <w:pStyle w:val="24"/>
              <w:spacing w:before="136"/>
              <w:ind w:left="54" w:right="27"/>
              <w:jc w:val="center"/>
              <w:rPr>
                <w:sz w:val="21"/>
              </w:rPr>
            </w:pPr>
            <w:r>
              <w:rPr>
                <w:rFonts w:hint="eastAsia"/>
              </w:rPr>
              <w:t>制袋及吹膜车间</w:t>
            </w:r>
          </w:p>
        </w:tc>
        <w:tc>
          <w:tcPr>
            <w:tcW w:w="7566" w:type="dxa"/>
            <w:tcBorders>
              <w:top w:val="single" w:color="000000" w:sz="4" w:space="0"/>
              <w:left w:val="single" w:color="000000" w:sz="4" w:space="0"/>
              <w:bottom w:val="single" w:color="000000" w:sz="4" w:space="0"/>
              <w:right w:val="nil"/>
            </w:tcBorders>
          </w:tcPr>
          <w:p>
            <w:pPr>
              <w:pStyle w:val="24"/>
              <w:spacing w:before="4" w:line="252" w:lineRule="exact"/>
              <w:ind w:left="51" w:right="27"/>
              <w:rPr>
                <w:sz w:val="21"/>
              </w:rPr>
            </w:pPr>
            <w:r>
              <w:rPr>
                <w:rFonts w:hint="eastAsia"/>
              </w:rPr>
              <w:t>3F，建筑占地面积为804.28㎡，其中一层为原料仓及吹膜区域，二层为制袋区域，三层为塑料雨衣热切区域。生产车间内主要布置注塑机、吹膜机、制袋机、风机等生产设备，建设全自动留延膜生产线1套，形成年加工400万件塑料雨衣及500万只塑料服装袋生产规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63" w:type="dxa"/>
            <w:vMerge w:val="continue"/>
            <w:tcBorders>
              <w:left w:val="nil"/>
              <w:right w:val="single" w:color="000000" w:sz="4" w:space="0"/>
            </w:tcBorders>
          </w:tcPr>
          <w:p>
            <w:pPr>
              <w:jc w:val="cente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pStyle w:val="24"/>
              <w:spacing w:before="32"/>
              <w:ind w:left="54" w:right="27"/>
              <w:jc w:val="center"/>
              <w:rPr>
                <w:sz w:val="21"/>
              </w:rPr>
            </w:pPr>
            <w:r>
              <w:rPr>
                <w:rFonts w:hint="eastAsia"/>
              </w:rPr>
              <w:t>印刷车间</w:t>
            </w:r>
          </w:p>
        </w:tc>
        <w:tc>
          <w:tcPr>
            <w:tcW w:w="7566" w:type="dxa"/>
            <w:tcBorders>
              <w:top w:val="single" w:color="000000" w:sz="4" w:space="0"/>
              <w:left w:val="single" w:color="000000" w:sz="4" w:space="0"/>
              <w:bottom w:val="single" w:color="000000" w:sz="4" w:space="0"/>
              <w:right w:val="nil"/>
            </w:tcBorders>
          </w:tcPr>
          <w:p>
            <w:pPr>
              <w:pStyle w:val="24"/>
              <w:spacing w:before="32"/>
              <w:ind w:left="54" w:right="27"/>
              <w:rPr>
                <w:sz w:val="21"/>
              </w:rPr>
            </w:pPr>
            <w:r>
              <w:rPr>
                <w:rFonts w:hint="eastAsia"/>
                <w:lang w:val="en-US"/>
              </w:rPr>
              <w:t>1F,建筑占地面积约25</w:t>
            </w:r>
            <w:r>
              <w:rPr>
                <w:rFonts w:hint="eastAsia"/>
              </w:rPr>
              <w:t>㎡，内置全自动胶板印刷机</w:t>
            </w:r>
            <w:r>
              <w:rPr>
                <w:rFonts w:hint="eastAsia"/>
                <w:lang w:val="en-US"/>
              </w:rPr>
              <w:t>1台，对塑料服装进行印刷处理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63" w:type="dxa"/>
            <w:vMerge w:val="continue"/>
            <w:tcBorders>
              <w:left w:val="nil"/>
              <w:bottom w:val="single" w:color="000000" w:sz="4" w:space="0"/>
              <w:right w:val="single" w:color="000000" w:sz="4" w:space="0"/>
            </w:tcBorders>
          </w:tcPr>
          <w:p>
            <w:pPr>
              <w:jc w:val="cente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spacing w:line="242" w:lineRule="auto"/>
              <w:jc w:val="center"/>
            </w:pPr>
            <w:r>
              <w:rPr>
                <w:rFonts w:hint="eastAsia"/>
              </w:rPr>
              <w:t>制衣车间</w:t>
            </w:r>
          </w:p>
        </w:tc>
        <w:tc>
          <w:tcPr>
            <w:tcW w:w="7566" w:type="dxa"/>
            <w:tcBorders>
              <w:top w:val="single" w:color="000000" w:sz="4" w:space="0"/>
              <w:left w:val="single" w:color="000000" w:sz="4" w:space="0"/>
              <w:bottom w:val="single" w:color="000000" w:sz="4" w:space="0"/>
              <w:right w:val="nil"/>
            </w:tcBorders>
          </w:tcPr>
          <w:p>
            <w:pPr>
              <w:spacing w:line="242" w:lineRule="auto"/>
              <w:rPr>
                <w:lang w:val="en-US"/>
              </w:rPr>
            </w:pPr>
            <w:r>
              <w:rPr>
                <w:rFonts w:hint="eastAsia"/>
                <w:lang w:val="en-US"/>
              </w:rPr>
              <w:t>1F,建筑占地面积约250</w:t>
            </w:r>
            <w:r>
              <w:rPr>
                <w:rFonts w:hint="eastAsia"/>
              </w:rPr>
              <w:t>㎡，内置制衣机等设施，进行塑料雨衣制备及包装工序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3" w:hRule="atLeast"/>
        </w:trPr>
        <w:tc>
          <w:tcPr>
            <w:tcW w:w="963" w:type="dxa"/>
            <w:vMerge w:val="restart"/>
            <w:tcBorders>
              <w:top w:val="single" w:color="000000" w:sz="4" w:space="0"/>
              <w:left w:val="nil"/>
              <w:bottom w:val="single" w:color="000000" w:sz="4" w:space="0"/>
              <w:right w:val="single" w:color="000000" w:sz="4" w:space="0"/>
            </w:tcBorders>
          </w:tcPr>
          <w:p>
            <w:pPr>
              <w:spacing w:line="242" w:lineRule="auto"/>
              <w:jc w:val="center"/>
              <w:rPr>
                <w:sz w:val="21"/>
              </w:rPr>
            </w:pPr>
            <w:r>
              <w:rPr>
                <w:rFonts w:hint="eastAsia"/>
              </w:rPr>
              <w:t>储运工程</w:t>
            </w:r>
          </w:p>
        </w:tc>
        <w:tc>
          <w:tcPr>
            <w:tcW w:w="1211" w:type="dxa"/>
            <w:tcBorders>
              <w:top w:val="single" w:color="000000" w:sz="4" w:space="0"/>
              <w:left w:val="single" w:color="000000" w:sz="4" w:space="0"/>
              <w:bottom w:val="single" w:color="000000" w:sz="4" w:space="0"/>
              <w:right w:val="single" w:color="000000" w:sz="4" w:space="0"/>
            </w:tcBorders>
          </w:tcPr>
          <w:p>
            <w:pPr>
              <w:spacing w:line="242" w:lineRule="auto"/>
              <w:jc w:val="center"/>
              <w:rPr>
                <w:sz w:val="21"/>
              </w:rPr>
            </w:pPr>
            <w:r>
              <w:rPr>
                <w:rFonts w:hint="eastAsia"/>
              </w:rPr>
              <w:t>原料堆放区</w:t>
            </w:r>
          </w:p>
        </w:tc>
        <w:tc>
          <w:tcPr>
            <w:tcW w:w="7566" w:type="dxa"/>
            <w:tcBorders>
              <w:top w:val="single" w:color="000000" w:sz="4" w:space="0"/>
              <w:left w:val="single" w:color="000000" w:sz="4" w:space="0"/>
              <w:bottom w:val="single" w:color="000000" w:sz="4" w:space="0"/>
              <w:right w:val="nil"/>
            </w:tcBorders>
          </w:tcPr>
          <w:p>
            <w:pPr>
              <w:spacing w:line="242" w:lineRule="auto"/>
              <w:rPr>
                <w:rFonts w:ascii="Times New Roman" w:eastAsia="Times New Roman"/>
                <w:sz w:val="21"/>
              </w:rPr>
            </w:pPr>
            <w:r>
              <w:rPr>
                <w:rFonts w:hint="eastAsia"/>
                <w:lang w:val="en-US"/>
              </w:rPr>
              <w:t>1F，位于项目厂区北侧，占地面积约439</w:t>
            </w:r>
            <w:r>
              <w:rPr>
                <w:rFonts w:hint="eastAsia"/>
              </w:rPr>
              <w:t>㎡，主要用于原料的储存。</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963" w:type="dxa"/>
            <w:vMerge w:val="continue"/>
            <w:tcBorders>
              <w:top w:val="nil"/>
              <w:left w:val="nil"/>
              <w:bottom w:val="single" w:color="000000" w:sz="4" w:space="0"/>
              <w:right w:val="single" w:color="000000" w:sz="4" w:space="0"/>
            </w:tcBorders>
          </w:tcPr>
          <w:p>
            <w:pPr>
              <w:spacing w:line="242" w:lineRule="auto"/>
              <w:jc w:val="cente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spacing w:line="242" w:lineRule="auto"/>
              <w:jc w:val="center"/>
              <w:rPr>
                <w:sz w:val="21"/>
              </w:rPr>
            </w:pPr>
            <w:r>
              <w:rPr>
                <w:rFonts w:hint="eastAsia"/>
              </w:rPr>
              <w:t>产品堆放区</w:t>
            </w:r>
          </w:p>
        </w:tc>
        <w:tc>
          <w:tcPr>
            <w:tcW w:w="7566" w:type="dxa"/>
            <w:tcBorders>
              <w:top w:val="single" w:color="000000" w:sz="4" w:space="0"/>
              <w:left w:val="single" w:color="000000" w:sz="4" w:space="0"/>
              <w:bottom w:val="single" w:color="000000" w:sz="4" w:space="0"/>
              <w:right w:val="nil"/>
            </w:tcBorders>
          </w:tcPr>
          <w:p>
            <w:pPr>
              <w:spacing w:line="242" w:lineRule="auto"/>
              <w:rPr>
                <w:rFonts w:ascii="Times New Roman" w:eastAsia="Times New Roman"/>
                <w:sz w:val="21"/>
              </w:rPr>
            </w:pPr>
            <w:r>
              <w:rPr>
                <w:rFonts w:hint="eastAsia"/>
                <w:lang w:val="en-US"/>
              </w:rPr>
              <w:t>位于制袋及吹膜生产车间1楼，占地面积约800</w:t>
            </w:r>
            <w:r>
              <w:rPr>
                <w:rFonts w:hint="eastAsia"/>
              </w:rPr>
              <w:t>㎡，主要用于塑料服装袋产品及塑料雨衣产品的存放</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63" w:type="dxa"/>
            <w:vMerge w:val="restart"/>
            <w:tcBorders>
              <w:top w:val="single" w:color="000000" w:sz="4" w:space="0"/>
              <w:left w:val="nil"/>
              <w:bottom w:val="single" w:color="000000" w:sz="4" w:space="0"/>
              <w:right w:val="single" w:color="000000" w:sz="4" w:space="0"/>
            </w:tcBorders>
          </w:tcPr>
          <w:p>
            <w:pPr>
              <w:spacing w:line="242" w:lineRule="auto"/>
              <w:jc w:val="center"/>
            </w:pPr>
          </w:p>
          <w:p>
            <w:pPr>
              <w:spacing w:line="242" w:lineRule="auto"/>
              <w:jc w:val="center"/>
            </w:pPr>
          </w:p>
          <w:p>
            <w:pPr>
              <w:spacing w:line="242" w:lineRule="auto"/>
              <w:jc w:val="center"/>
              <w:rPr>
                <w:sz w:val="21"/>
              </w:rPr>
            </w:pPr>
            <w:r>
              <w:rPr>
                <w:rFonts w:hint="eastAsia"/>
              </w:rPr>
              <w:t>辅助工程</w:t>
            </w:r>
          </w:p>
        </w:tc>
        <w:tc>
          <w:tcPr>
            <w:tcW w:w="1211" w:type="dxa"/>
            <w:tcBorders>
              <w:top w:val="single" w:color="000000" w:sz="4" w:space="0"/>
              <w:left w:val="single" w:color="000000" w:sz="4" w:space="0"/>
              <w:bottom w:val="single" w:color="000000" w:sz="4" w:space="0"/>
              <w:right w:val="single" w:color="000000" w:sz="4" w:space="0"/>
            </w:tcBorders>
          </w:tcPr>
          <w:p>
            <w:pPr>
              <w:spacing w:line="242" w:lineRule="auto"/>
              <w:jc w:val="center"/>
              <w:rPr>
                <w:sz w:val="21"/>
              </w:rPr>
            </w:pPr>
            <w:r>
              <w:rPr>
                <w:rFonts w:hint="eastAsia"/>
                <w:lang w:val="en-US"/>
              </w:rPr>
              <w:t>杂件室</w:t>
            </w:r>
          </w:p>
        </w:tc>
        <w:tc>
          <w:tcPr>
            <w:tcW w:w="7566" w:type="dxa"/>
            <w:tcBorders>
              <w:top w:val="single" w:color="000000" w:sz="4" w:space="0"/>
              <w:left w:val="single" w:color="000000" w:sz="4" w:space="0"/>
              <w:bottom w:val="single" w:color="000000" w:sz="4" w:space="0"/>
              <w:right w:val="nil"/>
            </w:tcBorders>
          </w:tcPr>
          <w:p>
            <w:pPr>
              <w:spacing w:line="242" w:lineRule="auto"/>
              <w:rPr>
                <w:sz w:val="21"/>
              </w:rPr>
            </w:pPr>
            <w:r>
              <w:rPr>
                <w:rFonts w:hint="eastAsia"/>
                <w:lang w:val="en-US"/>
              </w:rPr>
              <w:t>1间，用于存放各种维修工具，位于办公综合楼内，占地面积10</w:t>
            </w:r>
            <w:r>
              <w:rPr>
                <w:rFonts w:hint="eastAsia"/>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963" w:type="dxa"/>
            <w:vMerge w:val="continue"/>
            <w:tcBorders>
              <w:top w:val="nil"/>
              <w:left w:val="nil"/>
              <w:bottom w:val="single" w:color="000000" w:sz="4" w:space="0"/>
              <w:right w:val="single" w:color="000000" w:sz="4" w:space="0"/>
            </w:tcBorders>
          </w:tcPr>
          <w:p>
            <w:pPr>
              <w:spacing w:line="242" w:lineRule="auto"/>
              <w:jc w:val="cente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spacing w:line="242" w:lineRule="auto"/>
              <w:jc w:val="center"/>
            </w:pPr>
          </w:p>
          <w:p>
            <w:pPr>
              <w:spacing w:line="242" w:lineRule="auto"/>
              <w:jc w:val="center"/>
              <w:rPr>
                <w:sz w:val="21"/>
              </w:rPr>
            </w:pPr>
            <w:r>
              <w:rPr>
                <w:rFonts w:hint="eastAsia"/>
              </w:rPr>
              <w:t>危险废物暂存间</w:t>
            </w:r>
          </w:p>
        </w:tc>
        <w:tc>
          <w:tcPr>
            <w:tcW w:w="7566" w:type="dxa"/>
            <w:tcBorders>
              <w:top w:val="single" w:color="000000" w:sz="4" w:space="0"/>
              <w:left w:val="single" w:color="000000" w:sz="4" w:space="0"/>
              <w:bottom w:val="single" w:color="000000" w:sz="4" w:space="0"/>
              <w:right w:val="nil"/>
            </w:tcBorders>
          </w:tcPr>
          <w:p>
            <w:pPr>
              <w:spacing w:line="242" w:lineRule="auto"/>
              <w:rPr>
                <w:sz w:val="21"/>
              </w:rPr>
            </w:pPr>
            <w:r>
              <w:rPr>
                <w:rFonts w:hint="eastAsia"/>
                <w:lang w:val="en-US"/>
              </w:rPr>
              <w:t>1间，用于暂存废机油、含油抹布、废油墨罐、废活性炭等、位于原料仓库西侧，占地面积20</w:t>
            </w:r>
            <w:r>
              <w:rPr>
                <w:rFonts w:hint="eastAsia"/>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963" w:type="dxa"/>
            <w:vMerge w:val="continue"/>
            <w:tcBorders>
              <w:top w:val="nil"/>
              <w:left w:val="nil"/>
              <w:bottom w:val="single" w:color="000000" w:sz="4" w:space="0"/>
              <w:right w:val="single" w:color="000000" w:sz="4" w:space="0"/>
            </w:tcBorders>
          </w:tcPr>
          <w:p>
            <w:pPr>
              <w:spacing w:line="242" w:lineRule="auto"/>
              <w:jc w:val="cente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spacing w:line="242" w:lineRule="auto"/>
              <w:jc w:val="center"/>
              <w:rPr>
                <w:sz w:val="21"/>
              </w:rPr>
            </w:pPr>
            <w:r>
              <w:rPr>
                <w:rFonts w:hint="eastAsia"/>
              </w:rPr>
              <w:t>一般固废暂存间</w:t>
            </w:r>
          </w:p>
        </w:tc>
        <w:tc>
          <w:tcPr>
            <w:tcW w:w="7566" w:type="dxa"/>
            <w:tcBorders>
              <w:top w:val="single" w:color="000000" w:sz="4" w:space="0"/>
              <w:left w:val="single" w:color="000000" w:sz="4" w:space="0"/>
              <w:bottom w:val="single" w:color="000000" w:sz="4" w:space="0"/>
              <w:right w:val="nil"/>
            </w:tcBorders>
          </w:tcPr>
          <w:p>
            <w:pPr>
              <w:spacing w:line="242" w:lineRule="auto"/>
              <w:rPr>
                <w:sz w:val="21"/>
              </w:rPr>
            </w:pPr>
            <w:r>
              <w:rPr>
                <w:rFonts w:hint="eastAsia"/>
                <w:lang w:val="en-US"/>
              </w:rPr>
              <w:t>1间，用于废边角料、不合格产品及废包装材料的存放，位于产品堆放区西侧，占地面积50</w:t>
            </w:r>
            <w:r>
              <w:rPr>
                <w:rFonts w:hint="eastAsia"/>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63" w:type="dxa"/>
            <w:vMerge w:val="restart"/>
            <w:tcBorders>
              <w:top w:val="single" w:color="000000" w:sz="4" w:space="0"/>
              <w:left w:val="nil"/>
              <w:bottom w:val="single" w:color="000000" w:sz="4" w:space="0"/>
              <w:right w:val="single" w:color="000000" w:sz="4" w:space="0"/>
            </w:tcBorders>
          </w:tcPr>
          <w:p>
            <w:pPr>
              <w:spacing w:line="242" w:lineRule="auto"/>
              <w:jc w:val="center"/>
              <w:rPr>
                <w:sz w:val="21"/>
              </w:rPr>
            </w:pPr>
            <w:r>
              <w:rPr>
                <w:rFonts w:hint="eastAsia"/>
              </w:rPr>
              <w:t>公用工程</w:t>
            </w:r>
          </w:p>
        </w:tc>
        <w:tc>
          <w:tcPr>
            <w:tcW w:w="1211" w:type="dxa"/>
            <w:tcBorders>
              <w:top w:val="single" w:color="000000" w:sz="4" w:space="0"/>
              <w:left w:val="single" w:color="000000" w:sz="4" w:space="0"/>
              <w:bottom w:val="single" w:color="000000" w:sz="4" w:space="0"/>
              <w:right w:val="single" w:color="000000" w:sz="4" w:space="0"/>
            </w:tcBorders>
          </w:tcPr>
          <w:p>
            <w:pPr>
              <w:spacing w:line="242" w:lineRule="auto"/>
              <w:jc w:val="center"/>
              <w:rPr>
                <w:sz w:val="21"/>
              </w:rPr>
            </w:pPr>
            <w:r>
              <w:rPr>
                <w:rFonts w:hint="eastAsia"/>
              </w:rPr>
              <w:t>供电</w:t>
            </w:r>
          </w:p>
        </w:tc>
        <w:tc>
          <w:tcPr>
            <w:tcW w:w="7566" w:type="dxa"/>
            <w:tcBorders>
              <w:top w:val="single" w:color="000000" w:sz="4" w:space="0"/>
              <w:left w:val="single" w:color="000000" w:sz="4" w:space="0"/>
              <w:bottom w:val="single" w:color="000000" w:sz="4" w:space="0"/>
              <w:right w:val="nil"/>
            </w:tcBorders>
          </w:tcPr>
          <w:p>
            <w:pPr>
              <w:spacing w:line="242" w:lineRule="auto"/>
              <w:rPr>
                <w:rFonts w:ascii="Times New Roman" w:hAnsi="Times New Roman" w:eastAsia="Times New Roman"/>
                <w:sz w:val="21"/>
              </w:rPr>
            </w:pPr>
            <w:r>
              <w:rPr>
                <w:rFonts w:hint="eastAsia"/>
                <w:lang w:val="en-US"/>
              </w:rPr>
              <w:t>市政供电电网供给，年耗量15万kW.h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63" w:type="dxa"/>
            <w:vMerge w:val="continue"/>
            <w:tcBorders>
              <w:top w:val="nil"/>
              <w:left w:val="nil"/>
              <w:bottom w:val="single" w:color="000000" w:sz="4" w:space="0"/>
              <w:right w:val="single" w:color="000000" w:sz="4" w:space="0"/>
            </w:tcBorders>
          </w:tcPr>
          <w:p>
            <w:pPr>
              <w:spacing w:line="242" w:lineRule="auto"/>
              <w:jc w:val="cente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spacing w:line="242" w:lineRule="auto"/>
              <w:jc w:val="center"/>
              <w:rPr>
                <w:sz w:val="21"/>
              </w:rPr>
            </w:pPr>
            <w:r>
              <w:rPr>
                <w:rFonts w:hint="eastAsia"/>
              </w:rPr>
              <w:t>供水</w:t>
            </w:r>
          </w:p>
        </w:tc>
        <w:tc>
          <w:tcPr>
            <w:tcW w:w="7566" w:type="dxa"/>
            <w:tcBorders>
              <w:top w:val="single" w:color="000000" w:sz="4" w:space="0"/>
              <w:left w:val="single" w:color="000000" w:sz="4" w:space="0"/>
              <w:bottom w:val="single" w:color="000000" w:sz="4" w:space="0"/>
              <w:right w:val="nil"/>
            </w:tcBorders>
          </w:tcPr>
          <w:p>
            <w:pPr>
              <w:spacing w:line="242" w:lineRule="auto"/>
              <w:rPr>
                <w:rFonts w:ascii="Times New Roman" w:hAnsi="Times New Roman" w:eastAsia="Times New Roman"/>
                <w:sz w:val="21"/>
              </w:rPr>
            </w:pPr>
            <w:r>
              <w:rPr>
                <w:rFonts w:hint="eastAsia"/>
                <w:lang w:val="en-US"/>
              </w:rPr>
              <w:t>引自市政给水管网，年供水量1447.5m³</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963" w:type="dxa"/>
            <w:vMerge w:val="continue"/>
            <w:tcBorders>
              <w:top w:val="nil"/>
              <w:left w:val="nil"/>
              <w:bottom w:val="single" w:color="000000" w:sz="4" w:space="0"/>
              <w:right w:val="single" w:color="000000" w:sz="4" w:space="0"/>
            </w:tcBorders>
          </w:tcPr>
          <w:p>
            <w:pPr>
              <w:spacing w:line="242" w:lineRule="auto"/>
              <w:jc w:val="cente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spacing w:line="242" w:lineRule="auto"/>
              <w:jc w:val="center"/>
              <w:rPr>
                <w:sz w:val="21"/>
              </w:rPr>
            </w:pPr>
            <w:r>
              <w:rPr>
                <w:rFonts w:hint="eastAsia"/>
              </w:rPr>
              <w:t>排水系统</w:t>
            </w:r>
          </w:p>
        </w:tc>
        <w:tc>
          <w:tcPr>
            <w:tcW w:w="7566" w:type="dxa"/>
            <w:tcBorders>
              <w:top w:val="single" w:color="000000" w:sz="4" w:space="0"/>
              <w:left w:val="single" w:color="000000" w:sz="4" w:space="0"/>
              <w:bottom w:val="single" w:color="000000" w:sz="4" w:space="0"/>
              <w:right w:val="nil"/>
            </w:tcBorders>
          </w:tcPr>
          <w:p>
            <w:pPr>
              <w:spacing w:line="242" w:lineRule="auto"/>
              <w:rPr>
                <w:sz w:val="21"/>
              </w:rPr>
            </w:pPr>
            <w:r>
              <w:rPr>
                <w:rFonts w:hint="eastAsia"/>
                <w:lang w:val="en-US"/>
              </w:rPr>
              <w:t>排水采雨污分流，雨水经雨水管网后进入市政雨水管网，污水经厂区内自建隔油池和化粪池处理后进入市政污水管网后再进入赤壁市污水处理厂深度处理。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963" w:type="dxa"/>
            <w:vMerge w:val="restart"/>
            <w:tcBorders>
              <w:top w:val="single" w:color="000000" w:sz="4" w:space="0"/>
              <w:left w:val="nil"/>
              <w:right w:val="single" w:color="000000" w:sz="4" w:space="0"/>
            </w:tcBorders>
          </w:tcPr>
          <w:p>
            <w:pPr>
              <w:pStyle w:val="24"/>
              <w:rPr>
                <w:b/>
                <w:sz w:val="20"/>
              </w:rPr>
            </w:pPr>
          </w:p>
          <w:p>
            <w:pPr>
              <w:pStyle w:val="24"/>
              <w:rPr>
                <w:b/>
                <w:sz w:val="20"/>
              </w:rPr>
            </w:pPr>
          </w:p>
          <w:p>
            <w:pPr>
              <w:pStyle w:val="24"/>
              <w:rPr>
                <w:b/>
                <w:sz w:val="20"/>
              </w:rPr>
            </w:pPr>
          </w:p>
          <w:p>
            <w:pPr>
              <w:pStyle w:val="24"/>
              <w:rPr>
                <w:b/>
                <w:sz w:val="20"/>
              </w:rPr>
            </w:pPr>
          </w:p>
          <w:p>
            <w:pPr>
              <w:pStyle w:val="24"/>
              <w:rPr>
                <w:b/>
                <w:sz w:val="20"/>
              </w:rPr>
            </w:pPr>
          </w:p>
          <w:p>
            <w:pPr>
              <w:pStyle w:val="24"/>
              <w:rPr>
                <w:b/>
                <w:sz w:val="20"/>
              </w:rPr>
            </w:pPr>
          </w:p>
          <w:p>
            <w:pPr>
              <w:pStyle w:val="24"/>
              <w:rPr>
                <w:b/>
                <w:sz w:val="20"/>
              </w:rPr>
            </w:pPr>
          </w:p>
          <w:p>
            <w:pPr>
              <w:pStyle w:val="24"/>
              <w:spacing w:before="166"/>
              <w:ind w:left="74"/>
              <w:rPr>
                <w:sz w:val="21"/>
              </w:rPr>
            </w:pPr>
            <w:r>
              <w:rPr>
                <w:sz w:val="21"/>
              </w:rPr>
              <w:t>环保工程</w:t>
            </w:r>
          </w:p>
        </w:tc>
        <w:tc>
          <w:tcPr>
            <w:tcW w:w="1211" w:type="dxa"/>
            <w:tcBorders>
              <w:top w:val="single" w:color="000000" w:sz="4" w:space="0"/>
              <w:left w:val="single" w:color="000000" w:sz="4" w:space="0"/>
              <w:bottom w:val="single" w:color="000000" w:sz="4" w:space="0"/>
              <w:right w:val="single" w:color="000000" w:sz="4" w:space="0"/>
            </w:tcBorders>
          </w:tcPr>
          <w:p>
            <w:pPr>
              <w:pStyle w:val="24"/>
              <w:spacing w:before="35"/>
              <w:ind w:left="54" w:right="27"/>
              <w:jc w:val="center"/>
              <w:rPr>
                <w:sz w:val="21"/>
              </w:rPr>
            </w:pPr>
            <w:r>
              <w:rPr>
                <w:sz w:val="21"/>
              </w:rPr>
              <w:t>废水处理</w:t>
            </w:r>
          </w:p>
        </w:tc>
        <w:tc>
          <w:tcPr>
            <w:tcW w:w="7566" w:type="dxa"/>
            <w:tcBorders>
              <w:top w:val="single" w:color="000000" w:sz="4" w:space="0"/>
              <w:left w:val="single" w:color="000000" w:sz="4" w:space="0"/>
              <w:bottom w:val="single" w:color="000000" w:sz="4" w:space="0"/>
              <w:right w:val="nil"/>
            </w:tcBorders>
          </w:tcPr>
          <w:p>
            <w:pPr>
              <w:pStyle w:val="24"/>
              <w:spacing w:before="35"/>
              <w:ind w:left="51" w:right="27"/>
              <w:rPr>
                <w:sz w:val="21"/>
              </w:rPr>
            </w:pPr>
            <w:r>
              <w:rPr>
                <w:sz w:val="21"/>
              </w:rPr>
              <w:t>办公生活废水经厂区内化粪池处理后用于附近农田灌溉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7" w:hRule="atLeast"/>
        </w:trPr>
        <w:tc>
          <w:tcPr>
            <w:tcW w:w="963" w:type="dxa"/>
            <w:vMerge w:val="continue"/>
            <w:tcBorders>
              <w:top w:val="nil"/>
              <w:left w:val="nil"/>
              <w:right w:val="single" w:color="000000" w:sz="4" w:space="0"/>
            </w:tcBorders>
          </w:tcPr>
          <w:p>
            <w:pP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pStyle w:val="24"/>
              <w:rPr>
                <w:b/>
                <w:sz w:val="20"/>
              </w:rPr>
            </w:pPr>
          </w:p>
          <w:p>
            <w:pPr>
              <w:pStyle w:val="24"/>
              <w:spacing w:before="143"/>
              <w:ind w:left="54" w:right="27"/>
              <w:jc w:val="center"/>
              <w:rPr>
                <w:sz w:val="21"/>
              </w:rPr>
            </w:pPr>
            <w:r>
              <w:rPr>
                <w:sz w:val="21"/>
              </w:rPr>
              <w:t>废气处理</w:t>
            </w:r>
          </w:p>
        </w:tc>
        <w:tc>
          <w:tcPr>
            <w:tcW w:w="7566" w:type="dxa"/>
            <w:tcBorders>
              <w:top w:val="single" w:color="000000" w:sz="4" w:space="0"/>
              <w:left w:val="single" w:color="000000" w:sz="4" w:space="0"/>
              <w:bottom w:val="single" w:color="000000" w:sz="4" w:space="0"/>
              <w:right w:val="nil"/>
            </w:tcBorders>
          </w:tcPr>
          <w:p>
            <w:pPr>
              <w:pStyle w:val="24"/>
              <w:spacing w:before="16"/>
              <w:ind w:left="55"/>
              <w:rPr>
                <w:sz w:val="21"/>
              </w:rPr>
            </w:pPr>
            <w:r>
              <w:rPr>
                <w:spacing w:val="-8"/>
                <w:w w:val="95"/>
                <w:sz w:val="21"/>
              </w:rPr>
              <w:t>主体车间、印刷车间分别设置封闭式厂房，产生的非甲烷总</w:t>
            </w:r>
            <w:r>
              <w:rPr>
                <w:spacing w:val="-6"/>
                <w:sz w:val="21"/>
              </w:rPr>
              <w:t xml:space="preserve">烃经集气罩收集后进入 </w:t>
            </w:r>
            <w:r>
              <w:rPr>
                <w:rFonts w:ascii="Times New Roman" w:eastAsia="Times New Roman"/>
                <w:sz w:val="21"/>
              </w:rPr>
              <w:t xml:space="preserve">UV </w:t>
            </w:r>
            <w:r>
              <w:rPr>
                <w:sz w:val="21"/>
              </w:rPr>
              <w:t>光解装置后再进入活性炭吸</w:t>
            </w:r>
            <w:r>
              <w:rPr>
                <w:spacing w:val="-7"/>
                <w:sz w:val="21"/>
              </w:rPr>
              <w:t xml:space="preserve">附装置处理后通过 </w:t>
            </w:r>
            <w:r>
              <w:rPr>
                <w:rFonts w:ascii="Times New Roman" w:eastAsia="Times New Roman"/>
                <w:sz w:val="21"/>
              </w:rPr>
              <w:t xml:space="preserve">15m </w:t>
            </w:r>
            <w:r>
              <w:rPr>
                <w:spacing w:val="-7"/>
                <w:sz w:val="21"/>
              </w:rPr>
              <w:t>高排</w:t>
            </w:r>
            <w:r>
              <w:rPr>
                <w:sz w:val="21"/>
              </w:rPr>
              <w:t>气筒（</w:t>
            </w:r>
            <w:r>
              <w:rPr>
                <w:rFonts w:ascii="Times New Roman" w:eastAsia="Times New Roman"/>
                <w:sz w:val="21"/>
              </w:rPr>
              <w:t>P1</w:t>
            </w:r>
            <w:r>
              <w:rPr>
                <w:sz w:val="21"/>
              </w:rPr>
              <w:t>、</w:t>
            </w:r>
            <w:r>
              <w:rPr>
                <w:rFonts w:ascii="Times New Roman" w:eastAsia="Times New Roman"/>
                <w:sz w:val="21"/>
              </w:rPr>
              <w:t>P2</w:t>
            </w:r>
            <w:r>
              <w:rPr>
                <w:sz w:val="21"/>
              </w:rPr>
              <w:t>）排放</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70" w:hRule="atLeast"/>
        </w:trPr>
        <w:tc>
          <w:tcPr>
            <w:tcW w:w="963" w:type="dxa"/>
            <w:vMerge w:val="continue"/>
            <w:tcBorders>
              <w:top w:val="nil"/>
              <w:left w:val="nil"/>
              <w:right w:val="single" w:color="000000" w:sz="4" w:space="0"/>
            </w:tcBorders>
          </w:tcPr>
          <w:p>
            <w:pP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pStyle w:val="24"/>
              <w:spacing w:before="125"/>
              <w:ind w:left="54" w:right="27"/>
              <w:jc w:val="center"/>
              <w:rPr>
                <w:rFonts w:ascii="Times New Roman"/>
                <w:sz w:val="20"/>
              </w:rPr>
            </w:pPr>
            <w:r>
              <w:rPr>
                <w:sz w:val="21"/>
              </w:rPr>
              <w:t>噪声处理</w:t>
            </w:r>
          </w:p>
        </w:tc>
        <w:tc>
          <w:tcPr>
            <w:tcW w:w="7566" w:type="dxa"/>
            <w:tcBorders>
              <w:top w:val="single" w:color="000000" w:sz="4" w:space="0"/>
              <w:left w:val="single" w:color="000000" w:sz="4" w:space="0"/>
              <w:bottom w:val="single" w:color="000000" w:sz="4" w:space="0"/>
              <w:right w:val="nil"/>
            </w:tcBorders>
          </w:tcPr>
          <w:p>
            <w:pPr>
              <w:spacing w:line="242" w:lineRule="auto"/>
              <w:rPr>
                <w:rFonts w:ascii="Calibri" w:hAnsi="Calibri" w:cs="Calibri"/>
                <w:lang w:val="en-US"/>
              </w:rPr>
            </w:pPr>
            <w:r>
              <w:rPr>
                <w:rFonts w:ascii="Calibri" w:hAnsi="Calibri" w:cs="Calibri"/>
                <w:lang w:val="en-US"/>
              </w:rPr>
              <w:t>①</w:t>
            </w:r>
            <w:r>
              <w:rPr>
                <w:rFonts w:hint="eastAsia" w:ascii="Calibri" w:hAnsi="Calibri" w:cs="Calibri"/>
                <w:lang w:val="en-US"/>
              </w:rPr>
              <w:t>采用低噪声设备，对噪声设备；</w:t>
            </w:r>
          </w:p>
          <w:p>
            <w:pPr>
              <w:spacing w:line="242" w:lineRule="auto"/>
              <w:rPr>
                <w:rFonts w:ascii="Calibri" w:hAnsi="Calibri" w:cs="Calibri"/>
                <w:lang w:val="en-US"/>
              </w:rPr>
            </w:pPr>
            <w:r>
              <w:rPr>
                <w:rFonts w:ascii="Calibri" w:hAnsi="Calibri" w:cs="Calibri"/>
                <w:lang w:val="en-US"/>
              </w:rPr>
              <w:t>②</w:t>
            </w:r>
            <w:r>
              <w:rPr>
                <w:rFonts w:hint="eastAsia" w:ascii="Calibri" w:hAnsi="Calibri" w:cs="Calibri"/>
                <w:lang w:val="en-US"/>
              </w:rPr>
              <w:t>采用隔声、消声、减振等降噪措施；</w:t>
            </w:r>
          </w:p>
          <w:p>
            <w:pPr>
              <w:spacing w:line="242" w:lineRule="auto"/>
              <w:rPr>
                <w:rFonts w:ascii="Calibri" w:hAnsi="Calibri" w:cs="Calibri"/>
                <w:lang w:val="en-US"/>
              </w:rPr>
            </w:pPr>
            <w:r>
              <w:rPr>
                <w:rFonts w:ascii="Calibri" w:hAnsi="Calibri" w:cs="Calibri"/>
                <w:lang w:val="en-US"/>
              </w:rPr>
              <w:t>③</w:t>
            </w:r>
            <w:r>
              <w:rPr>
                <w:rFonts w:hint="eastAsia" w:ascii="Calibri" w:hAnsi="Calibri" w:cs="Calibri"/>
                <w:lang w:val="en-US"/>
              </w:rPr>
              <w:t>进出车辆安装减速带、警示标志，厂区内禁止鸣笛；</w:t>
            </w:r>
          </w:p>
          <w:p>
            <w:pPr>
              <w:pStyle w:val="24"/>
              <w:spacing w:before="2" w:line="243" w:lineRule="exact"/>
              <w:ind w:left="51" w:right="27"/>
              <w:rPr>
                <w:sz w:val="21"/>
              </w:rPr>
            </w:pPr>
            <w:r>
              <w:rPr>
                <w:rFonts w:ascii="Calibri" w:hAnsi="Calibri" w:cs="Calibri"/>
                <w:lang w:val="en-US"/>
              </w:rPr>
              <w:t>④</w:t>
            </w:r>
            <w:r>
              <w:rPr>
                <w:rFonts w:hint="eastAsia" w:ascii="Calibri" w:hAnsi="Calibri" w:cs="Calibri"/>
                <w:lang w:val="en-US"/>
              </w:rPr>
              <w:t>合理安排作息时间，噪声产生量大的设备夜间禁止生产。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78" w:hRule="atLeast"/>
        </w:trPr>
        <w:tc>
          <w:tcPr>
            <w:tcW w:w="963" w:type="dxa"/>
            <w:vMerge w:val="continue"/>
            <w:tcBorders>
              <w:top w:val="nil"/>
              <w:left w:val="nil"/>
              <w:right w:val="single" w:color="000000" w:sz="4" w:space="0"/>
            </w:tcBorders>
          </w:tcPr>
          <w:p>
            <w:pPr>
              <w:rPr>
                <w:sz w:val="2"/>
                <w:szCs w:val="2"/>
              </w:rPr>
            </w:pPr>
          </w:p>
        </w:tc>
        <w:tc>
          <w:tcPr>
            <w:tcW w:w="1211" w:type="dxa"/>
            <w:tcBorders>
              <w:top w:val="single" w:color="000000" w:sz="4" w:space="0"/>
              <w:left w:val="single" w:color="000000" w:sz="4" w:space="0"/>
              <w:right w:val="single" w:color="000000" w:sz="4" w:space="0"/>
            </w:tcBorders>
          </w:tcPr>
          <w:p>
            <w:pPr>
              <w:pStyle w:val="24"/>
              <w:rPr>
                <w:b/>
                <w:sz w:val="20"/>
              </w:rPr>
            </w:pPr>
          </w:p>
          <w:p>
            <w:pPr>
              <w:pStyle w:val="24"/>
              <w:spacing w:before="142"/>
              <w:ind w:left="54" w:right="27"/>
              <w:jc w:val="center"/>
              <w:rPr>
                <w:sz w:val="21"/>
              </w:rPr>
            </w:pPr>
            <w:r>
              <w:rPr>
                <w:sz w:val="21"/>
              </w:rPr>
              <w:t>固废处置</w:t>
            </w:r>
          </w:p>
        </w:tc>
        <w:tc>
          <w:tcPr>
            <w:tcW w:w="7566" w:type="dxa"/>
            <w:tcBorders>
              <w:top w:val="single" w:color="000000" w:sz="4" w:space="0"/>
              <w:left w:val="single" w:color="000000" w:sz="4" w:space="0"/>
              <w:right w:val="nil"/>
            </w:tcBorders>
          </w:tcPr>
          <w:p>
            <w:pPr>
              <w:pStyle w:val="24"/>
              <w:spacing w:before="21"/>
              <w:ind w:left="107"/>
              <w:rPr>
                <w:sz w:val="21"/>
              </w:rPr>
            </w:pPr>
            <w:r>
              <w:rPr>
                <w:rFonts w:hint="eastAsia"/>
                <w:sz w:val="21"/>
              </w:rPr>
              <w:t>①生活垃圾交由环卫部门统一清</w:t>
            </w:r>
          </w:p>
          <w:p>
            <w:pPr>
              <w:pStyle w:val="24"/>
              <w:spacing w:before="21"/>
              <w:ind w:left="107"/>
              <w:rPr>
                <w:sz w:val="21"/>
              </w:rPr>
            </w:pPr>
            <w:r>
              <w:rPr>
                <w:rFonts w:hint="eastAsia"/>
                <w:sz w:val="21"/>
              </w:rPr>
              <w:t>运；</w:t>
            </w:r>
          </w:p>
          <w:p>
            <w:pPr>
              <w:pStyle w:val="24"/>
              <w:spacing w:before="21"/>
              <w:ind w:left="107"/>
              <w:rPr>
                <w:sz w:val="21"/>
              </w:rPr>
            </w:pPr>
            <w:r>
              <w:rPr>
                <w:rFonts w:hint="eastAsia"/>
                <w:sz w:val="21"/>
              </w:rPr>
              <w:t>②不合格产品、废边角料经收集</w:t>
            </w:r>
          </w:p>
          <w:p>
            <w:pPr>
              <w:pStyle w:val="24"/>
              <w:spacing w:before="21"/>
              <w:ind w:left="107"/>
              <w:rPr>
                <w:sz w:val="21"/>
              </w:rPr>
            </w:pPr>
            <w:r>
              <w:rPr>
                <w:rFonts w:hint="eastAsia"/>
                <w:sz w:val="21"/>
              </w:rPr>
              <w:t>后混入原料中综合利用；</w:t>
            </w:r>
          </w:p>
          <w:p>
            <w:pPr>
              <w:pStyle w:val="24"/>
              <w:spacing w:before="21"/>
              <w:ind w:left="107"/>
              <w:rPr>
                <w:sz w:val="21"/>
              </w:rPr>
            </w:pPr>
            <w:r>
              <w:rPr>
                <w:rFonts w:hint="eastAsia"/>
                <w:sz w:val="21"/>
              </w:rPr>
              <w:t>③废包装材料经收集后外售给物资回收部门；</w:t>
            </w:r>
          </w:p>
          <w:p>
            <w:pPr>
              <w:pStyle w:val="24"/>
              <w:spacing w:before="21"/>
              <w:ind w:left="107"/>
              <w:rPr>
                <w:sz w:val="21"/>
              </w:rPr>
            </w:pPr>
            <w:r>
              <w:rPr>
                <w:rFonts w:hint="eastAsia"/>
                <w:sz w:val="21"/>
              </w:rPr>
              <w:t>④环评要求在原料仓库内设置 1</w:t>
            </w:r>
          </w:p>
          <w:p>
            <w:pPr>
              <w:pStyle w:val="24"/>
              <w:spacing w:before="21"/>
              <w:ind w:left="107"/>
              <w:rPr>
                <w:sz w:val="21"/>
              </w:rPr>
            </w:pPr>
            <w:r>
              <w:rPr>
                <w:rFonts w:hint="eastAsia"/>
                <w:sz w:val="21"/>
              </w:rPr>
              <w:t>间 20m2 的危废暂存间，并安排专人管理，用于废机油、含油抹布、</w:t>
            </w:r>
          </w:p>
          <w:p>
            <w:pPr>
              <w:pStyle w:val="24"/>
              <w:spacing w:before="21"/>
              <w:ind w:left="107"/>
              <w:rPr>
                <w:sz w:val="21"/>
              </w:rPr>
            </w:pPr>
            <w:r>
              <w:rPr>
                <w:rFonts w:hint="eastAsia"/>
                <w:sz w:val="21"/>
              </w:rPr>
              <w:t>废活性炭、废油墨罐等危险固废</w:t>
            </w:r>
          </w:p>
          <w:p>
            <w:pPr>
              <w:pStyle w:val="24"/>
              <w:spacing w:before="21"/>
              <w:ind w:left="107"/>
              <w:rPr>
                <w:sz w:val="21"/>
              </w:rPr>
            </w:pPr>
            <w:r>
              <w:rPr>
                <w:rFonts w:hint="eastAsia"/>
                <w:sz w:val="21"/>
              </w:rPr>
              <w:t>的暂存；</w:t>
            </w:r>
          </w:p>
          <w:p>
            <w:pPr>
              <w:pStyle w:val="24"/>
              <w:spacing w:before="21"/>
              <w:ind w:left="107"/>
              <w:rPr>
                <w:sz w:val="21"/>
              </w:rPr>
            </w:pPr>
            <w:r>
              <w:rPr>
                <w:rFonts w:hint="eastAsia"/>
                <w:sz w:val="21"/>
              </w:rPr>
              <w:t>⑤废机油、含油抹布、废活性炭、</w:t>
            </w:r>
          </w:p>
          <w:p>
            <w:pPr>
              <w:pStyle w:val="24"/>
              <w:spacing w:before="21"/>
              <w:ind w:left="107"/>
              <w:rPr>
                <w:sz w:val="21"/>
              </w:rPr>
            </w:pPr>
            <w:r>
              <w:rPr>
                <w:rFonts w:hint="eastAsia"/>
                <w:sz w:val="21"/>
              </w:rPr>
              <w:t>废油墨罐等危险废物交由有资质</w:t>
            </w:r>
          </w:p>
          <w:p>
            <w:pPr>
              <w:pStyle w:val="24"/>
              <w:spacing w:line="252" w:lineRule="exact"/>
              <w:ind w:left="54" w:right="27"/>
              <w:rPr>
                <w:sz w:val="21"/>
              </w:rPr>
            </w:pPr>
            <w:r>
              <w:rPr>
                <w:rFonts w:hint="eastAsia"/>
                <w:sz w:val="21"/>
              </w:rPr>
              <w:t>的单位处置；</w:t>
            </w:r>
          </w:p>
        </w:tc>
      </w:tr>
    </w:tbl>
    <w:p>
      <w:pPr>
        <w:pStyle w:val="6"/>
        <w:numPr>
          <w:ilvl w:val="1"/>
          <w:numId w:val="6"/>
        </w:numPr>
        <w:tabs>
          <w:tab w:val="left" w:pos="766"/>
        </w:tabs>
        <w:spacing w:before="158"/>
      </w:pPr>
      <w:bookmarkStart w:id="34" w:name="2.2_地理位置及自然条件"/>
      <w:bookmarkEnd w:id="34"/>
      <w:bookmarkStart w:id="35" w:name="_bookmark17"/>
      <w:bookmarkEnd w:id="35"/>
      <w:r>
        <w:t>地理位置及自然条件</w:t>
      </w:r>
    </w:p>
    <w:p>
      <w:pPr>
        <w:sectPr>
          <w:pgSz w:w="11910" w:h="16840"/>
          <w:pgMar w:top="1360" w:right="840" w:bottom="1180" w:left="840" w:header="882" w:footer="993" w:gutter="0"/>
          <w:cols w:space="720" w:num="1"/>
        </w:sectPr>
      </w:pPr>
    </w:p>
    <w:p>
      <w:pPr>
        <w:pStyle w:val="23"/>
        <w:numPr>
          <w:ilvl w:val="2"/>
          <w:numId w:val="6"/>
        </w:numPr>
        <w:tabs>
          <w:tab w:val="left" w:pos="941"/>
        </w:tabs>
        <w:spacing w:before="64"/>
        <w:ind w:left="940" w:hanging="701"/>
        <w:rPr>
          <w:b/>
          <w:sz w:val="28"/>
        </w:rPr>
      </w:pPr>
      <w:bookmarkStart w:id="36" w:name="2.2.1_项目地理位置"/>
      <w:bookmarkEnd w:id="36"/>
      <w:bookmarkStart w:id="37" w:name="_bookmark18"/>
      <w:bookmarkEnd w:id="37"/>
      <w:r>
        <w:rPr>
          <w:b/>
          <w:sz w:val="28"/>
        </w:rPr>
        <w:t>项目地理位置</w:t>
      </w:r>
    </w:p>
    <w:p>
      <w:pPr>
        <w:pStyle w:val="10"/>
        <w:spacing w:before="8"/>
        <w:rPr>
          <w:b/>
          <w:sz w:val="26"/>
        </w:rPr>
      </w:pPr>
    </w:p>
    <w:p>
      <w:pPr>
        <w:pStyle w:val="10"/>
        <w:spacing w:line="364" w:lineRule="auto"/>
        <w:ind w:left="240" w:right="115" w:firstLine="480"/>
      </w:pPr>
      <w:r>
        <w:rPr>
          <w:spacing w:val="-8"/>
        </w:rPr>
        <w:t xml:space="preserve">赤壁市位于湖北东南部、武汉市南部、长江中下游南岸，地处东经 </w:t>
      </w:r>
      <w:r>
        <w:rPr>
          <w:rFonts w:ascii="Times New Roman" w:hAnsi="Times New Roman" w:eastAsia="Times New Roman"/>
        </w:rPr>
        <w:t>113°32'~114°13'</w:t>
      </w:r>
      <w:r>
        <w:t>，北纬</w:t>
      </w:r>
      <w:r>
        <w:rPr>
          <w:rFonts w:ascii="Times New Roman" w:hAnsi="Times New Roman" w:eastAsia="Times New Roman"/>
        </w:rPr>
        <w:t>29°28'~29°59'</w:t>
      </w:r>
      <w:r>
        <w:rPr>
          <w:spacing w:val="-14"/>
        </w:rPr>
        <w:t>之间。东连咸安、南临崇阳，西接湖南临湘，北临嘉鱼、洪湖。赤壁市不仅是湘、</w:t>
      </w:r>
      <w:r>
        <w:rPr>
          <w:spacing w:val="-9"/>
        </w:rPr>
        <w:t>鄂、赣三省交界的边缘重镇，而且是长江沿线和京广线经济开发带接点、三国旅游线与三峡旅</w:t>
      </w:r>
      <w:r>
        <w:rPr>
          <w:spacing w:val="-13"/>
        </w:rPr>
        <w:t>游的交汇点，还是北上京、津，南下湘、粤的交通要道，东抵宁沪、西临巴蜀。市区东北距武</w:t>
      </w:r>
      <w:r>
        <w:rPr>
          <w:spacing w:val="-33"/>
        </w:rPr>
        <w:t xml:space="preserve">汉 </w:t>
      </w:r>
      <w:r>
        <w:rPr>
          <w:rFonts w:ascii="Times New Roman" w:hAnsi="Times New Roman" w:eastAsia="Times New Roman"/>
        </w:rPr>
        <w:t>112km</w:t>
      </w:r>
      <w:r>
        <w:rPr>
          <w:spacing w:val="-7"/>
        </w:rPr>
        <w:t xml:space="preserve">，南距湖南岳阳 </w:t>
      </w:r>
      <w:r>
        <w:rPr>
          <w:rFonts w:ascii="Times New Roman" w:hAnsi="Times New Roman" w:eastAsia="Times New Roman"/>
        </w:rPr>
        <w:t>90km</w:t>
      </w:r>
      <w:r>
        <w:rPr>
          <w:spacing w:val="-8"/>
        </w:rPr>
        <w:t xml:space="preserve">。全市总面积 </w:t>
      </w:r>
      <w:r>
        <w:rPr>
          <w:rFonts w:ascii="Times New Roman" w:hAnsi="Times New Roman" w:eastAsia="Times New Roman"/>
        </w:rPr>
        <w:t>1723km</w:t>
      </w:r>
      <w:r>
        <w:rPr>
          <w:rFonts w:ascii="Times New Roman" w:hAnsi="Times New Roman" w:eastAsia="Times New Roman"/>
          <w:position w:val="8"/>
          <w:sz w:val="15"/>
        </w:rPr>
        <w:t>2</w:t>
      </w:r>
      <w:r>
        <w:t>。本项目位于湖北省赤壁市</w:t>
      </w:r>
      <w:r>
        <w:rPr>
          <w:rFonts w:hint="eastAsia"/>
        </w:rPr>
        <w:t>车站路</w:t>
      </w:r>
      <w:r>
        <w:rPr>
          <w:rFonts w:hint="eastAsia"/>
          <w:lang w:val="en-US"/>
        </w:rPr>
        <w:t>90号</w:t>
      </w:r>
      <w:r>
        <w:rPr>
          <w:spacing w:val="-4"/>
        </w:rPr>
        <w:t xml:space="preserve">，厂区中心地理坐标：东经 </w:t>
      </w:r>
      <w:r>
        <w:rPr>
          <w:rFonts w:ascii="Times New Roman" w:hAnsi="Times New Roman" w:eastAsia="Times New Roman"/>
          <w:spacing w:val="-3"/>
        </w:rPr>
        <w:t>113.881894991°</w:t>
      </w:r>
      <w:r>
        <w:rPr>
          <w:spacing w:val="-15"/>
        </w:rPr>
        <w:t xml:space="preserve">，北纬 </w:t>
      </w:r>
      <w:r>
        <w:rPr>
          <w:rFonts w:ascii="Times New Roman" w:hAnsi="Times New Roman" w:eastAsia="Times New Roman"/>
          <w:spacing w:val="-4"/>
        </w:rPr>
        <w:t>29.690377337°</w:t>
      </w:r>
      <w:r>
        <w:t>。</w:t>
      </w:r>
    </w:p>
    <w:p>
      <w:pPr>
        <w:pStyle w:val="23"/>
        <w:numPr>
          <w:ilvl w:val="2"/>
          <w:numId w:val="6"/>
        </w:numPr>
        <w:tabs>
          <w:tab w:val="left" w:pos="941"/>
        </w:tabs>
        <w:spacing w:before="154"/>
        <w:ind w:left="940" w:hanging="701"/>
        <w:rPr>
          <w:b/>
          <w:sz w:val="28"/>
        </w:rPr>
      </w:pPr>
      <w:bookmarkStart w:id="38" w:name="2.2.2_气候气象"/>
      <w:bookmarkEnd w:id="38"/>
      <w:bookmarkStart w:id="39" w:name="_bookmark19"/>
      <w:bookmarkEnd w:id="39"/>
      <w:r>
        <w:rPr>
          <w:b/>
          <w:sz w:val="28"/>
        </w:rPr>
        <w:t>气候气象</w:t>
      </w:r>
    </w:p>
    <w:p>
      <w:pPr>
        <w:pStyle w:val="10"/>
        <w:spacing w:before="8"/>
        <w:rPr>
          <w:b/>
          <w:sz w:val="26"/>
        </w:rPr>
      </w:pPr>
    </w:p>
    <w:p>
      <w:pPr>
        <w:pStyle w:val="10"/>
        <w:spacing w:line="364" w:lineRule="auto"/>
        <w:ind w:left="240" w:right="235" w:firstLine="480"/>
        <w:jc w:val="both"/>
      </w:pPr>
      <w:r>
        <w:rPr>
          <w:spacing w:val="-6"/>
        </w:rPr>
        <w:t>赤壁市属典型的亚热带季风气候区。由于季风环境影响，冬季盛行大陆来的极地气团，夏</w:t>
      </w:r>
      <w:r>
        <w:rPr>
          <w:spacing w:val="-7"/>
        </w:rPr>
        <w:t>季盛行海洋来的热带气团，春夏两季为季风交替的过渡时期，年最多风向为东北风。由于地理</w:t>
      </w:r>
      <w:r>
        <w:rPr>
          <w:spacing w:val="-12"/>
        </w:rPr>
        <w:t>位置、大气环流、地形的相互作用，形成雨量丰富，光照充足，气候温和，四季分明，严寒期</w:t>
      </w:r>
      <w:r>
        <w:rPr>
          <w:spacing w:val="-15"/>
        </w:rPr>
        <w:t xml:space="preserve">短，无霜期长的气候特点。全市年平均气温 </w:t>
      </w:r>
      <w:r>
        <w:rPr>
          <w:rFonts w:ascii="Times New Roman" w:hAnsi="Times New Roman" w:eastAsia="Times New Roman"/>
          <w:spacing w:val="-10"/>
        </w:rPr>
        <w:t>16.9</w:t>
      </w:r>
      <w:r>
        <w:rPr>
          <w:rFonts w:hint="eastAsia" w:ascii="宋体" w:hAnsi="宋体" w:eastAsia="宋体"/>
          <w:spacing w:val="-10"/>
        </w:rPr>
        <w:t>℃</w:t>
      </w:r>
      <w:r>
        <w:rPr>
          <w:spacing w:val="-9"/>
        </w:rPr>
        <w:t xml:space="preserve">，多年平均降水量 </w:t>
      </w:r>
      <w:r>
        <w:rPr>
          <w:rFonts w:ascii="Times New Roman" w:hAnsi="Times New Roman" w:eastAsia="Times New Roman"/>
          <w:spacing w:val="-9"/>
        </w:rPr>
        <w:t>1500mm</w:t>
      </w:r>
      <w:r>
        <w:rPr>
          <w:spacing w:val="-13"/>
        </w:rPr>
        <w:t xml:space="preserve">，无霜期 </w:t>
      </w:r>
      <w:r>
        <w:rPr>
          <w:rFonts w:ascii="Times New Roman" w:hAnsi="Times New Roman" w:eastAsia="Times New Roman"/>
          <w:spacing w:val="-4"/>
        </w:rPr>
        <w:t xml:space="preserve">247~261 </w:t>
      </w:r>
      <w:r>
        <w:t>天。</w:t>
      </w:r>
    </w:p>
    <w:p>
      <w:pPr>
        <w:pStyle w:val="23"/>
        <w:numPr>
          <w:ilvl w:val="2"/>
          <w:numId w:val="6"/>
        </w:numPr>
        <w:tabs>
          <w:tab w:val="left" w:pos="941"/>
        </w:tabs>
        <w:spacing w:before="155"/>
        <w:ind w:left="940" w:hanging="701"/>
        <w:rPr>
          <w:b/>
          <w:sz w:val="28"/>
        </w:rPr>
      </w:pPr>
      <w:bookmarkStart w:id="40" w:name="2.2.3_地形地貌"/>
      <w:bookmarkEnd w:id="40"/>
      <w:bookmarkStart w:id="41" w:name="_bookmark20"/>
      <w:bookmarkEnd w:id="41"/>
      <w:r>
        <w:rPr>
          <w:b/>
          <w:sz w:val="28"/>
        </w:rPr>
        <w:t>地形地貌</w:t>
      </w:r>
    </w:p>
    <w:p>
      <w:pPr>
        <w:pStyle w:val="10"/>
        <w:spacing w:before="8"/>
        <w:rPr>
          <w:b/>
          <w:sz w:val="26"/>
        </w:rPr>
      </w:pPr>
    </w:p>
    <w:p>
      <w:pPr>
        <w:pStyle w:val="10"/>
        <w:spacing w:line="364" w:lineRule="auto"/>
        <w:ind w:left="240" w:right="237" w:firstLine="480"/>
        <w:jc w:val="both"/>
      </w:pPr>
      <w:r>
        <w:rPr>
          <w:spacing w:val="-6"/>
        </w:rPr>
        <w:t>赤壁市是幕阜余脉与江汉平原过渡地带，地形大势为西南至东南一带偏高，西北至东北一</w:t>
      </w:r>
      <w:r>
        <w:rPr>
          <w:spacing w:val="-9"/>
        </w:rPr>
        <w:t xml:space="preserve">带略低，形成自南向北倾斜，山地、丘陵、岗地、平原依次排列。南部为海拔 </w:t>
      </w:r>
      <w:r>
        <w:rPr>
          <w:rFonts w:ascii="Times New Roman" w:eastAsia="Times New Roman"/>
        </w:rPr>
        <w:t>500m</w:t>
      </w:r>
      <w:r>
        <w:rPr>
          <w:rFonts w:ascii="Times New Roman" w:eastAsia="Times New Roman"/>
          <w:spacing w:val="-2"/>
        </w:rPr>
        <w:t xml:space="preserve"> </w:t>
      </w:r>
      <w:r>
        <w:rPr>
          <w:spacing w:val="-4"/>
        </w:rPr>
        <w:t>左右的低</w:t>
      </w:r>
      <w:r>
        <w:rPr>
          <w:spacing w:val="-2"/>
        </w:rPr>
        <w:t xml:space="preserve">山群，大小山丘共百余座，其中最高的为赵李桥境内的柘坪观音尖，海拔 </w:t>
      </w:r>
      <w:r>
        <w:rPr>
          <w:rFonts w:ascii="Times New Roman" w:eastAsia="Times New Roman"/>
        </w:rPr>
        <w:t>852m</w:t>
      </w:r>
      <w:r>
        <w:t>。中部为海拔</w:t>
      </w:r>
      <w:r>
        <w:rPr>
          <w:rFonts w:ascii="Times New Roman" w:eastAsia="Times New Roman"/>
        </w:rPr>
        <w:t>200m</w:t>
      </w:r>
      <w:r>
        <w:rPr>
          <w:rFonts w:ascii="Times New Roman" w:eastAsia="Times New Roman"/>
          <w:spacing w:val="-2"/>
        </w:rPr>
        <w:t xml:space="preserve"> </w:t>
      </w:r>
      <w:r>
        <w:rPr>
          <w:spacing w:val="-6"/>
        </w:rPr>
        <w:t xml:space="preserve">左右的丘陵岗地。西北部滨江湖地区为海拔 </w:t>
      </w:r>
      <w:r>
        <w:rPr>
          <w:rFonts w:ascii="Times New Roman" w:eastAsia="Times New Roman"/>
        </w:rPr>
        <w:t>50m</w:t>
      </w:r>
      <w:r>
        <w:rPr>
          <w:rFonts w:ascii="Times New Roman" w:eastAsia="Times New Roman"/>
          <w:spacing w:val="1"/>
        </w:rPr>
        <w:t xml:space="preserve"> </w:t>
      </w:r>
      <w:r>
        <w:rPr>
          <w:spacing w:val="-4"/>
        </w:rPr>
        <w:t>左右的冲积平原，最低处神山镇的西梁</w:t>
      </w:r>
      <w:r>
        <w:rPr>
          <w:spacing w:val="-7"/>
        </w:rPr>
        <w:t xml:space="preserve">咀聂家，海拔只有 </w:t>
      </w:r>
      <w:r>
        <w:rPr>
          <w:rFonts w:ascii="Times New Roman" w:eastAsia="Times New Roman"/>
        </w:rPr>
        <w:t>19.3m</w:t>
      </w:r>
      <w:r>
        <w:t>。</w:t>
      </w:r>
    </w:p>
    <w:p>
      <w:pPr>
        <w:pStyle w:val="23"/>
        <w:numPr>
          <w:ilvl w:val="2"/>
          <w:numId w:val="6"/>
        </w:numPr>
        <w:tabs>
          <w:tab w:val="left" w:pos="941"/>
        </w:tabs>
        <w:spacing w:before="155"/>
        <w:ind w:left="940" w:hanging="701"/>
        <w:rPr>
          <w:b/>
          <w:sz w:val="28"/>
        </w:rPr>
      </w:pPr>
      <w:bookmarkStart w:id="42" w:name="_bookmark21"/>
      <w:bookmarkEnd w:id="42"/>
      <w:bookmarkStart w:id="43" w:name="2.2.4_水资源"/>
      <w:bookmarkEnd w:id="43"/>
      <w:r>
        <w:rPr>
          <w:b/>
          <w:sz w:val="28"/>
        </w:rPr>
        <w:t>水资源</w:t>
      </w:r>
    </w:p>
    <w:p>
      <w:pPr>
        <w:pStyle w:val="10"/>
        <w:spacing w:before="5"/>
        <w:rPr>
          <w:b/>
          <w:sz w:val="26"/>
        </w:rPr>
      </w:pPr>
    </w:p>
    <w:p>
      <w:pPr>
        <w:pStyle w:val="10"/>
        <w:spacing w:before="1" w:line="364" w:lineRule="auto"/>
        <w:ind w:left="240" w:right="110" w:firstLine="480"/>
      </w:pPr>
      <w:r>
        <w:rPr>
          <w:spacing w:val="-8"/>
        </w:rPr>
        <w:t>赤壁市雨量充沛，湖泊众多，河港纵横，自流泉广布，水资源比较丰富。长江干流赤壁段</w:t>
      </w:r>
      <w:r>
        <w:rPr>
          <w:spacing w:val="-26"/>
        </w:rPr>
        <w:t xml:space="preserve">全长 </w:t>
      </w:r>
      <w:r>
        <w:rPr>
          <w:rFonts w:ascii="Times New Roman" w:hAnsi="Times New Roman" w:eastAsia="Times New Roman"/>
        </w:rPr>
        <w:t>24.69km</w:t>
      </w:r>
      <w:r>
        <w:rPr>
          <w:spacing w:val="-7"/>
        </w:rPr>
        <w:t xml:space="preserve">，平均年过境水量 </w:t>
      </w:r>
      <w:r>
        <w:rPr>
          <w:rFonts w:ascii="Times New Roman" w:hAnsi="Times New Roman" w:eastAsia="Times New Roman"/>
        </w:rPr>
        <w:t xml:space="preserve">6409 </w:t>
      </w:r>
      <w:r>
        <w:rPr>
          <w:spacing w:val="-30"/>
        </w:rPr>
        <w:t xml:space="preserve">亿 </w:t>
      </w:r>
      <w:r>
        <w:rPr>
          <w:rFonts w:ascii="Times New Roman" w:hAnsi="Times New Roman" w:eastAsia="Times New Roman"/>
        </w:rPr>
        <w:t>m</w:t>
      </w:r>
      <w:r>
        <w:rPr>
          <w:rFonts w:ascii="Times New Roman" w:hAnsi="Times New Roman" w:eastAsia="Times New Roman"/>
          <w:position w:val="8"/>
          <w:sz w:val="15"/>
        </w:rPr>
        <w:t>3</w:t>
      </w:r>
      <w:r>
        <w:t xml:space="preserve">。市内自南向北有潘河、陆水、汀泗河纵贯全境， </w:t>
      </w:r>
      <w:r>
        <w:rPr>
          <w:spacing w:val="-10"/>
        </w:rPr>
        <w:t>与黄盖湖、柳山湖、西梁湖等大小湖泊相连，并注入长江，构成黄盖湖、陆水、西凉湖三大水</w:t>
      </w:r>
      <w:r>
        <w:rPr>
          <w:spacing w:val="-13"/>
        </w:rPr>
        <w:t xml:space="preserve">系，流域面积 </w:t>
      </w:r>
      <w:r>
        <w:rPr>
          <w:rFonts w:ascii="Times New Roman" w:hAnsi="Times New Roman" w:eastAsia="Times New Roman"/>
        </w:rPr>
        <w:t>4500km</w:t>
      </w:r>
      <w:r>
        <w:rPr>
          <w:rFonts w:ascii="Times New Roman" w:hAnsi="Times New Roman" w:eastAsia="Times New Roman"/>
          <w:position w:val="8"/>
          <w:sz w:val="15"/>
        </w:rPr>
        <w:t>2</w:t>
      </w:r>
      <w:r>
        <w:rPr>
          <w:spacing w:val="-8"/>
        </w:rPr>
        <w:t xml:space="preserve">。全市地表水主要来自降雨径流，陆水河丰水年径流量 </w:t>
      </w:r>
      <w:r>
        <w:rPr>
          <w:rFonts w:ascii="Times New Roman" w:hAnsi="Times New Roman" w:eastAsia="Times New Roman"/>
        </w:rPr>
        <w:t>161000×104m</w:t>
      </w:r>
      <w:r>
        <w:rPr>
          <w:rFonts w:ascii="Times New Roman" w:hAnsi="Times New Roman" w:eastAsia="Times New Roman"/>
          <w:position w:val="8"/>
          <w:sz w:val="15"/>
        </w:rPr>
        <w:t>3</w:t>
      </w:r>
      <w:r>
        <w:t xml:space="preserve">， </w:t>
      </w:r>
      <w:r>
        <w:rPr>
          <w:spacing w:val="-9"/>
        </w:rPr>
        <w:t xml:space="preserve">平水年径流量 </w:t>
      </w:r>
      <w:r>
        <w:rPr>
          <w:rFonts w:ascii="Times New Roman" w:hAnsi="Times New Roman" w:eastAsia="Times New Roman"/>
        </w:rPr>
        <w:t>126200</w:t>
      </w:r>
      <w:r>
        <w:rPr>
          <w:rFonts w:ascii="Times New Roman" w:hAnsi="Times New Roman" w:eastAsia="Times New Roman"/>
          <w:spacing w:val="1"/>
        </w:rPr>
        <w:t>×</w:t>
      </w:r>
      <w:r>
        <w:rPr>
          <w:rFonts w:ascii="Times New Roman" w:hAnsi="Times New Roman" w:eastAsia="Times New Roman"/>
        </w:rPr>
        <w:t>10</w:t>
      </w:r>
      <w:r>
        <w:rPr>
          <w:rFonts w:ascii="Times New Roman" w:hAnsi="Times New Roman" w:eastAsia="Times New Roman"/>
          <w:spacing w:val="-1"/>
          <w:w w:val="102"/>
        </w:rPr>
        <w:t>4</w:t>
      </w:r>
      <w:r>
        <w:rPr>
          <w:rFonts w:ascii="Times New Roman" w:hAnsi="Times New Roman" w:eastAsia="Times New Roman"/>
        </w:rPr>
        <w:t>m</w:t>
      </w:r>
      <w:r>
        <w:rPr>
          <w:rFonts w:ascii="Times New Roman" w:hAnsi="Times New Roman" w:eastAsia="Times New Roman"/>
          <w:spacing w:val="5"/>
          <w:w w:val="101"/>
          <w:position w:val="8"/>
          <w:sz w:val="15"/>
        </w:rPr>
        <w:t>3</w:t>
      </w:r>
      <w:r>
        <w:rPr>
          <w:spacing w:val="-19"/>
        </w:rPr>
        <w:t xml:space="preserve">，枯水年径流量 </w:t>
      </w:r>
      <w:r>
        <w:rPr>
          <w:rFonts w:ascii="Times New Roman" w:hAnsi="Times New Roman" w:eastAsia="Times New Roman"/>
        </w:rPr>
        <w:t>89700</w:t>
      </w:r>
      <w:r>
        <w:rPr>
          <w:rFonts w:ascii="Times New Roman" w:hAnsi="Times New Roman" w:eastAsia="Times New Roman"/>
          <w:spacing w:val="-1"/>
        </w:rPr>
        <w:t>×</w:t>
      </w:r>
      <w:r>
        <w:rPr>
          <w:rFonts w:ascii="Times New Roman" w:hAnsi="Times New Roman" w:eastAsia="Times New Roman"/>
        </w:rPr>
        <w:t>10</w:t>
      </w:r>
      <w:r>
        <w:rPr>
          <w:rFonts w:ascii="Times New Roman" w:hAnsi="Times New Roman" w:eastAsia="Times New Roman"/>
          <w:spacing w:val="2"/>
          <w:w w:val="102"/>
        </w:rPr>
        <w:t>4</w:t>
      </w:r>
      <w:r>
        <w:rPr>
          <w:rFonts w:ascii="Times New Roman" w:hAnsi="Times New Roman" w:eastAsia="Times New Roman"/>
        </w:rPr>
        <w:t>m</w:t>
      </w:r>
      <w:r>
        <w:rPr>
          <w:rFonts w:ascii="Times New Roman" w:hAnsi="Times New Roman" w:eastAsia="Times New Roman"/>
          <w:spacing w:val="2"/>
          <w:w w:val="101"/>
          <w:position w:val="8"/>
          <w:sz w:val="15"/>
        </w:rPr>
        <w:t>3</w:t>
      </w:r>
      <w:r>
        <w:rPr>
          <w:spacing w:val="-16"/>
        </w:rPr>
        <w:t xml:space="preserve">，多年平均径流量达 </w:t>
      </w:r>
      <w:r>
        <w:rPr>
          <w:rFonts w:ascii="Times New Roman" w:hAnsi="Times New Roman" w:eastAsia="Times New Roman"/>
          <w:spacing w:val="-1"/>
        </w:rPr>
        <w:t>133400</w:t>
      </w:r>
      <w:r>
        <w:rPr>
          <w:rFonts w:ascii="Times New Roman" w:hAnsi="Times New Roman" w:eastAsia="Times New Roman"/>
        </w:rPr>
        <w:t>×</w:t>
      </w:r>
      <w:r>
        <w:rPr>
          <w:rFonts w:ascii="Times New Roman" w:hAnsi="Times New Roman" w:eastAsia="Times New Roman"/>
          <w:spacing w:val="-1"/>
        </w:rPr>
        <w:t>104</w:t>
      </w:r>
      <w:r>
        <w:rPr>
          <w:rFonts w:ascii="Times New Roman" w:hAnsi="Times New Roman" w:eastAsia="Times New Roman"/>
          <w:spacing w:val="-3"/>
        </w:rPr>
        <w:t>m</w:t>
      </w:r>
      <w:r>
        <w:rPr>
          <w:rFonts w:ascii="Times New Roman" w:hAnsi="Times New Roman" w:eastAsia="Times New Roman"/>
          <w:spacing w:val="4"/>
          <w:w w:val="101"/>
          <w:position w:val="8"/>
          <w:sz w:val="15"/>
        </w:rPr>
        <w:t>3</w:t>
      </w:r>
      <w:r>
        <w:rPr>
          <w:spacing w:val="-1"/>
        </w:rPr>
        <w:t>，</w:t>
      </w:r>
      <w:r>
        <w:rPr>
          <w:spacing w:val="-7"/>
        </w:rPr>
        <w:t xml:space="preserve">多年平均枯水水位 </w:t>
      </w:r>
      <w:r>
        <w:rPr>
          <w:rFonts w:ascii="Times New Roman" w:hAnsi="Times New Roman" w:eastAsia="Times New Roman"/>
        </w:rPr>
        <w:t>26.46m</w:t>
      </w:r>
      <w:r>
        <w:rPr>
          <w:spacing w:val="-23"/>
        </w:rPr>
        <w:t xml:space="preserve">，枯水流量 </w:t>
      </w:r>
      <w:r>
        <w:rPr>
          <w:rFonts w:ascii="Times New Roman" w:hAnsi="Times New Roman" w:eastAsia="Times New Roman"/>
        </w:rPr>
        <w:t>99.2m</w:t>
      </w:r>
      <w:r>
        <w:rPr>
          <w:rFonts w:ascii="Times New Roman" w:hAnsi="Times New Roman" w:eastAsia="Times New Roman"/>
          <w:spacing w:val="2"/>
          <w:w w:val="101"/>
          <w:position w:val="8"/>
          <w:sz w:val="15"/>
        </w:rPr>
        <w:t>3</w:t>
      </w:r>
      <w:r>
        <w:rPr>
          <w:rFonts w:ascii="Times New Roman" w:hAnsi="Times New Roman" w:eastAsia="Times New Roman"/>
        </w:rPr>
        <w:t>/s</w:t>
      </w:r>
      <w:r>
        <w:rPr>
          <w:spacing w:val="-23"/>
        </w:rPr>
        <w:t xml:space="preserve">，枯水流速 </w:t>
      </w:r>
      <w:r>
        <w:rPr>
          <w:rFonts w:ascii="Times New Roman" w:hAnsi="Times New Roman" w:eastAsia="Times New Roman"/>
        </w:rPr>
        <w:t>0.185m/s</w:t>
      </w:r>
      <w:r>
        <w:rPr>
          <w:spacing w:val="-9"/>
        </w:rPr>
        <w:t>。赤壁市地下水资源较丰富，</w:t>
      </w:r>
      <w:r>
        <w:rPr>
          <w:spacing w:val="-12"/>
        </w:rPr>
        <w:t xml:space="preserve">有自流泉 </w:t>
      </w:r>
      <w:r>
        <w:rPr>
          <w:rFonts w:ascii="Times New Roman" w:hAnsi="Times New Roman" w:eastAsia="Times New Roman"/>
        </w:rPr>
        <w:t xml:space="preserve">90 </w:t>
      </w:r>
      <w:r>
        <w:rPr>
          <w:spacing w:val="-9"/>
        </w:rPr>
        <w:t xml:space="preserve">处，总流量 </w:t>
      </w:r>
      <w:r>
        <w:rPr>
          <w:rFonts w:ascii="Times New Roman" w:hAnsi="Times New Roman" w:eastAsia="Times New Roman"/>
        </w:rPr>
        <w:t>5.7m</w:t>
      </w:r>
      <w:r>
        <w:rPr>
          <w:rFonts w:ascii="Times New Roman" w:hAnsi="Times New Roman" w:eastAsia="Times New Roman"/>
          <w:position w:val="8"/>
          <w:sz w:val="15"/>
        </w:rPr>
        <w:t>3</w:t>
      </w:r>
      <w:r>
        <w:rPr>
          <w:rFonts w:ascii="Times New Roman" w:hAnsi="Times New Roman" w:eastAsia="Times New Roman"/>
        </w:rPr>
        <w:t>/s</w:t>
      </w:r>
      <w:r>
        <w:rPr>
          <w:spacing w:val="-10"/>
        </w:rPr>
        <w:t xml:space="preserve">，年产水 </w:t>
      </w:r>
      <w:r>
        <w:rPr>
          <w:rFonts w:ascii="Times New Roman" w:hAnsi="Times New Roman" w:eastAsia="Times New Roman"/>
        </w:rPr>
        <w:t>9500×104m</w:t>
      </w:r>
      <w:r>
        <w:rPr>
          <w:rFonts w:ascii="Times New Roman" w:hAnsi="Times New Roman" w:eastAsia="Times New Roman"/>
          <w:position w:val="8"/>
          <w:sz w:val="15"/>
        </w:rPr>
        <w:t>3</w:t>
      </w:r>
      <w:r>
        <w:t>。赤壁市丰富的水资源与地形组合在一</w:t>
      </w:r>
    </w:p>
    <w:p>
      <w:pPr>
        <w:spacing w:line="364" w:lineRule="auto"/>
        <w:sectPr>
          <w:footerReference r:id="rId5" w:type="default"/>
          <w:pgSz w:w="11910" w:h="16840"/>
          <w:pgMar w:top="1360" w:right="840" w:bottom="1180" w:left="840" w:header="882" w:footer="993" w:gutter="0"/>
          <w:pgNumType w:start="10"/>
          <w:cols w:space="720" w:num="1"/>
        </w:sectPr>
      </w:pPr>
    </w:p>
    <w:p>
      <w:pPr>
        <w:pStyle w:val="10"/>
        <w:spacing w:before="64"/>
        <w:ind w:left="240"/>
      </w:pPr>
      <w:r>
        <w:t>起，形成环山错湖的地域特色。</w:t>
      </w:r>
    </w:p>
    <w:p>
      <w:pPr>
        <w:pStyle w:val="10"/>
        <w:spacing w:before="9"/>
      </w:pPr>
    </w:p>
    <w:p>
      <w:pPr>
        <w:pStyle w:val="23"/>
        <w:numPr>
          <w:ilvl w:val="2"/>
          <w:numId w:val="6"/>
        </w:numPr>
        <w:tabs>
          <w:tab w:val="left" w:pos="941"/>
        </w:tabs>
        <w:ind w:left="940" w:hanging="701"/>
        <w:rPr>
          <w:b/>
          <w:sz w:val="28"/>
        </w:rPr>
      </w:pPr>
      <w:bookmarkStart w:id="44" w:name="_bookmark22"/>
      <w:bookmarkEnd w:id="44"/>
      <w:bookmarkStart w:id="45" w:name="2.2.5_土地资源"/>
      <w:bookmarkEnd w:id="45"/>
      <w:r>
        <w:rPr>
          <w:b/>
          <w:sz w:val="28"/>
        </w:rPr>
        <w:t>土地资源</w:t>
      </w:r>
    </w:p>
    <w:p>
      <w:pPr>
        <w:pStyle w:val="10"/>
        <w:spacing w:before="8"/>
        <w:rPr>
          <w:b/>
          <w:sz w:val="26"/>
        </w:rPr>
      </w:pPr>
    </w:p>
    <w:p>
      <w:pPr>
        <w:pStyle w:val="10"/>
        <w:spacing w:line="364" w:lineRule="auto"/>
        <w:ind w:left="240" w:right="237" w:firstLine="480"/>
        <w:jc w:val="both"/>
      </w:pPr>
      <w:r>
        <w:rPr>
          <w:spacing w:val="-8"/>
        </w:rPr>
        <w:t>土壤以红壤土和水稻土为主。红壤土：赤壁市地处亚热带，高温多雨，植被繁茂，这是形成红壤土的良好环境。由于高温多雨，造成碱性物质的大量流失。那些不好活动的铁、锰等化</w:t>
      </w:r>
      <w:r>
        <w:rPr>
          <w:spacing w:val="-7"/>
        </w:rPr>
        <w:t>学元素也常呈水化状态而有所移动。在移动时一遇干旱就脱水变成红色氧化铁和褐色氧化锰而</w:t>
      </w:r>
      <w:r>
        <w:rPr>
          <w:spacing w:val="-10"/>
        </w:rPr>
        <w:t>固定下来，在干湿交替的变化中，经过铁锰风化层的反复积累而形成红壤土。水稻土：主要形</w:t>
      </w:r>
      <w:r>
        <w:rPr>
          <w:spacing w:val="-6"/>
        </w:rPr>
        <w:t>成在热带和亚热带红土区域，是长期种植水稻所形成的一种耕作土壤。其主要特点是：有强烈</w:t>
      </w:r>
      <w:r>
        <w:rPr>
          <w:spacing w:val="15"/>
        </w:rPr>
        <w:t>的氧化还原作用，铁锰的淋溶沉淀作用十分显著，有机质的积累作用较强，含量大都为</w:t>
      </w:r>
      <w:r>
        <w:rPr>
          <w:rFonts w:ascii="Times New Roman" w:eastAsia="Times New Roman"/>
          <w:spacing w:val="15"/>
        </w:rPr>
        <w:t>2.5~4.0%</w:t>
      </w:r>
      <w:r>
        <w:rPr>
          <w:spacing w:val="15"/>
        </w:rPr>
        <w:t>，肥力较强，是重要的产粮土壤。</w:t>
      </w:r>
    </w:p>
    <w:p>
      <w:pPr>
        <w:pStyle w:val="23"/>
        <w:numPr>
          <w:ilvl w:val="2"/>
          <w:numId w:val="6"/>
        </w:numPr>
        <w:tabs>
          <w:tab w:val="left" w:pos="941"/>
        </w:tabs>
        <w:spacing w:before="152"/>
        <w:ind w:left="940" w:hanging="701"/>
        <w:rPr>
          <w:b/>
          <w:sz w:val="28"/>
        </w:rPr>
      </w:pPr>
      <w:bookmarkStart w:id="46" w:name="2.2.6_物产资源"/>
      <w:bookmarkEnd w:id="46"/>
      <w:bookmarkStart w:id="47" w:name="_bookmark23"/>
      <w:bookmarkEnd w:id="47"/>
      <w:r>
        <w:rPr>
          <w:b/>
          <w:sz w:val="28"/>
        </w:rPr>
        <w:t>物产资源</w:t>
      </w:r>
    </w:p>
    <w:p>
      <w:pPr>
        <w:pStyle w:val="10"/>
        <w:spacing w:before="8"/>
        <w:rPr>
          <w:b/>
          <w:sz w:val="26"/>
        </w:rPr>
      </w:pPr>
    </w:p>
    <w:p>
      <w:pPr>
        <w:pStyle w:val="10"/>
        <w:spacing w:line="364" w:lineRule="auto"/>
        <w:ind w:left="240" w:right="115" w:firstLine="480"/>
      </w:pPr>
      <w:r>
        <w:rPr>
          <w:spacing w:val="-4"/>
        </w:rPr>
        <w:t>赤壁市地带性植被是亚热带常绿阔叶与落叶阔叶混交林带，群落植被资源丰富、门类较齐</w:t>
      </w:r>
      <w:r>
        <w:rPr>
          <w:spacing w:val="-10"/>
        </w:rPr>
        <w:t xml:space="preserve">全。全市现已查明的生物资源有 </w:t>
      </w:r>
      <w:r>
        <w:rPr>
          <w:rFonts w:ascii="Times New Roman" w:eastAsia="Times New Roman"/>
        </w:rPr>
        <w:t xml:space="preserve">2024 </w:t>
      </w:r>
      <w:r>
        <w:rPr>
          <w:spacing w:val="-13"/>
        </w:rPr>
        <w:t xml:space="preserve">种，其中树种 </w:t>
      </w:r>
      <w:r>
        <w:rPr>
          <w:rFonts w:ascii="Times New Roman" w:eastAsia="Times New Roman"/>
        </w:rPr>
        <w:t>300</w:t>
      </w:r>
      <w:r>
        <w:rPr>
          <w:rFonts w:ascii="Times New Roman" w:eastAsia="Times New Roman"/>
          <w:spacing w:val="1"/>
        </w:rPr>
        <w:t xml:space="preserve"> </w:t>
      </w:r>
      <w:r>
        <w:rPr>
          <w:spacing w:val="-17"/>
        </w:rPr>
        <w:t xml:space="preserve">种，花卉 </w:t>
      </w:r>
      <w:r>
        <w:rPr>
          <w:rFonts w:ascii="Times New Roman" w:eastAsia="Times New Roman"/>
        </w:rPr>
        <w:t xml:space="preserve">115 </w:t>
      </w:r>
      <w:r>
        <w:rPr>
          <w:spacing w:val="-12"/>
        </w:rPr>
        <w:t xml:space="preserve">种，农作物品种 </w:t>
      </w:r>
      <w:r>
        <w:rPr>
          <w:rFonts w:ascii="Times New Roman" w:eastAsia="Times New Roman"/>
        </w:rPr>
        <w:t>358</w:t>
      </w:r>
      <w:r>
        <w:rPr>
          <w:rFonts w:ascii="Times New Roman" w:eastAsia="Times New Roman"/>
          <w:spacing w:val="1"/>
        </w:rPr>
        <w:t xml:space="preserve"> </w:t>
      </w:r>
      <w:r>
        <w:rPr>
          <w:spacing w:val="-8"/>
        </w:rPr>
        <w:t>个，</w:t>
      </w:r>
    </w:p>
    <w:p>
      <w:pPr>
        <w:pStyle w:val="10"/>
        <w:spacing w:before="1"/>
        <w:ind w:left="240"/>
      </w:pPr>
      <w:r>
        <w:rPr>
          <w:spacing w:val="-12"/>
        </w:rPr>
        <w:t xml:space="preserve">蔬菜品种 </w:t>
      </w:r>
      <w:r>
        <w:rPr>
          <w:rFonts w:ascii="Times New Roman" w:eastAsia="Times New Roman"/>
        </w:rPr>
        <w:t xml:space="preserve">60 </w:t>
      </w:r>
      <w:r>
        <w:rPr>
          <w:spacing w:val="-7"/>
        </w:rPr>
        <w:t xml:space="preserve">个，药用动、植物 </w:t>
      </w:r>
      <w:r>
        <w:rPr>
          <w:rFonts w:ascii="Times New Roman" w:eastAsia="Times New Roman"/>
        </w:rPr>
        <w:t xml:space="preserve">678 </w:t>
      </w:r>
      <w:r>
        <w:rPr>
          <w:spacing w:val="-9"/>
        </w:rPr>
        <w:t xml:space="preserve">种，天敌资源 </w:t>
      </w:r>
      <w:r>
        <w:rPr>
          <w:rFonts w:ascii="Times New Roman" w:eastAsia="Times New Roman"/>
        </w:rPr>
        <w:t xml:space="preserve">133 </w:t>
      </w:r>
      <w:r>
        <w:rPr>
          <w:spacing w:val="-9"/>
        </w:rPr>
        <w:t xml:space="preserve">种，水生生物 </w:t>
      </w:r>
      <w:r>
        <w:rPr>
          <w:rFonts w:ascii="Times New Roman" w:eastAsia="Times New Roman"/>
        </w:rPr>
        <w:t xml:space="preserve">180 </w:t>
      </w:r>
      <w:r>
        <w:rPr>
          <w:spacing w:val="-9"/>
        </w:rPr>
        <w:t xml:space="preserve">种，野生动物 </w:t>
      </w:r>
      <w:r>
        <w:rPr>
          <w:rFonts w:ascii="Times New Roman" w:eastAsia="Times New Roman"/>
        </w:rPr>
        <w:t xml:space="preserve">51 </w:t>
      </w:r>
      <w:r>
        <w:t>种，</w:t>
      </w:r>
    </w:p>
    <w:p>
      <w:pPr>
        <w:pStyle w:val="10"/>
        <w:spacing w:before="158" w:line="362" w:lineRule="auto"/>
        <w:ind w:left="240" w:right="115"/>
      </w:pPr>
      <w:r>
        <w:rPr>
          <w:spacing w:val="-12"/>
        </w:rPr>
        <w:t xml:space="preserve">珍稀动物 </w:t>
      </w:r>
      <w:r>
        <w:rPr>
          <w:rFonts w:ascii="Times New Roman" w:eastAsia="Times New Roman"/>
        </w:rPr>
        <w:t xml:space="preserve">52 </w:t>
      </w:r>
      <w:r>
        <w:rPr>
          <w:spacing w:val="-16"/>
        </w:rPr>
        <w:t xml:space="preserve">种，畜禽 </w:t>
      </w:r>
      <w:r>
        <w:rPr>
          <w:rFonts w:ascii="Times New Roman" w:eastAsia="Times New Roman"/>
        </w:rPr>
        <w:t xml:space="preserve">30 </w:t>
      </w:r>
      <w:r>
        <w:rPr>
          <w:spacing w:val="-16"/>
        </w:rPr>
        <w:t xml:space="preserve">种，草类 </w:t>
      </w:r>
      <w:r>
        <w:rPr>
          <w:rFonts w:ascii="Times New Roman" w:eastAsia="Times New Roman"/>
        </w:rPr>
        <w:t xml:space="preserve">67 </w:t>
      </w:r>
      <w:r>
        <w:rPr>
          <w:spacing w:val="-9"/>
        </w:rPr>
        <w:t>种。素有楠竹之乡、茶叶之乡、苎麻之乡、猕猴桃之乡、</w:t>
      </w:r>
      <w:r>
        <w:t>鱼米之乡的美称。</w:t>
      </w:r>
    </w:p>
    <w:p>
      <w:pPr>
        <w:pStyle w:val="23"/>
        <w:numPr>
          <w:ilvl w:val="2"/>
          <w:numId w:val="6"/>
        </w:numPr>
        <w:tabs>
          <w:tab w:val="left" w:pos="941"/>
        </w:tabs>
        <w:spacing w:before="162"/>
        <w:ind w:left="940" w:hanging="701"/>
        <w:rPr>
          <w:b/>
          <w:sz w:val="28"/>
        </w:rPr>
      </w:pPr>
      <w:bookmarkStart w:id="48" w:name="_bookmark24"/>
      <w:bookmarkEnd w:id="48"/>
      <w:bookmarkStart w:id="49" w:name="2.2.7_矿产资源"/>
      <w:bookmarkEnd w:id="49"/>
      <w:r>
        <w:rPr>
          <w:b/>
          <w:sz w:val="28"/>
        </w:rPr>
        <w:t>矿产资源</w:t>
      </w:r>
    </w:p>
    <w:p>
      <w:pPr>
        <w:pStyle w:val="10"/>
        <w:spacing w:before="8"/>
        <w:rPr>
          <w:b/>
          <w:sz w:val="26"/>
        </w:rPr>
      </w:pPr>
    </w:p>
    <w:p>
      <w:pPr>
        <w:pStyle w:val="10"/>
        <w:spacing w:line="364" w:lineRule="auto"/>
        <w:ind w:left="240" w:right="115" w:firstLine="480"/>
        <w:jc w:val="both"/>
      </w:pPr>
      <w:r>
        <w:rPr>
          <w:spacing w:val="-8"/>
        </w:rPr>
        <w:t>赤壁市非金属矿产资源丰富，主要矿种有石灰石、煤、地下热水温泉、天然石英沙</w:t>
      </w:r>
      <w:r>
        <w:rPr>
          <w:rFonts w:ascii="Times New Roman" w:eastAsia="Times New Roman"/>
        </w:rPr>
        <w:t>(</w:t>
      </w:r>
      <w:r>
        <w:t>河沙</w:t>
      </w:r>
      <w:r>
        <w:rPr>
          <w:rFonts w:ascii="Times New Roman" w:eastAsia="Times New Roman"/>
          <w:spacing w:val="-9"/>
        </w:rPr>
        <w:t>)</w:t>
      </w:r>
      <w:r>
        <w:rPr>
          <w:spacing w:val="-9"/>
        </w:rPr>
        <w:t xml:space="preserve">， </w:t>
      </w:r>
      <w:r>
        <w:rPr>
          <w:spacing w:val="-7"/>
        </w:rPr>
        <w:t xml:space="preserve">石灰石保有资源量 </w:t>
      </w:r>
      <w:r>
        <w:rPr>
          <w:rFonts w:ascii="Times New Roman" w:eastAsia="Times New Roman"/>
        </w:rPr>
        <w:t>64425.3</w:t>
      </w:r>
      <w:r>
        <w:rPr>
          <w:rFonts w:ascii="Times New Roman" w:eastAsia="Times New Roman"/>
          <w:spacing w:val="2"/>
        </w:rPr>
        <w:t xml:space="preserve"> </w:t>
      </w:r>
      <w:r>
        <w:rPr>
          <w:spacing w:val="-6"/>
        </w:rPr>
        <w:t xml:space="preserve">万吨，煤保有资源量 </w:t>
      </w:r>
      <w:r>
        <w:rPr>
          <w:rFonts w:ascii="Times New Roman" w:eastAsia="Times New Roman"/>
        </w:rPr>
        <w:t>1335.71</w:t>
      </w:r>
      <w:r>
        <w:rPr>
          <w:rFonts w:ascii="Times New Roman" w:eastAsia="Times New Roman"/>
          <w:spacing w:val="4"/>
        </w:rPr>
        <w:t xml:space="preserve"> </w:t>
      </w:r>
      <w:r>
        <w:rPr>
          <w:spacing w:val="-5"/>
        </w:rPr>
        <w:t xml:space="preserve">万吨；金属矿种主要有铁矿 </w:t>
      </w:r>
      <w:r>
        <w:rPr>
          <w:rFonts w:ascii="Times New Roman" w:eastAsia="Times New Roman"/>
        </w:rPr>
        <w:t>8</w:t>
      </w:r>
      <w:r>
        <w:rPr>
          <w:rFonts w:ascii="Times New Roman" w:eastAsia="Times New Roman"/>
          <w:spacing w:val="2"/>
        </w:rPr>
        <w:t xml:space="preserve"> </w:t>
      </w:r>
      <w:r>
        <w:t>处、锑</w:t>
      </w:r>
    </w:p>
    <w:p>
      <w:pPr>
        <w:pStyle w:val="10"/>
        <w:spacing w:line="306" w:lineRule="exact"/>
        <w:ind w:left="240"/>
        <w:jc w:val="both"/>
      </w:pPr>
      <w:r>
        <w:rPr>
          <w:spacing w:val="-31"/>
        </w:rPr>
        <w:t xml:space="preserve">矿 </w:t>
      </w:r>
      <w:r>
        <w:rPr>
          <w:rFonts w:ascii="Times New Roman" w:eastAsia="Times New Roman"/>
        </w:rPr>
        <w:t xml:space="preserve">2 </w:t>
      </w:r>
      <w:r>
        <w:rPr>
          <w:spacing w:val="-17"/>
        </w:rPr>
        <w:t xml:space="preserve">处、铜矿 </w:t>
      </w:r>
      <w:r>
        <w:rPr>
          <w:rFonts w:ascii="Times New Roman" w:eastAsia="Times New Roman"/>
        </w:rPr>
        <w:t xml:space="preserve">1 </w:t>
      </w:r>
      <w:r>
        <w:rPr>
          <w:spacing w:val="-10"/>
        </w:rPr>
        <w:t xml:space="preserve">处。赤壁市地表水资源量 </w:t>
      </w:r>
      <w:r>
        <w:rPr>
          <w:rFonts w:ascii="Times New Roman" w:eastAsia="Times New Roman"/>
        </w:rPr>
        <w:t xml:space="preserve">12.845 </w:t>
      </w:r>
      <w:r>
        <w:rPr>
          <w:spacing w:val="-10"/>
        </w:rPr>
        <w:t xml:space="preserve">亿立方米，地下水资源量 </w:t>
      </w:r>
      <w:r>
        <w:rPr>
          <w:rFonts w:ascii="Times New Roman" w:eastAsia="Times New Roman"/>
        </w:rPr>
        <w:t xml:space="preserve">2.559 </w:t>
      </w:r>
      <w:r>
        <w:rPr>
          <w:spacing w:val="-5"/>
        </w:rPr>
        <w:t>亿立方米，减</w:t>
      </w:r>
    </w:p>
    <w:p>
      <w:pPr>
        <w:pStyle w:val="10"/>
        <w:spacing w:before="161" w:line="362" w:lineRule="auto"/>
        <w:ind w:left="240" w:right="117"/>
        <w:jc w:val="both"/>
      </w:pPr>
      <w:r>
        <w:rPr>
          <w:spacing w:val="-12"/>
        </w:rPr>
        <w:t xml:space="preserve">去重复量 </w:t>
      </w:r>
      <w:r>
        <w:rPr>
          <w:rFonts w:ascii="Times New Roman" w:eastAsia="Times New Roman"/>
        </w:rPr>
        <w:t xml:space="preserve">2.139 </w:t>
      </w:r>
      <w:r>
        <w:rPr>
          <w:spacing w:val="-12"/>
        </w:rPr>
        <w:t xml:space="preserve">亿立方米，水资源总量 </w:t>
      </w:r>
      <w:r>
        <w:rPr>
          <w:rFonts w:ascii="Times New Roman" w:eastAsia="Times New Roman"/>
        </w:rPr>
        <w:t xml:space="preserve">13.265 </w:t>
      </w:r>
      <w:r>
        <w:rPr>
          <w:spacing w:val="-11"/>
        </w:rPr>
        <w:t xml:space="preserve">亿立方米，全市人均占有水资源量 </w:t>
      </w:r>
      <w:r>
        <w:rPr>
          <w:rFonts w:ascii="Times New Roman" w:eastAsia="Times New Roman"/>
        </w:rPr>
        <w:t xml:space="preserve">2551 </w:t>
      </w:r>
      <w:r>
        <w:rPr>
          <w:spacing w:val="-4"/>
        </w:rPr>
        <w:t xml:space="preserve">立方米， </w:t>
      </w:r>
      <w:r>
        <w:t>高于全国和全省平均水平。为充分利用水资源，新中国成立后，兴建大批蓄、引、提水工程， 在一般干旱情况下，可保证全市工农业生产和人民生活用水。</w:t>
      </w:r>
    </w:p>
    <w:p>
      <w:pPr>
        <w:pStyle w:val="6"/>
        <w:numPr>
          <w:ilvl w:val="1"/>
          <w:numId w:val="6"/>
        </w:numPr>
        <w:tabs>
          <w:tab w:val="left" w:pos="766"/>
        </w:tabs>
        <w:spacing w:before="162"/>
      </w:pPr>
      <w:bookmarkStart w:id="50" w:name="2.3_生产基本情况"/>
      <w:bookmarkEnd w:id="50"/>
      <w:bookmarkStart w:id="51" w:name="_bookmark25"/>
      <w:bookmarkEnd w:id="51"/>
      <w:r>
        <w:t>生产基本情况</w:t>
      </w:r>
    </w:p>
    <w:p>
      <w:pPr>
        <w:pStyle w:val="10"/>
        <w:spacing w:before="9"/>
        <w:rPr>
          <w:b/>
          <w:sz w:val="27"/>
        </w:rPr>
      </w:pPr>
    </w:p>
    <w:p>
      <w:pPr>
        <w:pStyle w:val="10"/>
        <w:spacing w:before="160" w:line="364" w:lineRule="auto"/>
        <w:ind w:left="240" w:right="110" w:firstLine="316" w:firstLineChars="100"/>
        <w:jc w:val="both"/>
      </w:pPr>
      <w:r>
        <w:rPr>
          <w:spacing w:val="38"/>
        </w:rPr>
        <w:t>公司产品主要</w:t>
      </w:r>
      <w:r>
        <w:rPr>
          <w:rFonts w:hint="eastAsia"/>
          <w:spacing w:val="38"/>
        </w:rPr>
        <w:t>塑料雨衣及塑料服装袋加工</w:t>
      </w:r>
      <w:r>
        <w:rPr>
          <w:spacing w:val="38"/>
        </w:rPr>
        <w:t>。</w:t>
      </w:r>
      <w:r>
        <w:rPr>
          <w:rFonts w:hint="eastAsia"/>
          <w:spacing w:val="38"/>
        </w:rPr>
        <w:t>产品质量标准参考包装用《聚乙烯吹塑薄膜》（</w:t>
      </w:r>
      <w:r>
        <w:rPr>
          <w:rFonts w:hint="eastAsia"/>
          <w:spacing w:val="38"/>
          <w:lang w:val="en-US"/>
        </w:rPr>
        <w:t>GB/T4556-1996</w:t>
      </w:r>
      <w:r>
        <w:rPr>
          <w:rFonts w:hint="eastAsia"/>
          <w:spacing w:val="38"/>
        </w:rPr>
        <w:t>）执行</w:t>
      </w:r>
      <w:r>
        <w:rPr>
          <w:spacing w:val="-1"/>
        </w:rPr>
        <w:t>，以原</w:t>
      </w:r>
      <w:r>
        <w:rPr>
          <w:w w:val="95"/>
          <w:sz w:val="21"/>
        </w:rPr>
        <w:t>乙烯</w:t>
      </w:r>
      <w:r>
        <w:rPr>
          <w:rFonts w:ascii="Times New Roman" w:eastAsia="Times New Roman"/>
          <w:w w:val="95"/>
          <w:sz w:val="21"/>
        </w:rPr>
        <w:t>-</w:t>
      </w:r>
      <w:r>
        <w:rPr>
          <w:w w:val="95"/>
          <w:sz w:val="21"/>
        </w:rPr>
        <w:t>醋酸乙烯共聚物（</w:t>
      </w:r>
      <w:r>
        <w:rPr>
          <w:rFonts w:ascii="Times New Roman" w:eastAsia="Times New Roman"/>
          <w:w w:val="95"/>
          <w:sz w:val="21"/>
        </w:rPr>
        <w:t>EVA</w:t>
      </w:r>
      <w:r>
        <w:rPr>
          <w:w w:val="95"/>
          <w:sz w:val="21"/>
        </w:rPr>
        <w:t>）</w:t>
      </w:r>
      <w:r>
        <w:rPr>
          <w:rFonts w:hint="eastAsia"/>
          <w:w w:val="95"/>
          <w:sz w:val="21"/>
        </w:rPr>
        <w:t>、油墨</w:t>
      </w:r>
      <w:r>
        <w:rPr>
          <w:spacing w:val="-1"/>
        </w:rPr>
        <w:t>为原料，经</w:t>
      </w:r>
      <w:r>
        <w:t>吹</w:t>
      </w:r>
      <w:r>
        <w:rPr>
          <w:rFonts w:hint="eastAsia"/>
        </w:rPr>
        <w:t>热熔</w:t>
      </w:r>
      <w:r>
        <w:t>膜</w:t>
      </w:r>
      <w:r>
        <w:rPr>
          <w:spacing w:val="-1"/>
        </w:rPr>
        <w:t>、</w:t>
      </w:r>
      <w:r>
        <w:rPr>
          <w:rFonts w:hint="eastAsia"/>
          <w:spacing w:val="-1"/>
        </w:rPr>
        <w:t>裁剪、</w:t>
      </w:r>
      <w:r>
        <w:rPr>
          <w:spacing w:val="-9"/>
        </w:rPr>
        <w:t>收卷</w:t>
      </w:r>
      <w:r>
        <w:rPr>
          <w:rFonts w:hint="eastAsia"/>
          <w:spacing w:val="-9"/>
        </w:rPr>
        <w:t>、制袋、剪切成型</w:t>
      </w:r>
      <w:r>
        <w:rPr>
          <w:spacing w:val="-1"/>
        </w:rPr>
        <w:t>后</w:t>
      </w:r>
      <w:r>
        <w:rPr>
          <w:rFonts w:hint="eastAsia"/>
          <w:spacing w:val="-1"/>
        </w:rPr>
        <w:t>获得</w:t>
      </w:r>
      <w:r>
        <w:rPr>
          <w:spacing w:val="-1"/>
        </w:rPr>
        <w:t>产品，</w:t>
      </w:r>
      <w:r>
        <w:rPr>
          <w:spacing w:val="-10"/>
        </w:rPr>
        <w:t xml:space="preserve">产品方案见表 </w:t>
      </w:r>
      <w:r>
        <w:rPr>
          <w:rFonts w:ascii="Times New Roman" w:eastAsia="Times New Roman"/>
        </w:rPr>
        <w:t>2.3-1</w:t>
      </w:r>
      <w:r>
        <w:rPr>
          <w:spacing w:val="-10"/>
        </w:rPr>
        <w:t xml:space="preserve">。产品质量标准指标见表 </w:t>
      </w:r>
      <w:r>
        <w:rPr>
          <w:rFonts w:ascii="Times New Roman" w:eastAsia="Times New Roman"/>
        </w:rPr>
        <w:t>2.3-2</w:t>
      </w:r>
      <w:r>
        <w:rPr>
          <w:spacing w:val="-8"/>
        </w:rPr>
        <w:t>。主要</w:t>
      </w:r>
    </w:p>
    <w:p>
      <w:pPr>
        <w:spacing w:line="364" w:lineRule="auto"/>
        <w:jc w:val="both"/>
        <w:sectPr>
          <w:pgSz w:w="11910" w:h="16840"/>
          <w:pgMar w:top="1360" w:right="840" w:bottom="1180" w:left="840" w:header="882" w:footer="993" w:gutter="0"/>
          <w:cols w:space="720" w:num="1"/>
        </w:sectPr>
      </w:pPr>
    </w:p>
    <w:p>
      <w:pPr>
        <w:pStyle w:val="10"/>
        <w:spacing w:before="64"/>
        <w:ind w:left="240"/>
      </w:pPr>
      <w:r>
        <w:t xml:space="preserve">原辅材料见表 </w:t>
      </w:r>
      <w:r>
        <w:rPr>
          <w:rFonts w:ascii="Times New Roman" w:eastAsia="Times New Roman"/>
        </w:rPr>
        <w:t>2.3-3</w:t>
      </w:r>
      <w:r>
        <w:t>。</w:t>
      </w:r>
    </w:p>
    <w:p>
      <w:pPr>
        <w:pStyle w:val="9"/>
        <w:spacing w:before="160"/>
        <w:ind w:left="6" w:right="1"/>
      </w:pPr>
      <w:r>
        <w:t xml:space="preserve">表 </w:t>
      </w:r>
      <w:r>
        <w:rPr>
          <w:rFonts w:ascii="Times New Roman" w:eastAsia="Times New Roman"/>
        </w:rPr>
        <w:t xml:space="preserve">2.3-1  </w:t>
      </w:r>
      <w:r>
        <w:t>产品方案一览表</w:t>
      </w:r>
    </w:p>
    <w:p>
      <w:pPr>
        <w:pStyle w:val="10"/>
        <w:spacing w:before="4"/>
        <w:rPr>
          <w:b/>
          <w:sz w:val="12"/>
        </w:rPr>
      </w:pPr>
    </w:p>
    <w:tbl>
      <w:tblPr>
        <w:tblStyle w:val="15"/>
        <w:tblW w:w="0" w:type="auto"/>
        <w:tblInd w:w="34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40"/>
        <w:gridCol w:w="1989"/>
        <w:gridCol w:w="1983"/>
        <w:gridCol w:w="1800"/>
        <w:gridCol w:w="334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840" w:type="dxa"/>
            <w:tcBorders>
              <w:left w:val="nil"/>
              <w:bottom w:val="single" w:color="000000" w:sz="4" w:space="0"/>
              <w:right w:val="single" w:color="000000" w:sz="4" w:space="0"/>
            </w:tcBorders>
          </w:tcPr>
          <w:p>
            <w:pPr>
              <w:pStyle w:val="24"/>
              <w:spacing w:before="35"/>
              <w:ind w:left="204" w:right="169"/>
              <w:rPr>
                <w:b/>
                <w:sz w:val="21"/>
              </w:rPr>
            </w:pPr>
            <w:r>
              <w:rPr>
                <w:b/>
                <w:sz w:val="21"/>
              </w:rPr>
              <w:t>序号</w:t>
            </w:r>
          </w:p>
        </w:tc>
        <w:tc>
          <w:tcPr>
            <w:tcW w:w="1989" w:type="dxa"/>
            <w:tcBorders>
              <w:left w:val="single" w:color="000000" w:sz="4" w:space="0"/>
              <w:bottom w:val="single" w:color="000000" w:sz="4" w:space="0"/>
              <w:right w:val="single" w:color="000000" w:sz="4" w:space="0"/>
            </w:tcBorders>
          </w:tcPr>
          <w:p>
            <w:pPr>
              <w:pStyle w:val="24"/>
              <w:spacing w:before="35"/>
              <w:ind w:left="141" w:right="109"/>
              <w:rPr>
                <w:b/>
                <w:sz w:val="21"/>
              </w:rPr>
            </w:pPr>
            <w:r>
              <w:rPr>
                <w:b/>
                <w:sz w:val="21"/>
              </w:rPr>
              <w:t>产品名称</w:t>
            </w:r>
          </w:p>
        </w:tc>
        <w:tc>
          <w:tcPr>
            <w:tcW w:w="1983" w:type="dxa"/>
            <w:tcBorders>
              <w:left w:val="single" w:color="000000" w:sz="4" w:space="0"/>
              <w:bottom w:val="single" w:color="000000" w:sz="4" w:space="0"/>
              <w:right w:val="single" w:color="000000" w:sz="4" w:space="0"/>
            </w:tcBorders>
          </w:tcPr>
          <w:p>
            <w:pPr>
              <w:pStyle w:val="24"/>
              <w:spacing w:before="35"/>
              <w:ind w:left="48" w:right="16"/>
              <w:rPr>
                <w:b/>
                <w:sz w:val="21"/>
              </w:rPr>
            </w:pPr>
            <w:r>
              <w:rPr>
                <w:rFonts w:hint="eastAsia"/>
                <w:b/>
                <w:sz w:val="21"/>
              </w:rPr>
              <w:t>用途</w:t>
            </w:r>
          </w:p>
        </w:tc>
        <w:tc>
          <w:tcPr>
            <w:tcW w:w="1800" w:type="dxa"/>
            <w:tcBorders>
              <w:left w:val="single" w:color="000000" w:sz="4" w:space="0"/>
              <w:bottom w:val="single" w:color="000000" w:sz="4" w:space="0"/>
              <w:right w:val="single" w:color="000000" w:sz="4" w:space="0"/>
            </w:tcBorders>
          </w:tcPr>
          <w:p>
            <w:pPr>
              <w:pStyle w:val="24"/>
              <w:spacing w:before="35"/>
              <w:ind w:left="169" w:right="138"/>
              <w:rPr>
                <w:b/>
                <w:sz w:val="21"/>
              </w:rPr>
            </w:pPr>
            <w:r>
              <w:rPr>
                <w:rFonts w:hint="eastAsia"/>
                <w:b/>
                <w:sz w:val="21"/>
              </w:rPr>
              <w:t>年产量</w:t>
            </w:r>
          </w:p>
        </w:tc>
        <w:tc>
          <w:tcPr>
            <w:tcW w:w="3344" w:type="dxa"/>
            <w:tcBorders>
              <w:left w:val="single" w:color="000000" w:sz="4" w:space="0"/>
              <w:bottom w:val="single" w:color="000000" w:sz="4" w:space="0"/>
              <w:right w:val="nil"/>
            </w:tcBorders>
          </w:tcPr>
          <w:p>
            <w:pPr>
              <w:pStyle w:val="24"/>
              <w:spacing w:before="35"/>
              <w:ind w:left="128" w:right="103"/>
              <w:rPr>
                <w:b/>
                <w:sz w:val="21"/>
              </w:rPr>
            </w:pPr>
            <w:r>
              <w:rPr>
                <w:b/>
                <w:sz w:val="21"/>
              </w:rPr>
              <w:t>生产时间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840" w:type="dxa"/>
            <w:tcBorders>
              <w:top w:val="single" w:color="000000" w:sz="4" w:space="0"/>
              <w:left w:val="nil"/>
              <w:bottom w:val="single" w:color="000000" w:sz="4" w:space="0"/>
              <w:right w:val="single" w:color="000000" w:sz="4" w:space="0"/>
            </w:tcBorders>
          </w:tcPr>
          <w:p>
            <w:pPr>
              <w:pStyle w:val="24"/>
              <w:spacing w:before="35"/>
              <w:ind w:left="136" w:right="109"/>
              <w:rPr>
                <w:sz w:val="21"/>
              </w:rPr>
            </w:pPr>
            <w:r>
              <w:rPr>
                <w:rFonts w:hint="eastAsia"/>
                <w:sz w:val="21"/>
              </w:rPr>
              <w:t>1</w:t>
            </w:r>
          </w:p>
        </w:tc>
        <w:tc>
          <w:tcPr>
            <w:tcW w:w="1989" w:type="dxa"/>
            <w:tcBorders>
              <w:top w:val="single" w:color="000000" w:sz="4" w:space="0"/>
              <w:left w:val="single" w:color="000000" w:sz="4" w:space="0"/>
              <w:bottom w:val="single" w:color="000000" w:sz="4" w:space="0"/>
              <w:right w:val="single" w:color="000000" w:sz="4" w:space="0"/>
            </w:tcBorders>
          </w:tcPr>
          <w:p>
            <w:pPr>
              <w:pStyle w:val="24"/>
              <w:spacing w:before="35"/>
              <w:ind w:left="136" w:right="109"/>
              <w:rPr>
                <w:sz w:val="21"/>
              </w:rPr>
            </w:pPr>
            <w:r>
              <w:rPr>
                <w:rFonts w:hint="eastAsia"/>
                <w:sz w:val="21"/>
              </w:rPr>
              <w:t>塑料服装袋</w:t>
            </w:r>
          </w:p>
        </w:tc>
        <w:tc>
          <w:tcPr>
            <w:tcW w:w="1983" w:type="dxa"/>
            <w:tcBorders>
              <w:top w:val="single" w:color="000000" w:sz="4" w:space="0"/>
              <w:left w:val="single" w:color="000000" w:sz="4" w:space="0"/>
              <w:bottom w:val="single" w:color="000000" w:sz="4" w:space="0"/>
              <w:right w:val="single" w:color="000000" w:sz="4" w:space="0"/>
            </w:tcBorders>
          </w:tcPr>
          <w:p>
            <w:pPr>
              <w:pStyle w:val="24"/>
              <w:spacing w:before="35"/>
              <w:ind w:left="136" w:right="109"/>
              <w:rPr>
                <w:sz w:val="21"/>
              </w:rPr>
            </w:pPr>
            <w:r>
              <w:rPr>
                <w:rFonts w:hint="eastAsia"/>
                <w:sz w:val="21"/>
              </w:rPr>
              <w:t>服装包装</w:t>
            </w:r>
          </w:p>
        </w:tc>
        <w:tc>
          <w:tcPr>
            <w:tcW w:w="1800" w:type="dxa"/>
            <w:tcBorders>
              <w:top w:val="single" w:color="000000" w:sz="4" w:space="0"/>
              <w:left w:val="single" w:color="000000" w:sz="4" w:space="0"/>
              <w:bottom w:val="single" w:color="000000" w:sz="4" w:space="0"/>
              <w:right w:val="single" w:color="000000" w:sz="4" w:space="0"/>
            </w:tcBorders>
          </w:tcPr>
          <w:p>
            <w:pPr>
              <w:pStyle w:val="24"/>
              <w:spacing w:before="35"/>
              <w:ind w:left="136" w:right="109"/>
              <w:rPr>
                <w:sz w:val="21"/>
                <w:lang w:val="en-US"/>
              </w:rPr>
            </w:pPr>
            <w:r>
              <w:rPr>
                <w:rFonts w:hint="eastAsia"/>
                <w:sz w:val="21"/>
                <w:lang w:val="en-US"/>
              </w:rPr>
              <w:t>500万只/a</w:t>
            </w:r>
          </w:p>
        </w:tc>
        <w:tc>
          <w:tcPr>
            <w:tcW w:w="3344" w:type="dxa"/>
            <w:tcBorders>
              <w:top w:val="single" w:color="000000" w:sz="4" w:space="0"/>
              <w:left w:val="single" w:color="000000" w:sz="4" w:space="0"/>
              <w:bottom w:val="single" w:color="000000" w:sz="4" w:space="0"/>
              <w:right w:val="nil"/>
            </w:tcBorders>
          </w:tcPr>
          <w:p>
            <w:pPr>
              <w:pStyle w:val="24"/>
              <w:spacing w:before="35"/>
              <w:ind w:left="136" w:right="109"/>
              <w:rPr>
                <w:sz w:val="21"/>
                <w:lang w:val="en-US"/>
              </w:rPr>
            </w:pPr>
            <w:r>
              <w:rPr>
                <w:rFonts w:hint="eastAsia"/>
                <w:sz w:val="21"/>
                <w:lang w:val="en-US"/>
              </w:rPr>
              <w:t>280x8h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840" w:type="dxa"/>
            <w:tcBorders>
              <w:top w:val="single" w:color="000000" w:sz="4" w:space="0"/>
              <w:left w:val="nil"/>
              <w:right w:val="single" w:color="000000" w:sz="4" w:space="0"/>
            </w:tcBorders>
          </w:tcPr>
          <w:p>
            <w:pPr>
              <w:pStyle w:val="24"/>
              <w:spacing w:before="35"/>
              <w:ind w:left="136" w:right="109"/>
              <w:rPr>
                <w:sz w:val="21"/>
                <w:lang w:val="en-US"/>
              </w:rPr>
            </w:pPr>
            <w:r>
              <w:rPr>
                <w:rFonts w:hint="eastAsia"/>
                <w:sz w:val="21"/>
                <w:lang w:val="en-US"/>
              </w:rPr>
              <w:t>2</w:t>
            </w:r>
          </w:p>
        </w:tc>
        <w:tc>
          <w:tcPr>
            <w:tcW w:w="1989" w:type="dxa"/>
            <w:tcBorders>
              <w:top w:val="single" w:color="000000" w:sz="4" w:space="0"/>
              <w:left w:val="single" w:color="000000" w:sz="4" w:space="0"/>
              <w:right w:val="single" w:color="000000" w:sz="4" w:space="0"/>
            </w:tcBorders>
          </w:tcPr>
          <w:p>
            <w:pPr>
              <w:pStyle w:val="24"/>
              <w:spacing w:before="35"/>
              <w:ind w:left="136" w:right="109"/>
              <w:rPr>
                <w:sz w:val="21"/>
              </w:rPr>
            </w:pPr>
            <w:r>
              <w:rPr>
                <w:rFonts w:hint="eastAsia"/>
                <w:sz w:val="21"/>
              </w:rPr>
              <w:t>塑料雨衣</w:t>
            </w:r>
          </w:p>
        </w:tc>
        <w:tc>
          <w:tcPr>
            <w:tcW w:w="1983" w:type="dxa"/>
            <w:tcBorders>
              <w:top w:val="single" w:color="000000" w:sz="4" w:space="0"/>
              <w:left w:val="single" w:color="000000" w:sz="4" w:space="0"/>
              <w:right w:val="single" w:color="000000" w:sz="4" w:space="0"/>
            </w:tcBorders>
          </w:tcPr>
          <w:p>
            <w:pPr>
              <w:pStyle w:val="24"/>
              <w:spacing w:before="35"/>
              <w:ind w:left="136" w:right="109"/>
              <w:rPr>
                <w:sz w:val="21"/>
              </w:rPr>
            </w:pPr>
            <w:r>
              <w:rPr>
                <w:rFonts w:hint="eastAsia"/>
                <w:sz w:val="21"/>
              </w:rPr>
              <w:t>防雨用具</w:t>
            </w:r>
          </w:p>
        </w:tc>
        <w:tc>
          <w:tcPr>
            <w:tcW w:w="1800" w:type="dxa"/>
            <w:tcBorders>
              <w:top w:val="single" w:color="000000" w:sz="4" w:space="0"/>
              <w:left w:val="single" w:color="000000" w:sz="4" w:space="0"/>
              <w:right w:val="single" w:color="000000" w:sz="4" w:space="0"/>
            </w:tcBorders>
          </w:tcPr>
          <w:p>
            <w:pPr>
              <w:pStyle w:val="24"/>
              <w:spacing w:before="35"/>
              <w:ind w:left="136" w:right="109"/>
              <w:rPr>
                <w:sz w:val="21"/>
                <w:lang w:val="en-US"/>
              </w:rPr>
            </w:pPr>
            <w:r>
              <w:rPr>
                <w:rFonts w:hint="eastAsia"/>
                <w:sz w:val="21"/>
                <w:lang w:val="en-US"/>
              </w:rPr>
              <w:t>400万件/a</w:t>
            </w:r>
          </w:p>
        </w:tc>
        <w:tc>
          <w:tcPr>
            <w:tcW w:w="3344" w:type="dxa"/>
            <w:tcBorders>
              <w:top w:val="single" w:color="000000" w:sz="4" w:space="0"/>
              <w:left w:val="single" w:color="000000" w:sz="4" w:space="0"/>
              <w:right w:val="nil"/>
            </w:tcBorders>
          </w:tcPr>
          <w:p>
            <w:pPr>
              <w:pStyle w:val="24"/>
              <w:spacing w:before="35"/>
              <w:ind w:left="136" w:right="109"/>
              <w:rPr>
                <w:sz w:val="21"/>
              </w:rPr>
            </w:pPr>
            <w:r>
              <w:rPr>
                <w:rFonts w:hint="eastAsia"/>
                <w:sz w:val="21"/>
                <w:lang w:val="en-US"/>
              </w:rPr>
              <w:t>280x8h</w:t>
            </w:r>
          </w:p>
        </w:tc>
      </w:tr>
    </w:tbl>
    <w:p>
      <w:pPr>
        <w:pStyle w:val="9"/>
        <w:spacing w:before="3"/>
        <w:ind w:left="3573"/>
        <w:jc w:val="both"/>
      </w:pPr>
    </w:p>
    <w:p>
      <w:pPr>
        <w:pStyle w:val="9"/>
        <w:spacing w:before="3"/>
        <w:ind w:left="3573"/>
        <w:jc w:val="both"/>
      </w:pPr>
      <w:r>
        <w:t xml:space="preserve">表 </w:t>
      </w:r>
      <w:r>
        <w:rPr>
          <w:rFonts w:ascii="Times New Roman" w:eastAsia="Times New Roman"/>
        </w:rPr>
        <w:t xml:space="preserve">2.3-2  </w:t>
      </w:r>
      <w:r>
        <w:t>产品质量标准指标一览表</w:t>
      </w:r>
    </w:p>
    <w:p>
      <w:pPr>
        <w:spacing w:before="3"/>
        <w:ind w:left="3702"/>
        <w:rPr>
          <w:b/>
          <w:sz w:val="24"/>
        </w:rPr>
      </w:pPr>
    </w:p>
    <w:tbl>
      <w:tblPr>
        <w:tblStyle w:val="16"/>
        <w:tblW w:w="10644" w:type="dxa"/>
        <w:tblInd w:w="5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903"/>
        <w:gridCol w:w="850"/>
        <w:gridCol w:w="800"/>
        <w:gridCol w:w="850"/>
        <w:gridCol w:w="767"/>
        <w:gridCol w:w="750"/>
        <w:gridCol w:w="750"/>
        <w:gridCol w:w="850"/>
        <w:gridCol w:w="750"/>
        <w:gridCol w:w="766"/>
        <w:gridCol w:w="800"/>
        <w:gridCol w:w="652"/>
        <w:gridCol w:w="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trHeight w:val="297" w:hRule="atLeast"/>
        </w:trPr>
        <w:tc>
          <w:tcPr>
            <w:tcW w:w="847" w:type="dxa"/>
            <w:vMerge w:val="restart"/>
            <w:tcBorders>
              <w:left w:val="nil"/>
            </w:tcBorders>
          </w:tcPr>
          <w:p>
            <w:pPr>
              <w:spacing w:before="3"/>
              <w:jc w:val="both"/>
              <w:rPr>
                <w:bCs/>
                <w:sz w:val="24"/>
                <w:lang w:val="en-US"/>
              </w:rPr>
            </w:pPr>
          </w:p>
          <w:p>
            <w:pPr>
              <w:spacing w:before="3"/>
              <w:jc w:val="both"/>
              <w:rPr>
                <w:bCs/>
                <w:sz w:val="24"/>
                <w:lang w:val="en-US"/>
              </w:rPr>
            </w:pPr>
          </w:p>
          <w:p>
            <w:pPr>
              <w:spacing w:before="3"/>
              <w:jc w:val="both"/>
              <w:rPr>
                <w:bCs/>
                <w:sz w:val="24"/>
                <w:lang w:val="en-US"/>
              </w:rPr>
            </w:pPr>
            <w:r>
              <w:rPr>
                <w:rFonts w:hint="eastAsia"/>
                <w:bCs/>
                <w:sz w:val="24"/>
                <w:lang w:val="en-US"/>
              </w:rPr>
              <w:t>项目</w:t>
            </w:r>
          </w:p>
        </w:tc>
        <w:tc>
          <w:tcPr>
            <w:tcW w:w="9488" w:type="dxa"/>
            <w:gridSpan w:val="12"/>
            <w:tcBorders>
              <w:right w:val="nil"/>
            </w:tcBorders>
          </w:tcPr>
          <w:p>
            <w:pPr>
              <w:spacing w:before="3"/>
              <w:jc w:val="center"/>
              <w:rPr>
                <w:bCs/>
                <w:sz w:val="24"/>
                <w:lang w:val="en-US"/>
              </w:rPr>
            </w:pPr>
            <w:r>
              <w:rPr>
                <w:rFonts w:hint="eastAsia"/>
                <w:bCs/>
                <w:sz w:val="24"/>
                <w:lang w:val="en-US"/>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trHeight w:val="237" w:hRule="atLeast"/>
        </w:trPr>
        <w:tc>
          <w:tcPr>
            <w:tcW w:w="847" w:type="dxa"/>
            <w:vMerge w:val="continue"/>
            <w:tcBorders>
              <w:left w:val="nil"/>
            </w:tcBorders>
          </w:tcPr>
          <w:p>
            <w:pPr>
              <w:spacing w:before="3"/>
              <w:jc w:val="both"/>
              <w:rPr>
                <w:bCs/>
                <w:sz w:val="24"/>
                <w:lang w:val="en-US"/>
              </w:rPr>
            </w:pPr>
          </w:p>
        </w:tc>
        <w:tc>
          <w:tcPr>
            <w:tcW w:w="4920" w:type="dxa"/>
            <w:gridSpan w:val="6"/>
          </w:tcPr>
          <w:p>
            <w:pPr>
              <w:spacing w:before="3"/>
              <w:jc w:val="center"/>
              <w:rPr>
                <w:bCs/>
                <w:sz w:val="24"/>
                <w:lang w:val="en-US"/>
              </w:rPr>
            </w:pPr>
            <w:r>
              <w:rPr>
                <w:rFonts w:hint="eastAsia"/>
                <w:bCs/>
                <w:sz w:val="24"/>
                <w:lang w:val="en-US"/>
              </w:rPr>
              <w:t>厚度</w:t>
            </w:r>
          </w:p>
        </w:tc>
        <w:tc>
          <w:tcPr>
            <w:tcW w:w="4568" w:type="dxa"/>
            <w:gridSpan w:val="6"/>
            <w:tcBorders>
              <w:right w:val="nil"/>
            </w:tcBorders>
          </w:tcPr>
          <w:p>
            <w:pPr>
              <w:spacing w:before="3"/>
              <w:jc w:val="center"/>
              <w:rPr>
                <w:bCs/>
                <w:sz w:val="24"/>
                <w:lang w:val="en-US"/>
              </w:rPr>
            </w:pPr>
            <w:r>
              <w:rPr>
                <w:rFonts w:hint="eastAsia"/>
                <w:bCs/>
                <w:sz w:val="24"/>
                <w:lang w:val="en-US"/>
              </w:rPr>
              <w:t>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trHeight w:val="354" w:hRule="atLeast"/>
        </w:trPr>
        <w:tc>
          <w:tcPr>
            <w:tcW w:w="847" w:type="dxa"/>
            <w:vMerge w:val="continue"/>
            <w:tcBorders>
              <w:left w:val="nil"/>
            </w:tcBorders>
          </w:tcPr>
          <w:p>
            <w:pPr>
              <w:spacing w:before="3"/>
              <w:jc w:val="both"/>
              <w:rPr>
                <w:bCs/>
                <w:sz w:val="24"/>
                <w:lang w:val="en-US"/>
              </w:rPr>
            </w:pPr>
          </w:p>
        </w:tc>
        <w:tc>
          <w:tcPr>
            <w:tcW w:w="1753" w:type="dxa"/>
            <w:gridSpan w:val="2"/>
          </w:tcPr>
          <w:p>
            <w:pPr>
              <w:spacing w:before="3"/>
              <w:jc w:val="center"/>
              <w:rPr>
                <w:bCs/>
                <w:sz w:val="24"/>
                <w:lang w:val="en-US"/>
              </w:rPr>
            </w:pPr>
            <w:r>
              <w:rPr>
                <w:rFonts w:hint="eastAsia"/>
                <w:bCs/>
                <w:sz w:val="24"/>
                <w:lang w:val="en-US"/>
              </w:rPr>
              <w:t>A类</w:t>
            </w:r>
          </w:p>
        </w:tc>
        <w:tc>
          <w:tcPr>
            <w:tcW w:w="1650" w:type="dxa"/>
            <w:gridSpan w:val="2"/>
          </w:tcPr>
          <w:p>
            <w:pPr>
              <w:spacing w:before="3"/>
              <w:jc w:val="center"/>
              <w:rPr>
                <w:bCs/>
                <w:sz w:val="24"/>
                <w:lang w:val="en-US"/>
              </w:rPr>
            </w:pPr>
            <w:r>
              <w:rPr>
                <w:rFonts w:hint="eastAsia"/>
                <w:bCs/>
                <w:sz w:val="24"/>
                <w:lang w:val="en-US"/>
              </w:rPr>
              <w:t>B类</w:t>
            </w:r>
          </w:p>
        </w:tc>
        <w:tc>
          <w:tcPr>
            <w:tcW w:w="1517" w:type="dxa"/>
            <w:gridSpan w:val="2"/>
          </w:tcPr>
          <w:p>
            <w:pPr>
              <w:spacing w:before="3"/>
              <w:jc w:val="center"/>
              <w:rPr>
                <w:bCs/>
                <w:sz w:val="24"/>
                <w:lang w:val="en-US"/>
              </w:rPr>
            </w:pPr>
            <w:r>
              <w:rPr>
                <w:rFonts w:hint="eastAsia"/>
                <w:bCs/>
                <w:sz w:val="24"/>
                <w:lang w:val="en-US"/>
              </w:rPr>
              <w:t>C类</w:t>
            </w:r>
          </w:p>
        </w:tc>
        <w:tc>
          <w:tcPr>
            <w:tcW w:w="1600" w:type="dxa"/>
            <w:gridSpan w:val="2"/>
          </w:tcPr>
          <w:p>
            <w:pPr>
              <w:spacing w:before="3"/>
              <w:jc w:val="center"/>
              <w:rPr>
                <w:bCs/>
                <w:sz w:val="24"/>
                <w:lang w:val="en-US"/>
              </w:rPr>
            </w:pPr>
            <w:r>
              <w:rPr>
                <w:rFonts w:hint="eastAsia"/>
                <w:bCs/>
                <w:sz w:val="24"/>
                <w:lang w:val="en-US"/>
              </w:rPr>
              <w:t>A类</w:t>
            </w:r>
          </w:p>
        </w:tc>
        <w:tc>
          <w:tcPr>
            <w:tcW w:w="1516" w:type="dxa"/>
            <w:gridSpan w:val="2"/>
          </w:tcPr>
          <w:p>
            <w:pPr>
              <w:spacing w:before="3"/>
              <w:jc w:val="center"/>
              <w:rPr>
                <w:bCs/>
                <w:sz w:val="24"/>
                <w:lang w:val="en-US"/>
              </w:rPr>
            </w:pPr>
            <w:r>
              <w:rPr>
                <w:rFonts w:hint="eastAsia"/>
                <w:bCs/>
                <w:sz w:val="24"/>
                <w:lang w:val="en-US"/>
              </w:rPr>
              <w:t>B类</w:t>
            </w:r>
          </w:p>
        </w:tc>
        <w:tc>
          <w:tcPr>
            <w:tcW w:w="1452" w:type="dxa"/>
            <w:gridSpan w:val="2"/>
            <w:tcBorders>
              <w:right w:val="nil"/>
            </w:tcBorders>
          </w:tcPr>
          <w:p>
            <w:pPr>
              <w:spacing w:before="3"/>
              <w:jc w:val="center"/>
              <w:rPr>
                <w:bCs/>
                <w:sz w:val="24"/>
                <w:lang w:val="en-US"/>
              </w:rPr>
            </w:pPr>
            <w:r>
              <w:rPr>
                <w:rFonts w:hint="eastAsia"/>
                <w:bCs/>
                <w:sz w:val="24"/>
                <w:lang w:val="en-US"/>
              </w:rPr>
              <w:t>C类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847" w:type="dxa"/>
            <w:vMerge w:val="continue"/>
            <w:tcBorders>
              <w:left w:val="nil"/>
            </w:tcBorders>
          </w:tcPr>
          <w:p>
            <w:pPr>
              <w:spacing w:before="3"/>
              <w:jc w:val="both"/>
              <w:rPr>
                <w:bCs/>
                <w:sz w:val="24"/>
                <w:lang w:val="en-US"/>
              </w:rPr>
            </w:pPr>
          </w:p>
        </w:tc>
        <w:tc>
          <w:tcPr>
            <w:tcW w:w="903" w:type="dxa"/>
          </w:tcPr>
          <w:p>
            <w:pPr>
              <w:spacing w:before="3"/>
              <w:jc w:val="both"/>
              <w:rPr>
                <w:bCs/>
                <w:sz w:val="21"/>
                <w:szCs w:val="21"/>
                <w:lang w:val="en-US"/>
              </w:rPr>
            </w:pPr>
            <w:r>
              <w:rPr>
                <w:rFonts w:hint="eastAsia"/>
                <w:bCs/>
                <w:sz w:val="21"/>
                <w:szCs w:val="21"/>
                <w:lang w:val="en-US"/>
              </w:rPr>
              <w:t>一等</w:t>
            </w:r>
          </w:p>
          <w:p>
            <w:pPr>
              <w:spacing w:before="3"/>
              <w:jc w:val="both"/>
              <w:rPr>
                <w:bCs/>
                <w:sz w:val="21"/>
                <w:szCs w:val="21"/>
                <w:lang w:val="en-US"/>
              </w:rPr>
            </w:pPr>
            <w:r>
              <w:rPr>
                <w:rFonts w:hint="eastAsia"/>
                <w:bCs/>
                <w:sz w:val="21"/>
                <w:szCs w:val="21"/>
                <w:lang w:val="en-US"/>
              </w:rPr>
              <w:t>品</w:t>
            </w:r>
          </w:p>
        </w:tc>
        <w:tc>
          <w:tcPr>
            <w:tcW w:w="850" w:type="dxa"/>
          </w:tcPr>
          <w:p>
            <w:pPr>
              <w:spacing w:before="3"/>
              <w:jc w:val="both"/>
              <w:rPr>
                <w:bCs/>
                <w:sz w:val="21"/>
                <w:szCs w:val="21"/>
                <w:lang w:val="en-US"/>
              </w:rPr>
            </w:pPr>
            <w:r>
              <w:rPr>
                <w:rFonts w:hint="eastAsia"/>
                <w:bCs/>
                <w:sz w:val="21"/>
                <w:szCs w:val="21"/>
                <w:lang w:val="en-US"/>
              </w:rPr>
              <w:t>一等品</w:t>
            </w:r>
          </w:p>
          <w:p>
            <w:pPr>
              <w:spacing w:before="3"/>
              <w:jc w:val="both"/>
              <w:rPr>
                <w:bCs/>
                <w:sz w:val="21"/>
                <w:szCs w:val="21"/>
                <w:lang w:val="en-US"/>
              </w:rPr>
            </w:pPr>
            <w:r>
              <w:rPr>
                <w:rFonts w:hint="eastAsia"/>
                <w:bCs/>
                <w:sz w:val="21"/>
                <w:szCs w:val="21"/>
                <w:lang w:val="en-US"/>
              </w:rPr>
              <w:t>合格品</w:t>
            </w:r>
          </w:p>
        </w:tc>
        <w:tc>
          <w:tcPr>
            <w:tcW w:w="800" w:type="dxa"/>
          </w:tcPr>
          <w:p>
            <w:pPr>
              <w:spacing w:before="3"/>
              <w:jc w:val="both"/>
              <w:rPr>
                <w:bCs/>
                <w:sz w:val="21"/>
                <w:szCs w:val="21"/>
                <w:lang w:val="en-US"/>
              </w:rPr>
            </w:pPr>
            <w:r>
              <w:rPr>
                <w:rFonts w:hint="eastAsia"/>
                <w:bCs/>
                <w:sz w:val="21"/>
                <w:szCs w:val="21"/>
                <w:lang w:val="en-US"/>
              </w:rPr>
              <w:t>一等</w:t>
            </w:r>
          </w:p>
          <w:p>
            <w:pPr>
              <w:spacing w:before="3"/>
              <w:jc w:val="both"/>
              <w:rPr>
                <w:bCs/>
                <w:sz w:val="21"/>
                <w:szCs w:val="21"/>
                <w:lang w:val="en-US"/>
              </w:rPr>
            </w:pPr>
            <w:r>
              <w:rPr>
                <w:rFonts w:hint="eastAsia"/>
                <w:bCs/>
                <w:sz w:val="21"/>
                <w:szCs w:val="21"/>
                <w:lang w:val="en-US"/>
              </w:rPr>
              <w:t>品</w:t>
            </w:r>
          </w:p>
        </w:tc>
        <w:tc>
          <w:tcPr>
            <w:tcW w:w="850" w:type="dxa"/>
          </w:tcPr>
          <w:p>
            <w:pPr>
              <w:spacing w:before="3"/>
              <w:jc w:val="both"/>
              <w:rPr>
                <w:bCs/>
                <w:sz w:val="21"/>
                <w:szCs w:val="21"/>
                <w:lang w:val="en-US"/>
              </w:rPr>
            </w:pPr>
            <w:r>
              <w:rPr>
                <w:rFonts w:hint="eastAsia"/>
                <w:bCs/>
                <w:sz w:val="21"/>
                <w:szCs w:val="21"/>
                <w:lang w:val="en-US"/>
              </w:rPr>
              <w:t>一等品</w:t>
            </w:r>
          </w:p>
          <w:p>
            <w:pPr>
              <w:spacing w:before="3"/>
              <w:jc w:val="both"/>
              <w:rPr>
                <w:bCs/>
                <w:sz w:val="21"/>
                <w:szCs w:val="21"/>
                <w:lang w:val="en-US"/>
              </w:rPr>
            </w:pPr>
            <w:r>
              <w:rPr>
                <w:rFonts w:hint="eastAsia"/>
                <w:bCs/>
                <w:sz w:val="21"/>
                <w:szCs w:val="21"/>
                <w:lang w:val="en-US"/>
              </w:rPr>
              <w:t>合格品</w:t>
            </w:r>
          </w:p>
        </w:tc>
        <w:tc>
          <w:tcPr>
            <w:tcW w:w="767" w:type="dxa"/>
          </w:tcPr>
          <w:p>
            <w:pPr>
              <w:spacing w:before="3"/>
              <w:jc w:val="both"/>
              <w:rPr>
                <w:bCs/>
                <w:sz w:val="21"/>
                <w:szCs w:val="21"/>
                <w:lang w:val="en-US"/>
              </w:rPr>
            </w:pPr>
            <w:r>
              <w:rPr>
                <w:rFonts w:hint="eastAsia"/>
                <w:bCs/>
                <w:sz w:val="21"/>
                <w:szCs w:val="21"/>
                <w:lang w:val="en-US"/>
              </w:rPr>
              <w:t>一等</w:t>
            </w:r>
          </w:p>
          <w:p>
            <w:pPr>
              <w:spacing w:before="3"/>
              <w:jc w:val="both"/>
              <w:rPr>
                <w:bCs/>
                <w:sz w:val="21"/>
                <w:szCs w:val="21"/>
                <w:lang w:val="en-US"/>
              </w:rPr>
            </w:pPr>
            <w:r>
              <w:rPr>
                <w:rFonts w:hint="eastAsia"/>
                <w:bCs/>
                <w:sz w:val="21"/>
                <w:szCs w:val="21"/>
                <w:lang w:val="en-US"/>
              </w:rPr>
              <w:t>品</w:t>
            </w:r>
          </w:p>
        </w:tc>
        <w:tc>
          <w:tcPr>
            <w:tcW w:w="750" w:type="dxa"/>
          </w:tcPr>
          <w:p>
            <w:pPr>
              <w:spacing w:before="3"/>
              <w:jc w:val="both"/>
              <w:rPr>
                <w:bCs/>
                <w:sz w:val="21"/>
                <w:szCs w:val="21"/>
                <w:lang w:val="en-US"/>
              </w:rPr>
            </w:pPr>
            <w:r>
              <w:rPr>
                <w:rFonts w:hint="eastAsia"/>
                <w:bCs/>
                <w:sz w:val="21"/>
                <w:szCs w:val="21"/>
                <w:lang w:val="en-US"/>
              </w:rPr>
              <w:t>一等品</w:t>
            </w:r>
          </w:p>
          <w:p>
            <w:pPr>
              <w:spacing w:before="3"/>
              <w:jc w:val="both"/>
              <w:rPr>
                <w:bCs/>
                <w:sz w:val="21"/>
                <w:szCs w:val="21"/>
                <w:lang w:val="en-US"/>
              </w:rPr>
            </w:pPr>
            <w:r>
              <w:rPr>
                <w:rFonts w:hint="eastAsia"/>
                <w:bCs/>
                <w:sz w:val="21"/>
                <w:szCs w:val="21"/>
                <w:lang w:val="en-US"/>
              </w:rPr>
              <w:t>合格品</w:t>
            </w:r>
          </w:p>
        </w:tc>
        <w:tc>
          <w:tcPr>
            <w:tcW w:w="750" w:type="dxa"/>
          </w:tcPr>
          <w:p>
            <w:pPr>
              <w:spacing w:before="3"/>
              <w:jc w:val="both"/>
              <w:rPr>
                <w:bCs/>
                <w:sz w:val="21"/>
                <w:szCs w:val="21"/>
                <w:lang w:val="en-US"/>
              </w:rPr>
            </w:pPr>
            <w:r>
              <w:rPr>
                <w:rFonts w:hint="eastAsia"/>
                <w:bCs/>
                <w:sz w:val="21"/>
                <w:szCs w:val="21"/>
                <w:lang w:val="en-US"/>
              </w:rPr>
              <w:t>一等</w:t>
            </w:r>
          </w:p>
          <w:p>
            <w:pPr>
              <w:spacing w:before="3"/>
              <w:jc w:val="both"/>
              <w:rPr>
                <w:bCs/>
                <w:sz w:val="21"/>
                <w:szCs w:val="21"/>
                <w:lang w:val="en-US"/>
              </w:rPr>
            </w:pPr>
            <w:r>
              <w:rPr>
                <w:rFonts w:hint="eastAsia"/>
                <w:bCs/>
                <w:sz w:val="21"/>
                <w:szCs w:val="21"/>
                <w:lang w:val="en-US"/>
              </w:rPr>
              <w:t>品</w:t>
            </w:r>
          </w:p>
        </w:tc>
        <w:tc>
          <w:tcPr>
            <w:tcW w:w="850" w:type="dxa"/>
          </w:tcPr>
          <w:p>
            <w:pPr>
              <w:spacing w:before="3"/>
              <w:jc w:val="both"/>
              <w:rPr>
                <w:bCs/>
                <w:sz w:val="21"/>
                <w:szCs w:val="21"/>
                <w:lang w:val="en-US"/>
              </w:rPr>
            </w:pPr>
            <w:r>
              <w:rPr>
                <w:rFonts w:hint="eastAsia"/>
                <w:bCs/>
                <w:sz w:val="21"/>
                <w:szCs w:val="21"/>
                <w:lang w:val="en-US"/>
              </w:rPr>
              <w:t>一等品</w:t>
            </w:r>
          </w:p>
          <w:p>
            <w:pPr>
              <w:spacing w:before="3"/>
              <w:jc w:val="both"/>
              <w:rPr>
                <w:bCs/>
                <w:sz w:val="21"/>
                <w:szCs w:val="21"/>
                <w:lang w:val="en-US"/>
              </w:rPr>
            </w:pPr>
            <w:r>
              <w:rPr>
                <w:rFonts w:hint="eastAsia"/>
                <w:bCs/>
                <w:sz w:val="21"/>
                <w:szCs w:val="21"/>
                <w:lang w:val="en-US"/>
              </w:rPr>
              <w:t>合格品</w:t>
            </w:r>
          </w:p>
        </w:tc>
        <w:tc>
          <w:tcPr>
            <w:tcW w:w="750" w:type="dxa"/>
          </w:tcPr>
          <w:p>
            <w:pPr>
              <w:spacing w:before="3"/>
              <w:jc w:val="both"/>
              <w:rPr>
                <w:bCs/>
                <w:sz w:val="21"/>
                <w:szCs w:val="21"/>
                <w:lang w:val="en-US"/>
              </w:rPr>
            </w:pPr>
            <w:r>
              <w:rPr>
                <w:rFonts w:hint="eastAsia"/>
                <w:bCs/>
                <w:sz w:val="21"/>
                <w:szCs w:val="21"/>
                <w:lang w:val="en-US"/>
              </w:rPr>
              <w:t>一等</w:t>
            </w:r>
          </w:p>
          <w:p>
            <w:pPr>
              <w:spacing w:before="3"/>
              <w:jc w:val="both"/>
              <w:rPr>
                <w:bCs/>
                <w:sz w:val="21"/>
                <w:szCs w:val="21"/>
                <w:lang w:val="en-US"/>
              </w:rPr>
            </w:pPr>
            <w:r>
              <w:rPr>
                <w:rFonts w:hint="eastAsia"/>
                <w:bCs/>
                <w:sz w:val="21"/>
                <w:szCs w:val="21"/>
                <w:lang w:val="en-US"/>
              </w:rPr>
              <w:t>品</w:t>
            </w:r>
          </w:p>
        </w:tc>
        <w:tc>
          <w:tcPr>
            <w:tcW w:w="766" w:type="dxa"/>
          </w:tcPr>
          <w:p>
            <w:pPr>
              <w:spacing w:before="3"/>
              <w:jc w:val="both"/>
              <w:rPr>
                <w:bCs/>
                <w:sz w:val="21"/>
                <w:szCs w:val="21"/>
                <w:lang w:val="en-US"/>
              </w:rPr>
            </w:pPr>
            <w:r>
              <w:rPr>
                <w:rFonts w:hint="eastAsia"/>
                <w:bCs/>
                <w:sz w:val="21"/>
                <w:szCs w:val="21"/>
                <w:lang w:val="en-US"/>
              </w:rPr>
              <w:t>一等品</w:t>
            </w:r>
          </w:p>
          <w:p>
            <w:pPr>
              <w:spacing w:before="3"/>
              <w:jc w:val="both"/>
              <w:rPr>
                <w:bCs/>
                <w:sz w:val="21"/>
                <w:szCs w:val="21"/>
                <w:lang w:val="en-US"/>
              </w:rPr>
            </w:pPr>
            <w:r>
              <w:rPr>
                <w:rFonts w:hint="eastAsia"/>
                <w:bCs/>
                <w:sz w:val="21"/>
                <w:szCs w:val="21"/>
                <w:lang w:val="en-US"/>
              </w:rPr>
              <w:t>合格品</w:t>
            </w:r>
          </w:p>
        </w:tc>
        <w:tc>
          <w:tcPr>
            <w:tcW w:w="800" w:type="dxa"/>
          </w:tcPr>
          <w:p>
            <w:pPr>
              <w:spacing w:before="3"/>
              <w:jc w:val="both"/>
              <w:rPr>
                <w:bCs/>
                <w:sz w:val="21"/>
                <w:szCs w:val="21"/>
                <w:lang w:val="en-US"/>
              </w:rPr>
            </w:pPr>
            <w:r>
              <w:rPr>
                <w:rFonts w:hint="eastAsia"/>
                <w:bCs/>
                <w:sz w:val="21"/>
                <w:szCs w:val="21"/>
                <w:lang w:val="en-US"/>
              </w:rPr>
              <w:t>一等</w:t>
            </w:r>
          </w:p>
          <w:p>
            <w:pPr>
              <w:spacing w:before="3"/>
              <w:jc w:val="both"/>
              <w:rPr>
                <w:bCs/>
                <w:sz w:val="21"/>
                <w:szCs w:val="21"/>
                <w:lang w:val="en-US"/>
              </w:rPr>
            </w:pPr>
            <w:r>
              <w:rPr>
                <w:rFonts w:hint="eastAsia"/>
                <w:bCs/>
                <w:sz w:val="21"/>
                <w:szCs w:val="21"/>
                <w:lang w:val="en-US"/>
              </w:rPr>
              <w:t>品</w:t>
            </w:r>
          </w:p>
        </w:tc>
        <w:tc>
          <w:tcPr>
            <w:tcW w:w="961" w:type="dxa"/>
            <w:gridSpan w:val="2"/>
            <w:tcBorders>
              <w:right w:val="nil"/>
            </w:tcBorders>
          </w:tcPr>
          <w:p>
            <w:pPr>
              <w:spacing w:before="3"/>
              <w:jc w:val="both"/>
              <w:rPr>
                <w:bCs/>
                <w:sz w:val="21"/>
                <w:szCs w:val="21"/>
                <w:lang w:val="en-US"/>
              </w:rPr>
            </w:pPr>
            <w:r>
              <w:rPr>
                <w:rFonts w:hint="eastAsia"/>
                <w:bCs/>
                <w:sz w:val="21"/>
                <w:szCs w:val="21"/>
                <w:lang w:val="en-US"/>
              </w:rPr>
              <w:t>一等品</w:t>
            </w:r>
          </w:p>
          <w:p>
            <w:pPr>
              <w:spacing w:before="3"/>
              <w:jc w:val="both"/>
              <w:rPr>
                <w:bCs/>
                <w:sz w:val="21"/>
                <w:szCs w:val="21"/>
                <w:lang w:val="en-US"/>
              </w:rPr>
            </w:pPr>
            <w:r>
              <w:rPr>
                <w:rFonts w:hint="eastAsia"/>
                <w:bCs/>
                <w:sz w:val="21"/>
                <w:szCs w:val="21"/>
                <w:lang w:val="en-US"/>
              </w:rPr>
              <w:t>合格品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847" w:type="dxa"/>
            <w:tcBorders>
              <w:left w:val="nil"/>
            </w:tcBorders>
          </w:tcPr>
          <w:p>
            <w:pPr>
              <w:spacing w:before="3"/>
              <w:jc w:val="both"/>
              <w:rPr>
                <w:bCs/>
                <w:sz w:val="24"/>
                <w:lang w:val="en-US"/>
              </w:rPr>
            </w:pPr>
            <w:r>
              <w:rPr>
                <w:rFonts w:hint="eastAsia"/>
                <w:bCs/>
                <w:sz w:val="24"/>
                <w:lang w:val="en-US"/>
              </w:rPr>
              <w:t>拉伸强（纵、横向）MPa</w:t>
            </w:r>
          </w:p>
        </w:tc>
        <w:tc>
          <w:tcPr>
            <w:tcW w:w="903" w:type="dxa"/>
          </w:tcPr>
          <w:p>
            <w:pPr>
              <w:spacing w:before="3"/>
              <w:jc w:val="both"/>
              <w:rPr>
                <w:rFonts w:ascii="Arial" w:hAnsi="Arial" w:cs="Arial"/>
                <w:bCs/>
                <w:sz w:val="24"/>
                <w:lang w:val="en-US"/>
              </w:rPr>
            </w:pPr>
          </w:p>
          <w:p>
            <w:pPr>
              <w:spacing w:before="3"/>
              <w:jc w:val="both"/>
              <w:rPr>
                <w:rFonts w:ascii="Arial" w:hAnsi="Arial" w:cs="Arial"/>
                <w:bCs/>
                <w:sz w:val="24"/>
                <w:lang w:val="en-US"/>
              </w:rPr>
            </w:pPr>
          </w:p>
          <w:p>
            <w:pPr>
              <w:spacing w:before="3"/>
              <w:jc w:val="both"/>
              <w:rPr>
                <w:bCs/>
                <w:sz w:val="24"/>
                <w:lang w:val="en-US"/>
              </w:rPr>
            </w:pPr>
            <w:r>
              <w:rPr>
                <w:rFonts w:ascii="Arial" w:hAnsi="Arial" w:cs="Arial"/>
                <w:bCs/>
                <w:sz w:val="24"/>
                <w:lang w:val="en-US"/>
              </w:rPr>
              <w:t>≥</w:t>
            </w:r>
            <w:r>
              <w:rPr>
                <w:rFonts w:hint="eastAsia"/>
                <w:bCs/>
                <w:sz w:val="24"/>
                <w:lang w:val="en-US"/>
              </w:rPr>
              <w:t>12</w:t>
            </w:r>
          </w:p>
        </w:tc>
        <w:tc>
          <w:tcPr>
            <w:tcW w:w="850" w:type="dxa"/>
          </w:tcPr>
          <w:p>
            <w:pPr>
              <w:spacing w:before="3"/>
              <w:jc w:val="both"/>
              <w:rPr>
                <w:rFonts w:ascii="Arial" w:hAnsi="Arial" w:cs="Arial"/>
                <w:bCs/>
                <w:sz w:val="24"/>
                <w:lang w:val="en-US"/>
              </w:rPr>
            </w:pPr>
            <w:r>
              <w:rPr>
                <w:rFonts w:hint="eastAsia" w:ascii="Arial" w:hAnsi="Arial" w:cs="Arial"/>
                <w:bCs/>
                <w:sz w:val="24"/>
                <w:lang w:val="en-US"/>
              </w:rPr>
              <w:t xml:space="preserve"> </w:t>
            </w:r>
          </w:p>
          <w:p>
            <w:pPr>
              <w:spacing w:before="3"/>
              <w:jc w:val="both"/>
              <w:rPr>
                <w:rFonts w:ascii="Arial" w:hAnsi="Arial" w:cs="Arial"/>
                <w:bCs/>
                <w:sz w:val="24"/>
                <w:lang w:val="en-US"/>
              </w:rPr>
            </w:pPr>
          </w:p>
          <w:p>
            <w:pPr>
              <w:spacing w:before="3"/>
              <w:jc w:val="both"/>
              <w:rPr>
                <w:rFonts w:ascii="Arial" w:hAnsi="Arial" w:cs="Arial"/>
                <w:bCs/>
                <w:sz w:val="24"/>
                <w:lang w:val="en-US"/>
              </w:rPr>
            </w:pPr>
            <w:r>
              <w:rPr>
                <w:rFonts w:hint="eastAsia" w:ascii="Arial" w:hAnsi="Arial" w:cs="Arial"/>
                <w:bCs/>
                <w:sz w:val="24"/>
                <w:lang w:val="en-US"/>
              </w:rPr>
              <w:t xml:space="preserve"> </w:t>
            </w:r>
            <w:r>
              <w:rPr>
                <w:rFonts w:ascii="Arial" w:hAnsi="Arial" w:cs="Arial"/>
                <w:bCs/>
                <w:sz w:val="24"/>
                <w:lang w:val="en-US"/>
              </w:rPr>
              <w:t>≥</w:t>
            </w:r>
            <w:r>
              <w:rPr>
                <w:rFonts w:hint="eastAsia" w:ascii="Arial" w:hAnsi="Arial" w:cs="Arial"/>
                <w:bCs/>
                <w:sz w:val="24"/>
                <w:lang w:val="en-US"/>
              </w:rPr>
              <w:t>10</w:t>
            </w:r>
          </w:p>
        </w:tc>
        <w:tc>
          <w:tcPr>
            <w:tcW w:w="800" w:type="dxa"/>
          </w:tcPr>
          <w:p>
            <w:pPr>
              <w:spacing w:before="3"/>
              <w:jc w:val="both"/>
              <w:rPr>
                <w:rFonts w:ascii="Arial" w:hAnsi="Arial" w:cs="Arial"/>
                <w:bCs/>
                <w:sz w:val="24"/>
                <w:lang w:val="en-US"/>
              </w:rPr>
            </w:pPr>
          </w:p>
          <w:p>
            <w:pPr>
              <w:spacing w:before="3"/>
              <w:jc w:val="both"/>
              <w:rPr>
                <w:rFonts w:ascii="Arial" w:hAnsi="Arial" w:cs="Arial"/>
                <w:bCs/>
                <w:sz w:val="24"/>
                <w:lang w:val="en-US"/>
              </w:rPr>
            </w:pPr>
          </w:p>
          <w:p>
            <w:pPr>
              <w:spacing w:before="3"/>
              <w:jc w:val="both"/>
              <w:rPr>
                <w:rFonts w:ascii="Arial" w:hAnsi="Arial" w:cs="Arial"/>
                <w:bCs/>
                <w:sz w:val="24"/>
                <w:lang w:val="en-US"/>
              </w:rPr>
            </w:pPr>
            <w:r>
              <w:rPr>
                <w:rFonts w:ascii="Arial" w:hAnsi="Arial" w:cs="Arial"/>
                <w:bCs/>
                <w:sz w:val="24"/>
                <w:lang w:val="en-US"/>
              </w:rPr>
              <w:t>≥</w:t>
            </w:r>
            <w:r>
              <w:rPr>
                <w:rFonts w:hint="eastAsia" w:ascii="Arial" w:hAnsi="Arial" w:cs="Arial"/>
                <w:bCs/>
                <w:sz w:val="24"/>
                <w:lang w:val="en-US"/>
              </w:rPr>
              <w:t>13</w:t>
            </w:r>
          </w:p>
        </w:tc>
        <w:tc>
          <w:tcPr>
            <w:tcW w:w="850" w:type="dxa"/>
          </w:tcPr>
          <w:p>
            <w:pPr>
              <w:spacing w:before="3"/>
              <w:jc w:val="both"/>
              <w:rPr>
                <w:rFonts w:ascii="Arial" w:hAnsi="Arial" w:cs="Arial"/>
                <w:bCs/>
                <w:sz w:val="24"/>
                <w:lang w:val="en-US"/>
              </w:rPr>
            </w:pPr>
          </w:p>
          <w:p>
            <w:pPr>
              <w:spacing w:before="3"/>
              <w:jc w:val="both"/>
              <w:rPr>
                <w:rFonts w:ascii="Arial" w:hAnsi="Arial" w:cs="Arial"/>
                <w:bCs/>
                <w:sz w:val="24"/>
                <w:lang w:val="en-US"/>
              </w:rPr>
            </w:pPr>
          </w:p>
          <w:p>
            <w:pPr>
              <w:spacing w:before="3"/>
              <w:jc w:val="both"/>
              <w:rPr>
                <w:rFonts w:ascii="Arial" w:hAnsi="Arial" w:cs="Arial"/>
                <w:bCs/>
                <w:sz w:val="24"/>
                <w:lang w:val="en-US"/>
              </w:rPr>
            </w:pPr>
            <w:r>
              <w:rPr>
                <w:rFonts w:ascii="Arial" w:hAnsi="Arial" w:cs="Arial"/>
                <w:bCs/>
                <w:sz w:val="24"/>
                <w:lang w:val="en-US"/>
              </w:rPr>
              <w:t>≥</w:t>
            </w:r>
            <w:r>
              <w:rPr>
                <w:rFonts w:hint="eastAsia" w:ascii="Arial" w:hAnsi="Arial" w:cs="Arial"/>
                <w:bCs/>
                <w:sz w:val="24"/>
                <w:lang w:val="en-US"/>
              </w:rPr>
              <w:t>11</w:t>
            </w:r>
          </w:p>
        </w:tc>
        <w:tc>
          <w:tcPr>
            <w:tcW w:w="767" w:type="dxa"/>
          </w:tcPr>
          <w:p>
            <w:pPr>
              <w:spacing w:before="3"/>
              <w:jc w:val="both"/>
              <w:rPr>
                <w:rFonts w:ascii="Arial" w:hAnsi="Arial" w:cs="Arial"/>
                <w:bCs/>
                <w:sz w:val="24"/>
                <w:lang w:val="en-US"/>
              </w:rPr>
            </w:pPr>
          </w:p>
          <w:p>
            <w:pPr>
              <w:spacing w:before="3"/>
              <w:jc w:val="both"/>
              <w:rPr>
                <w:rFonts w:ascii="Arial" w:hAnsi="Arial" w:cs="Arial"/>
                <w:bCs/>
                <w:sz w:val="24"/>
                <w:lang w:val="en-US"/>
              </w:rPr>
            </w:pPr>
          </w:p>
          <w:p>
            <w:pPr>
              <w:spacing w:before="3"/>
              <w:jc w:val="both"/>
              <w:rPr>
                <w:rFonts w:ascii="Arial" w:hAnsi="Arial" w:cs="Arial"/>
                <w:bCs/>
                <w:sz w:val="24"/>
                <w:lang w:val="en-US"/>
              </w:rPr>
            </w:pPr>
            <w:r>
              <w:rPr>
                <w:rFonts w:ascii="Arial" w:hAnsi="Arial" w:cs="Arial"/>
                <w:bCs/>
                <w:sz w:val="24"/>
                <w:lang w:val="en-US"/>
              </w:rPr>
              <w:t>≥</w:t>
            </w:r>
            <w:r>
              <w:rPr>
                <w:rFonts w:hint="eastAsia" w:ascii="Arial" w:hAnsi="Arial" w:cs="Arial"/>
                <w:bCs/>
                <w:sz w:val="24"/>
                <w:lang w:val="en-US"/>
              </w:rPr>
              <w:t>17</w:t>
            </w:r>
          </w:p>
        </w:tc>
        <w:tc>
          <w:tcPr>
            <w:tcW w:w="750" w:type="dxa"/>
          </w:tcPr>
          <w:p>
            <w:pPr>
              <w:spacing w:before="3"/>
              <w:jc w:val="both"/>
              <w:rPr>
                <w:rFonts w:ascii="Arial" w:hAnsi="Arial" w:cs="Arial"/>
                <w:bCs/>
                <w:sz w:val="24"/>
                <w:lang w:val="en-US"/>
              </w:rPr>
            </w:pPr>
          </w:p>
          <w:p>
            <w:pPr>
              <w:spacing w:before="3"/>
              <w:jc w:val="both"/>
              <w:rPr>
                <w:rFonts w:ascii="Arial" w:hAnsi="Arial" w:cs="Arial"/>
                <w:bCs/>
                <w:sz w:val="24"/>
                <w:lang w:val="en-US"/>
              </w:rPr>
            </w:pPr>
          </w:p>
          <w:p>
            <w:pPr>
              <w:spacing w:before="3"/>
              <w:jc w:val="both"/>
              <w:rPr>
                <w:rFonts w:ascii="Arial" w:hAnsi="Arial" w:cs="Arial"/>
                <w:bCs/>
                <w:sz w:val="24"/>
                <w:lang w:val="en-US"/>
              </w:rPr>
            </w:pPr>
            <w:r>
              <w:rPr>
                <w:rFonts w:ascii="Arial" w:hAnsi="Arial" w:cs="Arial"/>
                <w:bCs/>
                <w:sz w:val="24"/>
                <w:lang w:val="en-US"/>
              </w:rPr>
              <w:t>≥</w:t>
            </w:r>
            <w:r>
              <w:rPr>
                <w:rFonts w:hint="eastAsia" w:ascii="Arial" w:hAnsi="Arial" w:cs="Arial"/>
                <w:bCs/>
                <w:sz w:val="24"/>
                <w:lang w:val="en-US"/>
              </w:rPr>
              <w:t>14</w:t>
            </w:r>
          </w:p>
        </w:tc>
        <w:tc>
          <w:tcPr>
            <w:tcW w:w="750" w:type="dxa"/>
          </w:tcPr>
          <w:p>
            <w:pPr>
              <w:spacing w:before="3"/>
              <w:jc w:val="both"/>
              <w:rPr>
                <w:rFonts w:ascii="Arial" w:hAnsi="Arial" w:cs="Arial"/>
                <w:bCs/>
                <w:sz w:val="24"/>
                <w:lang w:val="en-US"/>
              </w:rPr>
            </w:pPr>
          </w:p>
          <w:p>
            <w:pPr>
              <w:spacing w:before="3"/>
              <w:jc w:val="both"/>
              <w:rPr>
                <w:rFonts w:ascii="Arial" w:hAnsi="Arial" w:cs="Arial"/>
                <w:bCs/>
                <w:sz w:val="24"/>
                <w:lang w:val="en-US"/>
              </w:rPr>
            </w:pPr>
          </w:p>
          <w:p>
            <w:pPr>
              <w:spacing w:before="3"/>
              <w:jc w:val="both"/>
              <w:rPr>
                <w:rFonts w:ascii="Arial" w:hAnsi="Arial" w:cs="Arial"/>
                <w:bCs/>
                <w:sz w:val="24"/>
                <w:lang w:val="en-US"/>
              </w:rPr>
            </w:pPr>
            <w:r>
              <w:rPr>
                <w:rFonts w:ascii="Arial" w:hAnsi="Arial" w:cs="Arial"/>
                <w:bCs/>
                <w:sz w:val="24"/>
                <w:lang w:val="en-US"/>
              </w:rPr>
              <w:t>≥</w:t>
            </w:r>
            <w:r>
              <w:rPr>
                <w:rFonts w:hint="eastAsia" w:ascii="Arial" w:hAnsi="Arial" w:cs="Arial"/>
                <w:bCs/>
                <w:sz w:val="24"/>
                <w:lang w:val="en-US"/>
              </w:rPr>
              <w:t>12</w:t>
            </w:r>
          </w:p>
        </w:tc>
        <w:tc>
          <w:tcPr>
            <w:tcW w:w="850" w:type="dxa"/>
          </w:tcPr>
          <w:p>
            <w:pPr>
              <w:spacing w:before="3"/>
              <w:jc w:val="both"/>
              <w:rPr>
                <w:rFonts w:ascii="Arial" w:hAnsi="Arial" w:cs="Arial"/>
                <w:bCs/>
                <w:sz w:val="24"/>
                <w:lang w:val="en-US"/>
              </w:rPr>
            </w:pPr>
          </w:p>
          <w:p>
            <w:pPr>
              <w:spacing w:before="3"/>
              <w:jc w:val="both"/>
              <w:rPr>
                <w:rFonts w:ascii="Arial" w:hAnsi="Arial" w:cs="Arial"/>
                <w:bCs/>
                <w:sz w:val="24"/>
                <w:lang w:val="en-US"/>
              </w:rPr>
            </w:pPr>
          </w:p>
          <w:p>
            <w:pPr>
              <w:spacing w:before="3"/>
              <w:jc w:val="both"/>
              <w:rPr>
                <w:rFonts w:ascii="Arial" w:hAnsi="Arial" w:cs="Arial"/>
                <w:bCs/>
                <w:sz w:val="24"/>
                <w:lang w:val="en-US"/>
              </w:rPr>
            </w:pPr>
            <w:r>
              <w:rPr>
                <w:rFonts w:ascii="Arial" w:hAnsi="Arial" w:cs="Arial"/>
                <w:bCs/>
                <w:sz w:val="24"/>
                <w:lang w:val="en-US"/>
              </w:rPr>
              <w:t>≥</w:t>
            </w:r>
            <w:r>
              <w:rPr>
                <w:rFonts w:hint="eastAsia" w:ascii="Arial" w:hAnsi="Arial" w:cs="Arial"/>
                <w:bCs/>
                <w:sz w:val="24"/>
                <w:lang w:val="en-US"/>
              </w:rPr>
              <w:t>10</w:t>
            </w:r>
          </w:p>
        </w:tc>
        <w:tc>
          <w:tcPr>
            <w:tcW w:w="750" w:type="dxa"/>
          </w:tcPr>
          <w:p>
            <w:pPr>
              <w:spacing w:before="3"/>
              <w:jc w:val="both"/>
              <w:rPr>
                <w:rFonts w:ascii="Arial" w:hAnsi="Arial" w:cs="Arial"/>
                <w:bCs/>
                <w:sz w:val="24"/>
                <w:lang w:val="en-US"/>
              </w:rPr>
            </w:pPr>
          </w:p>
          <w:p>
            <w:pPr>
              <w:spacing w:before="3"/>
              <w:jc w:val="both"/>
              <w:rPr>
                <w:rFonts w:ascii="Arial" w:hAnsi="Arial" w:cs="Arial"/>
                <w:bCs/>
                <w:sz w:val="24"/>
                <w:lang w:val="en-US"/>
              </w:rPr>
            </w:pPr>
          </w:p>
          <w:p>
            <w:pPr>
              <w:spacing w:before="3"/>
              <w:jc w:val="both"/>
              <w:rPr>
                <w:rFonts w:ascii="Arial" w:hAnsi="Arial" w:cs="Arial"/>
                <w:bCs/>
                <w:sz w:val="24"/>
                <w:lang w:val="en-US"/>
              </w:rPr>
            </w:pPr>
            <w:r>
              <w:rPr>
                <w:rFonts w:ascii="Arial" w:hAnsi="Arial" w:cs="Arial"/>
                <w:bCs/>
                <w:sz w:val="24"/>
                <w:lang w:val="en-US"/>
              </w:rPr>
              <w:t>≥</w:t>
            </w:r>
            <w:r>
              <w:rPr>
                <w:rFonts w:hint="eastAsia" w:ascii="Arial" w:hAnsi="Arial" w:cs="Arial"/>
                <w:bCs/>
                <w:sz w:val="24"/>
                <w:lang w:val="en-US"/>
              </w:rPr>
              <w:t>13</w:t>
            </w:r>
          </w:p>
        </w:tc>
        <w:tc>
          <w:tcPr>
            <w:tcW w:w="766" w:type="dxa"/>
          </w:tcPr>
          <w:p>
            <w:pPr>
              <w:spacing w:before="3"/>
              <w:jc w:val="both"/>
              <w:rPr>
                <w:rFonts w:ascii="Arial" w:hAnsi="Arial" w:cs="Arial"/>
                <w:bCs/>
                <w:sz w:val="24"/>
                <w:lang w:val="en-US"/>
              </w:rPr>
            </w:pPr>
          </w:p>
          <w:p>
            <w:pPr>
              <w:spacing w:before="3"/>
              <w:jc w:val="both"/>
              <w:rPr>
                <w:rFonts w:ascii="Arial" w:hAnsi="Arial" w:cs="Arial"/>
                <w:bCs/>
                <w:sz w:val="24"/>
                <w:lang w:val="en-US"/>
              </w:rPr>
            </w:pPr>
          </w:p>
          <w:p>
            <w:pPr>
              <w:spacing w:before="3"/>
              <w:jc w:val="both"/>
              <w:rPr>
                <w:rFonts w:ascii="Arial" w:hAnsi="Arial" w:cs="Arial"/>
                <w:bCs/>
                <w:sz w:val="24"/>
                <w:lang w:val="en-US"/>
              </w:rPr>
            </w:pPr>
            <w:r>
              <w:rPr>
                <w:rFonts w:ascii="Arial" w:hAnsi="Arial" w:cs="Arial"/>
                <w:bCs/>
                <w:sz w:val="24"/>
                <w:lang w:val="en-US"/>
              </w:rPr>
              <w:t>≥</w:t>
            </w:r>
            <w:r>
              <w:rPr>
                <w:rFonts w:hint="eastAsia" w:ascii="Arial" w:hAnsi="Arial" w:cs="Arial"/>
                <w:bCs/>
                <w:sz w:val="24"/>
                <w:lang w:val="en-US"/>
              </w:rPr>
              <w:t>11</w:t>
            </w:r>
          </w:p>
        </w:tc>
        <w:tc>
          <w:tcPr>
            <w:tcW w:w="800" w:type="dxa"/>
          </w:tcPr>
          <w:p>
            <w:pPr>
              <w:spacing w:before="3"/>
              <w:jc w:val="both"/>
              <w:rPr>
                <w:rFonts w:ascii="Arial" w:hAnsi="Arial" w:cs="Arial"/>
                <w:bCs/>
                <w:sz w:val="24"/>
                <w:lang w:val="en-US"/>
              </w:rPr>
            </w:pPr>
          </w:p>
          <w:p>
            <w:pPr>
              <w:spacing w:before="3"/>
              <w:jc w:val="both"/>
              <w:rPr>
                <w:rFonts w:ascii="Arial" w:hAnsi="Arial" w:cs="Arial"/>
                <w:bCs/>
                <w:sz w:val="24"/>
                <w:lang w:val="en-US"/>
              </w:rPr>
            </w:pPr>
          </w:p>
          <w:p>
            <w:pPr>
              <w:spacing w:before="3"/>
              <w:jc w:val="both"/>
              <w:rPr>
                <w:rFonts w:ascii="Arial" w:hAnsi="Arial" w:cs="Arial"/>
                <w:bCs/>
                <w:sz w:val="24"/>
                <w:lang w:val="en-US"/>
              </w:rPr>
            </w:pPr>
            <w:r>
              <w:rPr>
                <w:rFonts w:ascii="Arial" w:hAnsi="Arial" w:cs="Arial"/>
                <w:bCs/>
                <w:sz w:val="24"/>
                <w:lang w:val="en-US"/>
              </w:rPr>
              <w:t>≥</w:t>
            </w:r>
            <w:r>
              <w:rPr>
                <w:rFonts w:hint="eastAsia" w:ascii="Arial" w:hAnsi="Arial" w:cs="Arial"/>
                <w:bCs/>
                <w:sz w:val="24"/>
                <w:lang w:val="en-US"/>
              </w:rPr>
              <w:t>17</w:t>
            </w:r>
          </w:p>
        </w:tc>
        <w:tc>
          <w:tcPr>
            <w:tcW w:w="961" w:type="dxa"/>
            <w:gridSpan w:val="2"/>
            <w:tcBorders>
              <w:right w:val="nil"/>
            </w:tcBorders>
          </w:tcPr>
          <w:p>
            <w:pPr>
              <w:spacing w:before="3"/>
              <w:jc w:val="both"/>
              <w:rPr>
                <w:rFonts w:ascii="Arial" w:hAnsi="Arial" w:cs="Arial"/>
                <w:bCs/>
                <w:sz w:val="24"/>
                <w:lang w:val="en-US"/>
              </w:rPr>
            </w:pPr>
          </w:p>
          <w:p>
            <w:pPr>
              <w:spacing w:before="3"/>
              <w:jc w:val="both"/>
              <w:rPr>
                <w:rFonts w:ascii="Arial" w:hAnsi="Arial" w:cs="Arial"/>
                <w:bCs/>
                <w:sz w:val="24"/>
                <w:lang w:val="en-US"/>
              </w:rPr>
            </w:pPr>
          </w:p>
          <w:p>
            <w:pPr>
              <w:spacing w:before="3"/>
              <w:jc w:val="both"/>
              <w:rPr>
                <w:rFonts w:ascii="Arial" w:hAnsi="Arial" w:cs="Arial"/>
                <w:bCs/>
                <w:sz w:val="24"/>
                <w:lang w:val="en-US"/>
              </w:rPr>
            </w:pPr>
            <w:r>
              <w:rPr>
                <w:rFonts w:ascii="Arial" w:hAnsi="Arial" w:cs="Arial"/>
                <w:bCs/>
                <w:sz w:val="24"/>
                <w:lang w:val="en-US"/>
              </w:rPr>
              <w:t>≥</w:t>
            </w:r>
            <w:r>
              <w:rPr>
                <w:rFonts w:hint="eastAsia" w:ascii="Arial" w:hAnsi="Arial" w:cs="Arial"/>
                <w:bCs/>
                <w:sz w:val="24"/>
                <w:lang w:val="en-US"/>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47" w:type="dxa"/>
            <w:tcBorders>
              <w:left w:val="nil"/>
            </w:tcBorders>
          </w:tcPr>
          <w:p>
            <w:pPr>
              <w:spacing w:before="3"/>
              <w:jc w:val="both"/>
              <w:rPr>
                <w:bCs/>
                <w:sz w:val="24"/>
                <w:lang w:val="en-US"/>
              </w:rPr>
            </w:pPr>
            <w:r>
              <w:rPr>
                <w:rFonts w:hint="eastAsia"/>
                <w:bCs/>
                <w:sz w:val="24"/>
                <w:lang w:val="en-US"/>
              </w:rPr>
              <w:t>断裂伸长度（纵横向）%</w:t>
            </w:r>
          </w:p>
        </w:tc>
        <w:tc>
          <w:tcPr>
            <w:tcW w:w="903" w:type="dxa"/>
          </w:tcPr>
          <w:p>
            <w:pPr>
              <w:spacing w:before="3"/>
              <w:jc w:val="both"/>
              <w:rPr>
                <w:rFonts w:ascii="Arial" w:hAnsi="Arial" w:cs="Arial"/>
                <w:bCs/>
                <w:sz w:val="24"/>
                <w:lang w:val="en-US"/>
              </w:rPr>
            </w:pPr>
          </w:p>
          <w:p>
            <w:pPr>
              <w:spacing w:before="3"/>
              <w:jc w:val="both"/>
              <w:rPr>
                <w:rFonts w:ascii="Arial" w:hAnsi="Arial" w:cs="Arial"/>
                <w:bCs/>
                <w:sz w:val="24"/>
                <w:lang w:val="en-US"/>
              </w:rPr>
            </w:pPr>
          </w:p>
          <w:p>
            <w:pPr>
              <w:spacing w:before="3"/>
              <w:jc w:val="both"/>
              <w:rPr>
                <w:bCs/>
                <w:sz w:val="24"/>
                <w:lang w:val="en-US"/>
              </w:rPr>
            </w:pPr>
            <w:r>
              <w:rPr>
                <w:rFonts w:ascii="Arial" w:hAnsi="Arial" w:cs="Arial"/>
                <w:bCs/>
                <w:sz w:val="24"/>
                <w:lang w:val="en-US"/>
              </w:rPr>
              <w:t>≥</w:t>
            </w:r>
            <w:r>
              <w:rPr>
                <w:rFonts w:hint="eastAsia" w:ascii="Arial" w:hAnsi="Arial" w:cs="Arial"/>
                <w:bCs/>
                <w:sz w:val="24"/>
                <w:lang w:val="en-US"/>
              </w:rPr>
              <w:t>150</w:t>
            </w:r>
          </w:p>
        </w:tc>
        <w:tc>
          <w:tcPr>
            <w:tcW w:w="850" w:type="dxa"/>
          </w:tcPr>
          <w:p>
            <w:pPr>
              <w:spacing w:before="3"/>
              <w:jc w:val="both"/>
              <w:rPr>
                <w:rFonts w:ascii="Arial" w:hAnsi="Arial" w:cs="Arial"/>
                <w:bCs/>
                <w:sz w:val="24"/>
                <w:lang w:val="en-US"/>
              </w:rPr>
            </w:pPr>
          </w:p>
          <w:p>
            <w:pPr>
              <w:spacing w:before="3"/>
              <w:jc w:val="both"/>
              <w:rPr>
                <w:rFonts w:ascii="Arial" w:hAnsi="Arial" w:cs="Arial"/>
                <w:bCs/>
                <w:sz w:val="24"/>
                <w:lang w:val="en-US"/>
              </w:rPr>
            </w:pPr>
          </w:p>
          <w:p>
            <w:pPr>
              <w:spacing w:before="3"/>
              <w:jc w:val="both"/>
              <w:rPr>
                <w:rFonts w:ascii="Arial" w:hAnsi="Arial" w:cs="Arial"/>
                <w:bCs/>
                <w:sz w:val="24"/>
                <w:lang w:val="en-US"/>
              </w:rPr>
            </w:pPr>
            <w:r>
              <w:rPr>
                <w:rFonts w:ascii="Arial" w:hAnsi="Arial" w:cs="Arial"/>
                <w:bCs/>
                <w:sz w:val="24"/>
                <w:lang w:val="en-US"/>
              </w:rPr>
              <w:t>≥</w:t>
            </w:r>
            <w:r>
              <w:rPr>
                <w:rFonts w:hint="eastAsia" w:ascii="Arial" w:hAnsi="Arial" w:cs="Arial"/>
                <w:bCs/>
                <w:sz w:val="24"/>
                <w:lang w:val="en-US"/>
              </w:rPr>
              <w:t>130</w:t>
            </w:r>
          </w:p>
        </w:tc>
        <w:tc>
          <w:tcPr>
            <w:tcW w:w="800" w:type="dxa"/>
          </w:tcPr>
          <w:p>
            <w:pPr>
              <w:spacing w:before="3"/>
              <w:jc w:val="both"/>
              <w:rPr>
                <w:rFonts w:ascii="Arial" w:hAnsi="Arial" w:cs="Arial"/>
                <w:bCs/>
                <w:sz w:val="24"/>
                <w:lang w:val="en-US"/>
              </w:rPr>
            </w:pPr>
          </w:p>
          <w:p>
            <w:pPr>
              <w:spacing w:before="3"/>
              <w:jc w:val="both"/>
              <w:rPr>
                <w:rFonts w:ascii="Arial" w:hAnsi="Arial" w:cs="Arial"/>
                <w:bCs/>
                <w:sz w:val="24"/>
                <w:lang w:val="en-US"/>
              </w:rPr>
            </w:pPr>
          </w:p>
          <w:p>
            <w:pPr>
              <w:spacing w:before="3"/>
              <w:jc w:val="both"/>
              <w:rPr>
                <w:rFonts w:ascii="Arial" w:hAnsi="Arial" w:cs="Arial"/>
                <w:bCs/>
                <w:sz w:val="24"/>
                <w:lang w:val="en-US"/>
              </w:rPr>
            </w:pPr>
            <w:r>
              <w:rPr>
                <w:rFonts w:ascii="Arial" w:hAnsi="Arial" w:cs="Arial"/>
                <w:bCs/>
                <w:sz w:val="24"/>
                <w:lang w:val="en-US"/>
              </w:rPr>
              <w:t>≥</w:t>
            </w:r>
            <w:r>
              <w:rPr>
                <w:rFonts w:hint="eastAsia" w:ascii="Arial" w:hAnsi="Arial" w:cs="Arial"/>
                <w:bCs/>
                <w:sz w:val="24"/>
                <w:lang w:val="en-US"/>
              </w:rPr>
              <w:t>200</w:t>
            </w:r>
          </w:p>
        </w:tc>
        <w:tc>
          <w:tcPr>
            <w:tcW w:w="850" w:type="dxa"/>
          </w:tcPr>
          <w:p>
            <w:pPr>
              <w:spacing w:before="3"/>
              <w:jc w:val="both"/>
              <w:rPr>
                <w:rFonts w:ascii="Arial" w:hAnsi="Arial" w:cs="Arial"/>
                <w:bCs/>
                <w:sz w:val="24"/>
                <w:lang w:val="en-US"/>
              </w:rPr>
            </w:pPr>
          </w:p>
          <w:p>
            <w:pPr>
              <w:spacing w:before="3"/>
              <w:jc w:val="both"/>
              <w:rPr>
                <w:rFonts w:ascii="Arial" w:hAnsi="Arial" w:cs="Arial"/>
                <w:bCs/>
                <w:sz w:val="24"/>
                <w:lang w:val="en-US"/>
              </w:rPr>
            </w:pPr>
          </w:p>
          <w:p>
            <w:pPr>
              <w:spacing w:before="3"/>
              <w:jc w:val="both"/>
              <w:rPr>
                <w:rFonts w:ascii="Arial" w:hAnsi="Arial" w:cs="Arial"/>
                <w:bCs/>
                <w:sz w:val="24"/>
                <w:lang w:val="en-US"/>
              </w:rPr>
            </w:pPr>
            <w:r>
              <w:rPr>
                <w:rFonts w:ascii="Arial" w:hAnsi="Arial" w:cs="Arial"/>
                <w:bCs/>
                <w:sz w:val="24"/>
                <w:lang w:val="en-US"/>
              </w:rPr>
              <w:t>≥</w:t>
            </w:r>
            <w:r>
              <w:rPr>
                <w:rFonts w:hint="eastAsia" w:ascii="Arial" w:hAnsi="Arial" w:cs="Arial"/>
                <w:bCs/>
                <w:sz w:val="24"/>
                <w:lang w:val="en-US"/>
              </w:rPr>
              <w:t>180</w:t>
            </w:r>
          </w:p>
        </w:tc>
        <w:tc>
          <w:tcPr>
            <w:tcW w:w="767" w:type="dxa"/>
          </w:tcPr>
          <w:p>
            <w:pPr>
              <w:spacing w:before="3"/>
              <w:jc w:val="both"/>
              <w:rPr>
                <w:rFonts w:ascii="Arial" w:hAnsi="Arial" w:cs="Arial"/>
                <w:bCs/>
                <w:sz w:val="24"/>
                <w:lang w:val="en-US"/>
              </w:rPr>
            </w:pPr>
          </w:p>
          <w:p>
            <w:pPr>
              <w:spacing w:before="3"/>
              <w:jc w:val="both"/>
              <w:rPr>
                <w:rFonts w:ascii="Arial" w:hAnsi="Arial" w:cs="Arial"/>
                <w:bCs/>
                <w:sz w:val="24"/>
                <w:lang w:val="en-US"/>
              </w:rPr>
            </w:pPr>
          </w:p>
          <w:p>
            <w:pPr>
              <w:spacing w:before="3"/>
              <w:jc w:val="both"/>
              <w:rPr>
                <w:rFonts w:ascii="Arial" w:hAnsi="Arial" w:cs="Arial"/>
                <w:bCs/>
                <w:sz w:val="24"/>
                <w:lang w:val="en-US"/>
              </w:rPr>
            </w:pPr>
            <w:r>
              <w:rPr>
                <w:rFonts w:ascii="Arial" w:hAnsi="Arial" w:cs="Arial"/>
                <w:bCs/>
                <w:sz w:val="24"/>
                <w:lang w:val="en-US"/>
              </w:rPr>
              <w:t>≥</w:t>
            </w:r>
            <w:r>
              <w:rPr>
                <w:rFonts w:hint="eastAsia" w:ascii="Arial" w:hAnsi="Arial" w:cs="Arial"/>
                <w:bCs/>
                <w:sz w:val="24"/>
                <w:lang w:val="en-US"/>
              </w:rPr>
              <w:t>250</w:t>
            </w:r>
          </w:p>
        </w:tc>
        <w:tc>
          <w:tcPr>
            <w:tcW w:w="750" w:type="dxa"/>
          </w:tcPr>
          <w:p>
            <w:pPr>
              <w:spacing w:before="3"/>
              <w:jc w:val="both"/>
              <w:rPr>
                <w:rFonts w:ascii="Arial" w:hAnsi="Arial" w:cs="Arial"/>
                <w:bCs/>
                <w:sz w:val="24"/>
                <w:lang w:val="en-US"/>
              </w:rPr>
            </w:pPr>
          </w:p>
          <w:p>
            <w:pPr>
              <w:spacing w:before="3"/>
              <w:jc w:val="both"/>
              <w:rPr>
                <w:rFonts w:ascii="Arial" w:hAnsi="Arial" w:cs="Arial"/>
                <w:bCs/>
                <w:sz w:val="24"/>
                <w:lang w:val="en-US"/>
              </w:rPr>
            </w:pPr>
          </w:p>
          <w:p>
            <w:pPr>
              <w:spacing w:before="3"/>
              <w:jc w:val="both"/>
              <w:rPr>
                <w:rFonts w:ascii="Arial" w:hAnsi="Arial" w:cs="Arial"/>
                <w:bCs/>
                <w:sz w:val="24"/>
                <w:lang w:val="en-US"/>
              </w:rPr>
            </w:pPr>
            <w:r>
              <w:rPr>
                <w:rFonts w:ascii="Arial" w:hAnsi="Arial" w:cs="Arial"/>
                <w:bCs/>
                <w:sz w:val="24"/>
                <w:lang w:val="en-US"/>
              </w:rPr>
              <w:t>≥</w:t>
            </w:r>
            <w:r>
              <w:rPr>
                <w:rFonts w:hint="eastAsia" w:ascii="Arial" w:hAnsi="Arial" w:cs="Arial"/>
                <w:bCs/>
                <w:sz w:val="24"/>
                <w:lang w:val="en-US"/>
              </w:rPr>
              <w:t>230</w:t>
            </w:r>
          </w:p>
        </w:tc>
        <w:tc>
          <w:tcPr>
            <w:tcW w:w="750" w:type="dxa"/>
          </w:tcPr>
          <w:p>
            <w:pPr>
              <w:spacing w:before="3"/>
              <w:jc w:val="both"/>
              <w:rPr>
                <w:rFonts w:ascii="Arial" w:hAnsi="Arial" w:cs="Arial"/>
                <w:bCs/>
                <w:sz w:val="24"/>
                <w:lang w:val="en-US"/>
              </w:rPr>
            </w:pPr>
          </w:p>
          <w:p>
            <w:pPr>
              <w:spacing w:before="3"/>
              <w:jc w:val="both"/>
              <w:rPr>
                <w:rFonts w:ascii="Arial" w:hAnsi="Arial" w:cs="Arial"/>
                <w:bCs/>
                <w:sz w:val="24"/>
                <w:lang w:val="en-US"/>
              </w:rPr>
            </w:pPr>
          </w:p>
          <w:p>
            <w:pPr>
              <w:spacing w:before="3"/>
              <w:jc w:val="both"/>
              <w:rPr>
                <w:rFonts w:ascii="Arial" w:hAnsi="Arial" w:cs="Arial"/>
                <w:bCs/>
                <w:sz w:val="24"/>
                <w:lang w:val="en-US"/>
              </w:rPr>
            </w:pPr>
            <w:r>
              <w:rPr>
                <w:rFonts w:ascii="Arial" w:hAnsi="Arial" w:cs="Arial"/>
                <w:bCs/>
                <w:sz w:val="24"/>
                <w:lang w:val="en-US"/>
              </w:rPr>
              <w:t>≥</w:t>
            </w:r>
            <w:r>
              <w:rPr>
                <w:rFonts w:hint="eastAsia" w:ascii="Arial" w:hAnsi="Arial" w:cs="Arial"/>
                <w:bCs/>
                <w:sz w:val="24"/>
                <w:lang w:val="en-US"/>
              </w:rPr>
              <w:t>250</w:t>
            </w:r>
          </w:p>
        </w:tc>
        <w:tc>
          <w:tcPr>
            <w:tcW w:w="850" w:type="dxa"/>
          </w:tcPr>
          <w:p>
            <w:pPr>
              <w:spacing w:before="3"/>
              <w:jc w:val="both"/>
              <w:rPr>
                <w:rFonts w:ascii="Arial" w:hAnsi="Arial" w:cs="Arial"/>
                <w:bCs/>
                <w:sz w:val="24"/>
                <w:lang w:val="en-US"/>
              </w:rPr>
            </w:pPr>
          </w:p>
          <w:p>
            <w:pPr>
              <w:spacing w:before="3"/>
              <w:jc w:val="both"/>
              <w:rPr>
                <w:rFonts w:ascii="Arial" w:hAnsi="Arial" w:cs="Arial"/>
                <w:bCs/>
                <w:sz w:val="24"/>
                <w:lang w:val="en-US"/>
              </w:rPr>
            </w:pPr>
          </w:p>
          <w:p>
            <w:pPr>
              <w:spacing w:before="3"/>
              <w:jc w:val="both"/>
              <w:rPr>
                <w:rFonts w:ascii="Arial" w:hAnsi="Arial" w:cs="Arial"/>
                <w:bCs/>
                <w:sz w:val="24"/>
                <w:lang w:val="en-US"/>
              </w:rPr>
            </w:pPr>
            <w:r>
              <w:rPr>
                <w:rFonts w:ascii="Arial" w:hAnsi="Arial" w:cs="Arial"/>
                <w:bCs/>
                <w:sz w:val="24"/>
                <w:lang w:val="en-US"/>
              </w:rPr>
              <w:t>≥</w:t>
            </w:r>
            <w:r>
              <w:rPr>
                <w:rFonts w:hint="eastAsia" w:ascii="Arial" w:hAnsi="Arial" w:cs="Arial"/>
                <w:bCs/>
                <w:sz w:val="24"/>
                <w:lang w:val="en-US"/>
              </w:rPr>
              <w:t>200</w:t>
            </w:r>
          </w:p>
        </w:tc>
        <w:tc>
          <w:tcPr>
            <w:tcW w:w="750" w:type="dxa"/>
          </w:tcPr>
          <w:p>
            <w:pPr>
              <w:spacing w:before="3"/>
              <w:jc w:val="both"/>
              <w:rPr>
                <w:rFonts w:ascii="Arial" w:hAnsi="Arial" w:cs="Arial"/>
                <w:bCs/>
                <w:sz w:val="24"/>
                <w:lang w:val="en-US"/>
              </w:rPr>
            </w:pPr>
          </w:p>
          <w:p>
            <w:pPr>
              <w:spacing w:before="3"/>
              <w:jc w:val="both"/>
              <w:rPr>
                <w:rFonts w:ascii="Arial" w:hAnsi="Arial" w:cs="Arial"/>
                <w:bCs/>
                <w:sz w:val="24"/>
                <w:lang w:val="en-US"/>
              </w:rPr>
            </w:pPr>
          </w:p>
          <w:p>
            <w:pPr>
              <w:spacing w:before="3"/>
              <w:jc w:val="both"/>
              <w:rPr>
                <w:rFonts w:ascii="Arial" w:hAnsi="Arial" w:cs="Arial"/>
                <w:bCs/>
                <w:sz w:val="24"/>
                <w:lang w:val="en-US"/>
              </w:rPr>
            </w:pPr>
            <w:r>
              <w:rPr>
                <w:rFonts w:ascii="Arial" w:hAnsi="Arial" w:cs="Arial"/>
                <w:bCs/>
                <w:sz w:val="24"/>
                <w:lang w:val="en-US"/>
              </w:rPr>
              <w:t>≥</w:t>
            </w:r>
            <w:r>
              <w:rPr>
                <w:rFonts w:hint="eastAsia" w:ascii="Arial" w:hAnsi="Arial" w:cs="Arial"/>
                <w:bCs/>
                <w:sz w:val="24"/>
                <w:lang w:val="en-US"/>
              </w:rPr>
              <w:t>280</w:t>
            </w:r>
          </w:p>
        </w:tc>
        <w:tc>
          <w:tcPr>
            <w:tcW w:w="766" w:type="dxa"/>
          </w:tcPr>
          <w:p>
            <w:pPr>
              <w:spacing w:before="3"/>
              <w:jc w:val="both"/>
              <w:rPr>
                <w:rFonts w:ascii="Arial" w:hAnsi="Arial" w:cs="Arial"/>
                <w:bCs/>
                <w:sz w:val="24"/>
                <w:lang w:val="en-US"/>
              </w:rPr>
            </w:pPr>
          </w:p>
          <w:p>
            <w:pPr>
              <w:spacing w:before="3"/>
              <w:jc w:val="both"/>
              <w:rPr>
                <w:rFonts w:ascii="Arial" w:hAnsi="Arial" w:cs="Arial"/>
                <w:bCs/>
                <w:sz w:val="24"/>
                <w:lang w:val="en-US"/>
              </w:rPr>
            </w:pPr>
          </w:p>
          <w:p>
            <w:pPr>
              <w:spacing w:before="3"/>
              <w:jc w:val="both"/>
              <w:rPr>
                <w:rFonts w:ascii="Arial" w:hAnsi="Arial" w:cs="Arial"/>
                <w:bCs/>
                <w:sz w:val="24"/>
                <w:lang w:val="en-US"/>
              </w:rPr>
            </w:pPr>
            <w:r>
              <w:rPr>
                <w:rFonts w:ascii="Arial" w:hAnsi="Arial" w:cs="Arial"/>
                <w:bCs/>
                <w:sz w:val="24"/>
                <w:lang w:val="en-US"/>
              </w:rPr>
              <w:t>≥</w:t>
            </w:r>
            <w:r>
              <w:rPr>
                <w:rFonts w:hint="eastAsia" w:ascii="Arial" w:hAnsi="Arial" w:cs="Arial"/>
                <w:bCs/>
                <w:sz w:val="24"/>
                <w:lang w:val="en-US"/>
              </w:rPr>
              <w:t>230</w:t>
            </w:r>
          </w:p>
        </w:tc>
        <w:tc>
          <w:tcPr>
            <w:tcW w:w="800" w:type="dxa"/>
          </w:tcPr>
          <w:p>
            <w:pPr>
              <w:spacing w:before="3"/>
              <w:jc w:val="both"/>
              <w:rPr>
                <w:rFonts w:ascii="Arial" w:hAnsi="Arial" w:cs="Arial"/>
                <w:bCs/>
                <w:sz w:val="24"/>
                <w:lang w:val="en-US"/>
              </w:rPr>
            </w:pPr>
          </w:p>
          <w:p>
            <w:pPr>
              <w:spacing w:before="3"/>
              <w:jc w:val="both"/>
              <w:rPr>
                <w:rFonts w:ascii="Arial" w:hAnsi="Arial" w:cs="Arial"/>
                <w:bCs/>
                <w:sz w:val="24"/>
                <w:lang w:val="en-US"/>
              </w:rPr>
            </w:pPr>
          </w:p>
          <w:p>
            <w:pPr>
              <w:spacing w:before="3"/>
              <w:jc w:val="both"/>
              <w:rPr>
                <w:rFonts w:ascii="Arial" w:hAnsi="Arial" w:cs="Arial"/>
                <w:bCs/>
                <w:sz w:val="24"/>
                <w:lang w:val="en-US"/>
              </w:rPr>
            </w:pPr>
            <w:r>
              <w:rPr>
                <w:rFonts w:ascii="Arial" w:hAnsi="Arial" w:cs="Arial"/>
                <w:bCs/>
                <w:sz w:val="24"/>
                <w:lang w:val="en-US"/>
              </w:rPr>
              <w:t>≥</w:t>
            </w:r>
            <w:r>
              <w:rPr>
                <w:rFonts w:hint="eastAsia" w:ascii="Arial" w:hAnsi="Arial" w:cs="Arial"/>
                <w:bCs/>
                <w:sz w:val="24"/>
                <w:lang w:val="en-US"/>
              </w:rPr>
              <w:t>350</w:t>
            </w:r>
          </w:p>
        </w:tc>
        <w:tc>
          <w:tcPr>
            <w:tcW w:w="961" w:type="dxa"/>
            <w:gridSpan w:val="2"/>
            <w:tcBorders>
              <w:right w:val="nil"/>
            </w:tcBorders>
          </w:tcPr>
          <w:p>
            <w:pPr>
              <w:spacing w:before="3"/>
              <w:jc w:val="both"/>
              <w:rPr>
                <w:rFonts w:ascii="Arial" w:hAnsi="Arial" w:cs="Arial"/>
                <w:bCs/>
                <w:sz w:val="24"/>
                <w:lang w:val="en-US"/>
              </w:rPr>
            </w:pPr>
          </w:p>
          <w:p>
            <w:pPr>
              <w:spacing w:before="3"/>
              <w:jc w:val="both"/>
              <w:rPr>
                <w:rFonts w:ascii="Arial" w:hAnsi="Arial" w:cs="Arial"/>
                <w:bCs/>
                <w:sz w:val="24"/>
                <w:lang w:val="en-US"/>
              </w:rPr>
            </w:pPr>
          </w:p>
          <w:p>
            <w:pPr>
              <w:spacing w:before="3"/>
              <w:jc w:val="both"/>
              <w:rPr>
                <w:rFonts w:ascii="Arial" w:hAnsi="Arial" w:cs="Arial"/>
                <w:bCs/>
                <w:sz w:val="24"/>
                <w:lang w:val="en-US"/>
              </w:rPr>
            </w:pPr>
            <w:r>
              <w:rPr>
                <w:rFonts w:ascii="Arial" w:hAnsi="Arial" w:cs="Arial"/>
                <w:bCs/>
                <w:sz w:val="24"/>
                <w:lang w:val="en-US"/>
              </w:rPr>
              <w:t>≥</w:t>
            </w:r>
            <w:r>
              <w:rPr>
                <w:rFonts w:hint="eastAsia" w:ascii="Arial" w:hAnsi="Arial" w:cs="Arial"/>
                <w:bCs/>
                <w:sz w:val="24"/>
                <w:lang w:val="en-US"/>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47" w:type="dxa"/>
            <w:tcBorders>
              <w:left w:val="nil"/>
            </w:tcBorders>
          </w:tcPr>
          <w:p>
            <w:pPr>
              <w:spacing w:before="3"/>
              <w:jc w:val="both"/>
              <w:rPr>
                <w:bCs/>
                <w:sz w:val="24"/>
                <w:lang w:val="en-US"/>
              </w:rPr>
            </w:pPr>
            <w:r>
              <w:rPr>
                <w:rFonts w:hint="eastAsia"/>
                <w:bCs/>
                <w:sz w:val="24"/>
                <w:lang w:val="en-US"/>
              </w:rPr>
              <w:t>冲击强度</w:t>
            </w:r>
          </w:p>
        </w:tc>
        <w:tc>
          <w:tcPr>
            <w:tcW w:w="9797" w:type="dxa"/>
            <w:gridSpan w:val="13"/>
            <w:tcBorders>
              <w:right w:val="nil"/>
            </w:tcBorders>
          </w:tcPr>
          <w:p>
            <w:pPr>
              <w:spacing w:before="3"/>
              <w:jc w:val="center"/>
              <w:rPr>
                <w:bCs/>
                <w:sz w:val="24"/>
                <w:lang w:val="en-US"/>
              </w:rPr>
            </w:pPr>
          </w:p>
          <w:p>
            <w:pPr>
              <w:spacing w:before="3"/>
              <w:jc w:val="center"/>
              <w:rPr>
                <w:bCs/>
                <w:sz w:val="24"/>
                <w:lang w:val="en-US"/>
              </w:rPr>
            </w:pPr>
            <w:r>
              <w:rPr>
                <w:rFonts w:hint="eastAsia"/>
                <w:bCs/>
                <w:sz w:val="24"/>
                <w:lang w:val="en-US"/>
              </w:rPr>
              <w:t>不破裂样品数</w:t>
            </w:r>
            <w:r>
              <w:rPr>
                <w:rFonts w:ascii="Arial" w:hAnsi="Arial" w:cs="Arial"/>
                <w:bCs/>
                <w:sz w:val="24"/>
                <w:lang w:val="en-US"/>
              </w:rPr>
              <w:t>≥</w:t>
            </w:r>
            <w:r>
              <w:rPr>
                <w:rFonts w:hint="eastAsia" w:ascii="Arial" w:hAnsi="Arial" w:cs="Arial"/>
                <w:bCs/>
                <w:sz w:val="24"/>
                <w:lang w:val="en-US"/>
              </w:rPr>
              <w:t>5为合格</w:t>
            </w:r>
          </w:p>
        </w:tc>
      </w:tr>
    </w:tbl>
    <w:p/>
    <w:p/>
    <w:p/>
    <w:p>
      <w:pPr>
        <w:pStyle w:val="9"/>
        <w:spacing w:before="3"/>
        <w:ind w:left="3573"/>
        <w:jc w:val="both"/>
      </w:pPr>
      <w:r>
        <w:t xml:space="preserve">表 </w:t>
      </w:r>
      <w:r>
        <w:rPr>
          <w:rFonts w:ascii="Times New Roman" w:eastAsia="Times New Roman"/>
        </w:rPr>
        <w:t xml:space="preserve">2.3-3  </w:t>
      </w:r>
      <w:r>
        <w:t>主要原辅材料一览表</w:t>
      </w:r>
    </w:p>
    <w:p>
      <w:pPr>
        <w:pStyle w:val="10"/>
        <w:spacing w:before="3" w:after="1"/>
        <w:rPr>
          <w:b/>
          <w:sz w:val="12"/>
        </w:rPr>
      </w:pPr>
    </w:p>
    <w:tbl>
      <w:tblPr>
        <w:tblStyle w:val="15"/>
        <w:tblW w:w="0" w:type="auto"/>
        <w:tblInd w:w="12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88"/>
        <w:gridCol w:w="2477"/>
        <w:gridCol w:w="1317"/>
        <w:gridCol w:w="1299"/>
        <w:gridCol w:w="365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888" w:type="dxa"/>
            <w:tcBorders>
              <w:left w:val="nil"/>
              <w:bottom w:val="single" w:color="000000" w:sz="4" w:space="0"/>
              <w:right w:val="single" w:color="000000" w:sz="4" w:space="0"/>
            </w:tcBorders>
          </w:tcPr>
          <w:p>
            <w:pPr>
              <w:pStyle w:val="24"/>
              <w:spacing w:before="34"/>
              <w:ind w:left="226" w:right="195"/>
              <w:jc w:val="center"/>
              <w:rPr>
                <w:b/>
                <w:sz w:val="21"/>
              </w:rPr>
            </w:pPr>
            <w:r>
              <w:rPr>
                <w:b/>
                <w:sz w:val="21"/>
              </w:rPr>
              <w:t>序号</w:t>
            </w:r>
          </w:p>
        </w:tc>
        <w:tc>
          <w:tcPr>
            <w:tcW w:w="2477" w:type="dxa"/>
            <w:tcBorders>
              <w:left w:val="single" w:color="000000" w:sz="4" w:space="0"/>
              <w:bottom w:val="single" w:color="000000" w:sz="4" w:space="0"/>
              <w:right w:val="single" w:color="000000" w:sz="4" w:space="0"/>
            </w:tcBorders>
          </w:tcPr>
          <w:p>
            <w:pPr>
              <w:pStyle w:val="24"/>
              <w:spacing w:before="34"/>
              <w:ind w:left="127" w:right="93"/>
              <w:jc w:val="center"/>
              <w:rPr>
                <w:b/>
                <w:sz w:val="21"/>
              </w:rPr>
            </w:pPr>
            <w:r>
              <w:rPr>
                <w:b/>
                <w:sz w:val="21"/>
              </w:rPr>
              <w:t>原辅材料和能源名称</w:t>
            </w:r>
          </w:p>
        </w:tc>
        <w:tc>
          <w:tcPr>
            <w:tcW w:w="1317" w:type="dxa"/>
            <w:tcBorders>
              <w:left w:val="single" w:color="000000" w:sz="4" w:space="0"/>
              <w:bottom w:val="single" w:color="000000" w:sz="4" w:space="0"/>
              <w:right w:val="single" w:color="000000" w:sz="4" w:space="0"/>
            </w:tcBorders>
          </w:tcPr>
          <w:p>
            <w:pPr>
              <w:pStyle w:val="24"/>
              <w:spacing w:before="34"/>
              <w:ind w:left="341" w:right="315"/>
              <w:jc w:val="center"/>
              <w:rPr>
                <w:b/>
                <w:sz w:val="21"/>
              </w:rPr>
            </w:pPr>
            <w:r>
              <w:rPr>
                <w:b/>
                <w:sz w:val="21"/>
              </w:rPr>
              <w:t>单位</w:t>
            </w:r>
          </w:p>
        </w:tc>
        <w:tc>
          <w:tcPr>
            <w:tcW w:w="1299" w:type="dxa"/>
            <w:tcBorders>
              <w:left w:val="single" w:color="000000" w:sz="4" w:space="0"/>
              <w:bottom w:val="single" w:color="000000" w:sz="4" w:space="0"/>
              <w:right w:val="single" w:color="000000" w:sz="4" w:space="0"/>
            </w:tcBorders>
          </w:tcPr>
          <w:p>
            <w:pPr>
              <w:pStyle w:val="24"/>
              <w:spacing w:before="34"/>
              <w:ind w:right="379"/>
              <w:jc w:val="right"/>
              <w:rPr>
                <w:b/>
                <w:sz w:val="21"/>
              </w:rPr>
            </w:pPr>
            <w:r>
              <w:rPr>
                <w:b/>
                <w:w w:val="95"/>
                <w:sz w:val="21"/>
              </w:rPr>
              <w:t>年耗量</w:t>
            </w:r>
          </w:p>
        </w:tc>
        <w:tc>
          <w:tcPr>
            <w:tcW w:w="3657" w:type="dxa"/>
            <w:tcBorders>
              <w:left w:val="single" w:color="000000" w:sz="4" w:space="0"/>
              <w:bottom w:val="single" w:color="000000" w:sz="4" w:space="0"/>
              <w:right w:val="nil"/>
            </w:tcBorders>
          </w:tcPr>
          <w:p>
            <w:pPr>
              <w:pStyle w:val="24"/>
              <w:spacing w:before="34"/>
              <w:ind w:left="801" w:right="780"/>
              <w:jc w:val="center"/>
              <w:rPr>
                <w:b/>
                <w:sz w:val="21"/>
              </w:rPr>
            </w:pPr>
            <w:r>
              <w:rPr>
                <w:b/>
                <w:sz w:val="21"/>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888" w:type="dxa"/>
            <w:tcBorders>
              <w:top w:val="single" w:color="000000" w:sz="4" w:space="0"/>
              <w:left w:val="nil"/>
              <w:bottom w:val="single" w:color="000000" w:sz="4" w:space="0"/>
              <w:right w:val="single" w:color="000000" w:sz="4" w:space="0"/>
            </w:tcBorders>
          </w:tcPr>
          <w:p>
            <w:pPr>
              <w:pStyle w:val="24"/>
              <w:spacing w:before="48"/>
              <w:ind w:left="32"/>
              <w:jc w:val="center"/>
              <w:rPr>
                <w:rFonts w:ascii="Times New Roman"/>
                <w:sz w:val="21"/>
              </w:rPr>
            </w:pPr>
            <w:r>
              <w:rPr>
                <w:rFonts w:ascii="Times New Roman"/>
                <w:w w:val="99"/>
                <w:sz w:val="21"/>
              </w:rPr>
              <w:t>1</w:t>
            </w:r>
          </w:p>
        </w:tc>
        <w:tc>
          <w:tcPr>
            <w:tcW w:w="2477" w:type="dxa"/>
            <w:tcBorders>
              <w:top w:val="single" w:color="000000" w:sz="4" w:space="0"/>
              <w:left w:val="single" w:color="000000" w:sz="4" w:space="0"/>
              <w:bottom w:val="single" w:color="000000" w:sz="4" w:space="0"/>
              <w:right w:val="single" w:color="000000" w:sz="4" w:space="0"/>
            </w:tcBorders>
          </w:tcPr>
          <w:p>
            <w:pPr>
              <w:pStyle w:val="24"/>
              <w:spacing w:before="32"/>
              <w:ind w:left="117" w:right="93"/>
              <w:jc w:val="center"/>
              <w:rPr>
                <w:sz w:val="21"/>
                <w:lang w:val="en-US"/>
              </w:rPr>
            </w:pPr>
            <w:r>
              <w:rPr>
                <w:rFonts w:hint="eastAsia"/>
                <w:sz w:val="21"/>
              </w:rPr>
              <w:t>乙烯</w:t>
            </w:r>
            <w:r>
              <w:rPr>
                <w:rFonts w:hint="eastAsia"/>
                <w:sz w:val="21"/>
                <w:lang w:val="en-US"/>
              </w:rPr>
              <w:t>-醋酸</w:t>
            </w:r>
            <w:r>
              <w:rPr>
                <w:rFonts w:hint="eastAsia"/>
                <w:sz w:val="21"/>
              </w:rPr>
              <w:t>乙烯共聚物（</w:t>
            </w:r>
            <w:r>
              <w:rPr>
                <w:rFonts w:hint="eastAsia"/>
                <w:sz w:val="21"/>
                <w:lang w:val="en-US"/>
              </w:rPr>
              <w:t>EVA</w:t>
            </w:r>
            <w:r>
              <w:rPr>
                <w:rFonts w:hint="eastAsia"/>
                <w:sz w:val="21"/>
              </w:rPr>
              <w:t>）</w:t>
            </w:r>
          </w:p>
        </w:tc>
        <w:tc>
          <w:tcPr>
            <w:tcW w:w="1317" w:type="dxa"/>
            <w:tcBorders>
              <w:top w:val="single" w:color="000000" w:sz="4" w:space="0"/>
              <w:left w:val="single" w:color="000000" w:sz="4" w:space="0"/>
              <w:bottom w:val="single" w:color="000000" w:sz="4" w:space="0"/>
              <w:right w:val="single" w:color="000000" w:sz="4" w:space="0"/>
            </w:tcBorders>
          </w:tcPr>
          <w:p>
            <w:pPr>
              <w:pStyle w:val="24"/>
              <w:spacing w:before="48"/>
              <w:ind w:left="340" w:right="315"/>
              <w:jc w:val="center"/>
              <w:rPr>
                <w:rFonts w:ascii="Times New Roman"/>
                <w:sz w:val="21"/>
              </w:rPr>
            </w:pPr>
            <w:r>
              <w:rPr>
                <w:rFonts w:ascii="Times New Roman"/>
                <w:sz w:val="21"/>
              </w:rPr>
              <w:t>t/a</w:t>
            </w:r>
          </w:p>
        </w:tc>
        <w:tc>
          <w:tcPr>
            <w:tcW w:w="1299" w:type="dxa"/>
            <w:tcBorders>
              <w:top w:val="single" w:color="000000" w:sz="4" w:space="0"/>
              <w:left w:val="single" w:color="000000" w:sz="4" w:space="0"/>
              <w:bottom w:val="single" w:color="000000" w:sz="4" w:space="0"/>
              <w:right w:val="single" w:color="000000" w:sz="4" w:space="0"/>
            </w:tcBorders>
          </w:tcPr>
          <w:p>
            <w:pPr>
              <w:pStyle w:val="24"/>
              <w:spacing w:before="48"/>
              <w:ind w:right="433"/>
              <w:jc w:val="right"/>
              <w:rPr>
                <w:rFonts w:ascii="Times New Roman"/>
                <w:sz w:val="21"/>
                <w:lang w:val="en-US"/>
              </w:rPr>
            </w:pPr>
            <w:r>
              <w:rPr>
                <w:rFonts w:hint="eastAsia" w:ascii="Times New Roman"/>
                <w:w w:val="95"/>
                <w:sz w:val="21"/>
                <w:lang w:val="en-US"/>
              </w:rPr>
              <w:t>160</w:t>
            </w:r>
          </w:p>
        </w:tc>
        <w:tc>
          <w:tcPr>
            <w:tcW w:w="3657" w:type="dxa"/>
            <w:tcBorders>
              <w:top w:val="single" w:color="000000" w:sz="4" w:space="0"/>
              <w:left w:val="single" w:color="000000" w:sz="4" w:space="0"/>
              <w:bottom w:val="single" w:color="000000" w:sz="4" w:space="0"/>
              <w:right w:val="nil"/>
            </w:tcBorders>
          </w:tcPr>
          <w:p>
            <w:pPr>
              <w:pStyle w:val="24"/>
              <w:spacing w:before="32"/>
              <w:ind w:left="802" w:right="780"/>
              <w:jc w:val="center"/>
              <w:rPr>
                <w:rFonts w:ascii="Times New Roman" w:eastAsia="Times New Roman"/>
                <w:sz w:val="21"/>
              </w:rPr>
            </w:pPr>
            <w:r>
              <w:rPr>
                <w:sz w:val="21"/>
              </w:rPr>
              <w:t xml:space="preserve">外购，含水率 </w:t>
            </w:r>
            <w:r>
              <w:rPr>
                <w:rFonts w:ascii="Times New Roman" w:eastAsia="Times New Roman"/>
                <w:sz w:val="21"/>
              </w:rPr>
              <w:t>75-80%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888" w:type="dxa"/>
            <w:tcBorders>
              <w:top w:val="single" w:color="000000" w:sz="4" w:space="0"/>
              <w:left w:val="nil"/>
              <w:bottom w:val="single" w:color="000000" w:sz="4" w:space="0"/>
              <w:right w:val="single" w:color="000000" w:sz="4" w:space="0"/>
            </w:tcBorders>
          </w:tcPr>
          <w:p>
            <w:pPr>
              <w:pStyle w:val="24"/>
              <w:spacing w:before="48"/>
              <w:ind w:left="32"/>
              <w:jc w:val="center"/>
              <w:rPr>
                <w:rFonts w:ascii="Times New Roman"/>
                <w:sz w:val="21"/>
              </w:rPr>
            </w:pPr>
            <w:r>
              <w:rPr>
                <w:rFonts w:ascii="Times New Roman"/>
                <w:w w:val="99"/>
                <w:sz w:val="21"/>
              </w:rPr>
              <w:t>2</w:t>
            </w:r>
          </w:p>
        </w:tc>
        <w:tc>
          <w:tcPr>
            <w:tcW w:w="2477" w:type="dxa"/>
            <w:tcBorders>
              <w:top w:val="single" w:color="000000" w:sz="4" w:space="0"/>
              <w:left w:val="single" w:color="000000" w:sz="4" w:space="0"/>
              <w:bottom w:val="single" w:color="000000" w:sz="4" w:space="0"/>
              <w:right w:val="single" w:color="000000" w:sz="4" w:space="0"/>
            </w:tcBorders>
          </w:tcPr>
          <w:p>
            <w:pPr>
              <w:pStyle w:val="24"/>
              <w:spacing w:before="32"/>
              <w:ind w:left="117" w:right="93"/>
              <w:jc w:val="center"/>
              <w:rPr>
                <w:sz w:val="21"/>
                <w:lang w:val="en-US"/>
              </w:rPr>
            </w:pPr>
            <w:r>
              <w:rPr>
                <w:rFonts w:hint="eastAsia"/>
                <w:sz w:val="21"/>
                <w:lang w:val="en-US"/>
              </w:rPr>
              <w:t>油墨</w:t>
            </w:r>
          </w:p>
        </w:tc>
        <w:tc>
          <w:tcPr>
            <w:tcW w:w="1317" w:type="dxa"/>
            <w:tcBorders>
              <w:top w:val="single" w:color="000000" w:sz="4" w:space="0"/>
              <w:left w:val="single" w:color="000000" w:sz="4" w:space="0"/>
              <w:bottom w:val="single" w:color="000000" w:sz="4" w:space="0"/>
              <w:right w:val="single" w:color="000000" w:sz="4" w:space="0"/>
            </w:tcBorders>
          </w:tcPr>
          <w:p>
            <w:pPr>
              <w:pStyle w:val="24"/>
              <w:spacing w:before="48"/>
              <w:ind w:left="340" w:right="315"/>
              <w:jc w:val="center"/>
              <w:rPr>
                <w:rFonts w:ascii="Times New Roman"/>
                <w:sz w:val="21"/>
              </w:rPr>
            </w:pPr>
            <w:r>
              <w:rPr>
                <w:rFonts w:ascii="Times New Roman"/>
                <w:sz w:val="21"/>
              </w:rPr>
              <w:t>t/a</w:t>
            </w:r>
          </w:p>
        </w:tc>
        <w:tc>
          <w:tcPr>
            <w:tcW w:w="1299" w:type="dxa"/>
            <w:tcBorders>
              <w:top w:val="single" w:color="000000" w:sz="4" w:space="0"/>
              <w:left w:val="single" w:color="000000" w:sz="4" w:space="0"/>
              <w:bottom w:val="single" w:color="000000" w:sz="4" w:space="0"/>
              <w:right w:val="single" w:color="000000" w:sz="4" w:space="0"/>
            </w:tcBorders>
          </w:tcPr>
          <w:p>
            <w:pPr>
              <w:pStyle w:val="24"/>
              <w:spacing w:before="48"/>
              <w:ind w:left="282" w:right="255"/>
              <w:jc w:val="center"/>
              <w:rPr>
                <w:rFonts w:ascii="Times New Roman"/>
                <w:sz w:val="21"/>
                <w:lang w:val="en-US"/>
              </w:rPr>
            </w:pPr>
            <w:r>
              <w:rPr>
                <w:rFonts w:hint="eastAsia" w:ascii="Times New Roman"/>
                <w:sz w:val="21"/>
                <w:lang w:val="en-US"/>
              </w:rPr>
              <w:t>0.4</w:t>
            </w:r>
          </w:p>
        </w:tc>
        <w:tc>
          <w:tcPr>
            <w:tcW w:w="3657" w:type="dxa"/>
            <w:tcBorders>
              <w:top w:val="single" w:color="000000" w:sz="4" w:space="0"/>
              <w:left w:val="single" w:color="000000" w:sz="4" w:space="0"/>
              <w:bottom w:val="single" w:color="000000" w:sz="4" w:space="0"/>
              <w:right w:val="nil"/>
            </w:tcBorders>
          </w:tcPr>
          <w:p>
            <w:pPr>
              <w:pStyle w:val="24"/>
              <w:spacing w:before="32"/>
              <w:ind w:left="799" w:right="780"/>
              <w:jc w:val="center"/>
              <w:rPr>
                <w:sz w:val="21"/>
              </w:rPr>
            </w:pPr>
            <w:r>
              <w:rPr>
                <w:sz w:val="21"/>
              </w:rPr>
              <w:t>外购</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888" w:type="dxa"/>
            <w:tcBorders>
              <w:top w:val="single" w:color="000000" w:sz="4" w:space="0"/>
              <w:left w:val="nil"/>
              <w:bottom w:val="single" w:color="000000" w:sz="4" w:space="0"/>
              <w:right w:val="single" w:color="000000" w:sz="4" w:space="0"/>
            </w:tcBorders>
          </w:tcPr>
          <w:p>
            <w:pPr>
              <w:pStyle w:val="24"/>
              <w:spacing w:before="49"/>
              <w:ind w:left="32"/>
              <w:jc w:val="center"/>
              <w:rPr>
                <w:rFonts w:ascii="Times New Roman"/>
                <w:sz w:val="21"/>
              </w:rPr>
            </w:pPr>
            <w:r>
              <w:rPr>
                <w:rFonts w:ascii="Times New Roman"/>
                <w:w w:val="99"/>
                <w:sz w:val="21"/>
              </w:rPr>
              <w:t>3</w:t>
            </w:r>
          </w:p>
        </w:tc>
        <w:tc>
          <w:tcPr>
            <w:tcW w:w="2477" w:type="dxa"/>
            <w:tcBorders>
              <w:top w:val="single" w:color="000000" w:sz="4" w:space="0"/>
              <w:left w:val="single" w:color="000000" w:sz="4" w:space="0"/>
              <w:bottom w:val="single" w:color="000000" w:sz="4" w:space="0"/>
              <w:right w:val="single" w:color="000000" w:sz="4" w:space="0"/>
            </w:tcBorders>
          </w:tcPr>
          <w:p>
            <w:pPr>
              <w:pStyle w:val="24"/>
              <w:spacing w:before="33"/>
              <w:ind w:left="27"/>
              <w:jc w:val="center"/>
              <w:rPr>
                <w:sz w:val="21"/>
              </w:rPr>
            </w:pPr>
            <w:r>
              <w:rPr>
                <w:w w:val="99"/>
                <w:sz w:val="21"/>
              </w:rPr>
              <w:t>水</w:t>
            </w:r>
          </w:p>
        </w:tc>
        <w:tc>
          <w:tcPr>
            <w:tcW w:w="1317" w:type="dxa"/>
            <w:tcBorders>
              <w:top w:val="single" w:color="000000" w:sz="4" w:space="0"/>
              <w:left w:val="single" w:color="000000" w:sz="4" w:space="0"/>
              <w:bottom w:val="single" w:color="000000" w:sz="4" w:space="0"/>
              <w:right w:val="single" w:color="000000" w:sz="4" w:space="0"/>
            </w:tcBorders>
          </w:tcPr>
          <w:p>
            <w:pPr>
              <w:pStyle w:val="24"/>
              <w:spacing w:before="49"/>
              <w:ind w:left="340" w:right="315"/>
              <w:jc w:val="center"/>
              <w:rPr>
                <w:rFonts w:ascii="Times New Roman"/>
                <w:sz w:val="21"/>
              </w:rPr>
            </w:pPr>
            <w:r>
              <w:rPr>
                <w:rFonts w:ascii="Times New Roman"/>
                <w:sz w:val="21"/>
              </w:rPr>
              <w:t>m</w:t>
            </w:r>
            <w:r>
              <w:rPr>
                <w:rFonts w:ascii="Times New Roman"/>
                <w:position w:val="7"/>
                <w:sz w:val="13"/>
              </w:rPr>
              <w:t>3</w:t>
            </w:r>
            <w:r>
              <w:rPr>
                <w:rFonts w:ascii="Times New Roman"/>
                <w:sz w:val="21"/>
              </w:rPr>
              <w:t>/a</w:t>
            </w:r>
          </w:p>
        </w:tc>
        <w:tc>
          <w:tcPr>
            <w:tcW w:w="1299" w:type="dxa"/>
            <w:tcBorders>
              <w:top w:val="single" w:color="000000" w:sz="4" w:space="0"/>
              <w:left w:val="single" w:color="000000" w:sz="4" w:space="0"/>
              <w:bottom w:val="single" w:color="000000" w:sz="4" w:space="0"/>
              <w:right w:val="single" w:color="000000" w:sz="4" w:space="0"/>
            </w:tcBorders>
          </w:tcPr>
          <w:p>
            <w:pPr>
              <w:pStyle w:val="24"/>
              <w:spacing w:before="49"/>
              <w:ind w:left="282" w:right="255"/>
              <w:jc w:val="center"/>
              <w:rPr>
                <w:rFonts w:ascii="Times New Roman"/>
                <w:sz w:val="21"/>
                <w:lang w:val="en-US"/>
              </w:rPr>
            </w:pPr>
            <w:r>
              <w:rPr>
                <w:rFonts w:hint="eastAsia" w:ascii="Times New Roman"/>
                <w:sz w:val="21"/>
                <w:lang w:val="en-US"/>
              </w:rPr>
              <w:t>1447.5</w:t>
            </w:r>
          </w:p>
        </w:tc>
        <w:tc>
          <w:tcPr>
            <w:tcW w:w="3657" w:type="dxa"/>
            <w:tcBorders>
              <w:top w:val="single" w:color="000000" w:sz="4" w:space="0"/>
              <w:left w:val="single" w:color="000000" w:sz="4" w:space="0"/>
              <w:bottom w:val="single" w:color="000000" w:sz="4" w:space="0"/>
              <w:right w:val="nil"/>
            </w:tcBorders>
          </w:tcPr>
          <w:p>
            <w:pPr>
              <w:pStyle w:val="24"/>
              <w:spacing w:before="33"/>
              <w:ind w:left="801" w:right="780"/>
              <w:jc w:val="center"/>
              <w:rPr>
                <w:sz w:val="21"/>
              </w:rPr>
            </w:pPr>
            <w:r>
              <w:rPr>
                <w:sz w:val="21"/>
              </w:rPr>
              <w:t>市政供水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888" w:type="dxa"/>
            <w:tcBorders>
              <w:top w:val="single" w:color="000000" w:sz="4" w:space="0"/>
              <w:left w:val="nil"/>
              <w:right w:val="single" w:color="000000" w:sz="4" w:space="0"/>
            </w:tcBorders>
          </w:tcPr>
          <w:p>
            <w:pPr>
              <w:pStyle w:val="24"/>
              <w:spacing w:before="47"/>
              <w:ind w:left="32"/>
              <w:jc w:val="center"/>
              <w:rPr>
                <w:rFonts w:ascii="Times New Roman"/>
                <w:sz w:val="21"/>
              </w:rPr>
            </w:pPr>
            <w:r>
              <w:rPr>
                <w:rFonts w:ascii="Times New Roman"/>
                <w:w w:val="99"/>
                <w:sz w:val="21"/>
              </w:rPr>
              <w:t>4</w:t>
            </w:r>
          </w:p>
        </w:tc>
        <w:tc>
          <w:tcPr>
            <w:tcW w:w="2477" w:type="dxa"/>
            <w:tcBorders>
              <w:top w:val="single" w:color="000000" w:sz="4" w:space="0"/>
              <w:left w:val="single" w:color="000000" w:sz="4" w:space="0"/>
              <w:right w:val="single" w:color="000000" w:sz="4" w:space="0"/>
            </w:tcBorders>
          </w:tcPr>
          <w:p>
            <w:pPr>
              <w:pStyle w:val="24"/>
              <w:spacing w:before="33"/>
              <w:ind w:left="27"/>
              <w:jc w:val="center"/>
              <w:rPr>
                <w:sz w:val="21"/>
              </w:rPr>
            </w:pPr>
            <w:r>
              <w:rPr>
                <w:w w:val="99"/>
                <w:sz w:val="21"/>
              </w:rPr>
              <w:t>电</w:t>
            </w:r>
          </w:p>
        </w:tc>
        <w:tc>
          <w:tcPr>
            <w:tcW w:w="1317" w:type="dxa"/>
            <w:tcBorders>
              <w:top w:val="single" w:color="000000" w:sz="4" w:space="0"/>
              <w:left w:val="single" w:color="000000" w:sz="4" w:space="0"/>
              <w:right w:val="single" w:color="000000" w:sz="4" w:space="0"/>
            </w:tcBorders>
          </w:tcPr>
          <w:p>
            <w:pPr>
              <w:pStyle w:val="24"/>
              <w:spacing w:before="33"/>
              <w:ind w:left="342" w:right="315"/>
              <w:jc w:val="center"/>
              <w:rPr>
                <w:rFonts w:ascii="Times New Roman" w:eastAsia="Times New Roman"/>
                <w:sz w:val="21"/>
              </w:rPr>
            </w:pPr>
            <w:r>
              <w:rPr>
                <w:sz w:val="21"/>
              </w:rPr>
              <w:t xml:space="preserve">万 </w:t>
            </w:r>
            <w:r>
              <w:rPr>
                <w:rFonts w:ascii="Times New Roman" w:eastAsia="Times New Roman"/>
                <w:sz w:val="21"/>
              </w:rPr>
              <w:t>Kw/h</w:t>
            </w:r>
          </w:p>
        </w:tc>
        <w:tc>
          <w:tcPr>
            <w:tcW w:w="1299" w:type="dxa"/>
            <w:tcBorders>
              <w:top w:val="single" w:color="000000" w:sz="4" w:space="0"/>
              <w:left w:val="single" w:color="000000" w:sz="4" w:space="0"/>
              <w:right w:val="single" w:color="000000" w:sz="4" w:space="0"/>
            </w:tcBorders>
          </w:tcPr>
          <w:p>
            <w:pPr>
              <w:pStyle w:val="24"/>
              <w:spacing w:before="33"/>
              <w:ind w:right="462"/>
              <w:jc w:val="right"/>
              <w:rPr>
                <w:sz w:val="21"/>
                <w:lang w:val="en-US"/>
              </w:rPr>
            </w:pPr>
            <w:r>
              <w:rPr>
                <w:rFonts w:hint="eastAsia" w:ascii="Times New Roman" w:eastAsia="宋体"/>
                <w:sz w:val="21"/>
                <w:lang w:val="en-US"/>
              </w:rPr>
              <w:t>150</w:t>
            </w:r>
          </w:p>
        </w:tc>
        <w:tc>
          <w:tcPr>
            <w:tcW w:w="3657" w:type="dxa"/>
            <w:tcBorders>
              <w:top w:val="single" w:color="000000" w:sz="4" w:space="0"/>
              <w:left w:val="single" w:color="000000" w:sz="4" w:space="0"/>
              <w:right w:val="nil"/>
            </w:tcBorders>
          </w:tcPr>
          <w:p>
            <w:pPr>
              <w:pStyle w:val="24"/>
              <w:spacing w:before="33"/>
              <w:ind w:left="799" w:right="780"/>
              <w:jc w:val="center"/>
              <w:rPr>
                <w:sz w:val="21"/>
              </w:rPr>
            </w:pPr>
            <w:r>
              <w:rPr>
                <w:sz w:val="21"/>
              </w:rPr>
              <w:t>区域电网提供</w:t>
            </w:r>
          </w:p>
        </w:tc>
      </w:tr>
    </w:tbl>
    <w:p>
      <w:bookmarkStart w:id="52" w:name="在炭化生产工序中，将半成品薪棒送入炭化窑中在缺氧的条件下干馏成竹炭，半成品薪棒在"/>
      <w:bookmarkEnd w:id="52"/>
    </w:p>
    <w:p>
      <w:pPr>
        <w:pStyle w:val="10"/>
        <w:spacing w:before="4"/>
        <w:rPr>
          <w:b/>
          <w:sz w:val="12"/>
        </w:rPr>
      </w:pPr>
    </w:p>
    <w:p>
      <w:pPr>
        <w:pStyle w:val="6"/>
        <w:numPr>
          <w:ilvl w:val="1"/>
          <w:numId w:val="6"/>
        </w:numPr>
        <w:tabs>
          <w:tab w:val="left" w:pos="766"/>
        </w:tabs>
        <w:spacing w:before="159"/>
      </w:pPr>
      <w:bookmarkStart w:id="53" w:name="2.4_生产工艺流程及设备"/>
      <w:bookmarkEnd w:id="53"/>
      <w:bookmarkStart w:id="54" w:name="_bookmark26"/>
      <w:bookmarkEnd w:id="54"/>
      <w:r>
        <w:t>生产工艺流程及设备</w:t>
      </w:r>
    </w:p>
    <w:p>
      <w:pPr>
        <w:pStyle w:val="10"/>
        <w:spacing w:before="10"/>
        <w:rPr>
          <w:b/>
          <w:sz w:val="27"/>
        </w:rPr>
      </w:pPr>
    </w:p>
    <w:p>
      <w:pPr>
        <w:pStyle w:val="23"/>
        <w:numPr>
          <w:ilvl w:val="2"/>
          <w:numId w:val="6"/>
        </w:numPr>
        <w:tabs>
          <w:tab w:val="left" w:pos="869"/>
        </w:tabs>
        <w:rPr>
          <w:b/>
          <w:sz w:val="28"/>
        </w:rPr>
      </w:pPr>
      <w:bookmarkStart w:id="55" w:name="_bookmark27"/>
      <w:bookmarkEnd w:id="55"/>
      <w:bookmarkStart w:id="56" w:name="2.4.1主要生产设备"/>
      <w:bookmarkEnd w:id="56"/>
      <w:r>
        <w:rPr>
          <w:b/>
          <w:sz w:val="28"/>
        </w:rPr>
        <w:t>主要生产设备</w:t>
      </w:r>
    </w:p>
    <w:p>
      <w:pPr>
        <w:pStyle w:val="10"/>
        <w:spacing w:before="8"/>
        <w:rPr>
          <w:b/>
          <w:sz w:val="26"/>
        </w:rPr>
      </w:pPr>
    </w:p>
    <w:p>
      <w:pPr>
        <w:pStyle w:val="9"/>
        <w:ind w:left="10" w:right="1"/>
      </w:pPr>
      <w:r>
        <w:t xml:space="preserve">表 </w:t>
      </w:r>
      <w:r>
        <w:rPr>
          <w:rFonts w:ascii="Times New Roman" w:eastAsia="Times New Roman"/>
        </w:rPr>
        <w:t xml:space="preserve">2.4.1-1 </w:t>
      </w:r>
      <w:r>
        <w:t>项目主要生产设备一览表</w:t>
      </w:r>
    </w:p>
    <w:tbl>
      <w:tblPr>
        <w:tblStyle w:val="15"/>
        <w:tblW w:w="0" w:type="auto"/>
        <w:tblInd w:w="45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92"/>
        <w:gridCol w:w="2215"/>
        <w:gridCol w:w="1694"/>
        <w:gridCol w:w="2052"/>
        <w:gridCol w:w="298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92" w:type="dxa"/>
            <w:tcBorders>
              <w:left w:val="nil"/>
              <w:bottom w:val="single" w:color="000000" w:sz="4" w:space="0"/>
              <w:right w:val="single" w:color="000000" w:sz="4" w:space="0"/>
            </w:tcBorders>
          </w:tcPr>
          <w:p>
            <w:pPr>
              <w:pStyle w:val="24"/>
              <w:spacing w:before="36"/>
              <w:ind w:left="125" w:right="100"/>
              <w:rPr>
                <w:b/>
                <w:sz w:val="21"/>
              </w:rPr>
            </w:pPr>
            <w:r>
              <w:rPr>
                <w:b/>
                <w:sz w:val="21"/>
              </w:rPr>
              <w:t>序号</w:t>
            </w:r>
          </w:p>
        </w:tc>
        <w:tc>
          <w:tcPr>
            <w:tcW w:w="2215" w:type="dxa"/>
            <w:tcBorders>
              <w:left w:val="single" w:color="000000" w:sz="4" w:space="0"/>
              <w:bottom w:val="single" w:color="000000" w:sz="4" w:space="0"/>
              <w:right w:val="single" w:color="000000" w:sz="4" w:space="0"/>
            </w:tcBorders>
          </w:tcPr>
          <w:p>
            <w:pPr>
              <w:pStyle w:val="24"/>
              <w:spacing w:before="36"/>
              <w:ind w:left="460" w:right="431"/>
              <w:rPr>
                <w:b/>
                <w:sz w:val="21"/>
              </w:rPr>
            </w:pPr>
            <w:r>
              <w:rPr>
                <w:b/>
                <w:sz w:val="21"/>
              </w:rPr>
              <w:t>设备名称</w:t>
            </w:r>
          </w:p>
        </w:tc>
        <w:tc>
          <w:tcPr>
            <w:tcW w:w="1694" w:type="dxa"/>
            <w:tcBorders>
              <w:left w:val="single" w:color="000000" w:sz="4" w:space="0"/>
              <w:bottom w:val="single" w:color="000000" w:sz="4" w:space="0"/>
              <w:right w:val="single" w:color="000000" w:sz="4" w:space="0"/>
            </w:tcBorders>
          </w:tcPr>
          <w:p>
            <w:pPr>
              <w:pStyle w:val="24"/>
              <w:spacing w:before="36"/>
              <w:ind w:left="140" w:right="110"/>
              <w:rPr>
                <w:b/>
                <w:sz w:val="21"/>
              </w:rPr>
            </w:pPr>
            <w:r>
              <w:rPr>
                <w:b/>
                <w:sz w:val="21"/>
              </w:rPr>
              <w:t>型号</w:t>
            </w:r>
            <w:r>
              <w:rPr>
                <w:rFonts w:ascii="Times New Roman" w:eastAsia="Times New Roman"/>
                <w:b/>
                <w:sz w:val="21"/>
              </w:rPr>
              <w:t>/</w:t>
            </w:r>
            <w:r>
              <w:rPr>
                <w:b/>
                <w:sz w:val="21"/>
              </w:rPr>
              <w:t>参数</w:t>
            </w:r>
          </w:p>
        </w:tc>
        <w:tc>
          <w:tcPr>
            <w:tcW w:w="2052" w:type="dxa"/>
            <w:tcBorders>
              <w:left w:val="single" w:color="000000" w:sz="4" w:space="0"/>
              <w:bottom w:val="single" w:color="000000" w:sz="4" w:space="0"/>
              <w:right w:val="single" w:color="000000" w:sz="4" w:space="0"/>
            </w:tcBorders>
          </w:tcPr>
          <w:p>
            <w:pPr>
              <w:pStyle w:val="24"/>
              <w:spacing w:before="36"/>
              <w:ind w:left="384" w:right="356"/>
              <w:rPr>
                <w:b/>
                <w:sz w:val="21"/>
              </w:rPr>
            </w:pPr>
            <w:r>
              <w:rPr>
                <w:b/>
                <w:sz w:val="21"/>
              </w:rPr>
              <w:t>数量</w:t>
            </w:r>
          </w:p>
        </w:tc>
        <w:tc>
          <w:tcPr>
            <w:tcW w:w="2985" w:type="dxa"/>
            <w:tcBorders>
              <w:left w:val="single" w:color="000000" w:sz="4" w:space="0"/>
              <w:bottom w:val="single" w:color="000000" w:sz="4" w:space="0"/>
              <w:right w:val="nil"/>
            </w:tcBorders>
          </w:tcPr>
          <w:p>
            <w:pPr>
              <w:pStyle w:val="24"/>
              <w:spacing w:before="36"/>
              <w:ind w:left="1063" w:right="1037"/>
              <w:rPr>
                <w:b/>
                <w:sz w:val="21"/>
              </w:rPr>
            </w:pPr>
            <w:r>
              <w:rPr>
                <w:b/>
                <w:sz w:val="21"/>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92" w:type="dxa"/>
            <w:tcBorders>
              <w:top w:val="single" w:color="000000" w:sz="4" w:space="0"/>
              <w:left w:val="nil"/>
              <w:bottom w:val="single" w:color="000000" w:sz="4" w:space="0"/>
              <w:right w:val="single" w:color="000000" w:sz="4" w:space="0"/>
            </w:tcBorders>
          </w:tcPr>
          <w:p>
            <w:pPr>
              <w:pStyle w:val="24"/>
              <w:spacing w:before="77"/>
              <w:ind w:left="6"/>
              <w:jc w:val="center"/>
              <w:rPr>
                <w:rFonts w:ascii="Times New Roman"/>
                <w:sz w:val="21"/>
              </w:rPr>
            </w:pPr>
            <w:r>
              <w:rPr>
                <w:rFonts w:ascii="Times New Roman"/>
                <w:w w:val="99"/>
                <w:sz w:val="21"/>
              </w:rPr>
              <w:t>1</w:t>
            </w:r>
          </w:p>
        </w:tc>
        <w:tc>
          <w:tcPr>
            <w:tcW w:w="2215" w:type="dxa"/>
            <w:tcBorders>
              <w:top w:val="single" w:color="000000" w:sz="4" w:space="0"/>
              <w:left w:val="single" w:color="000000" w:sz="4" w:space="0"/>
              <w:bottom w:val="single" w:color="000000" w:sz="4" w:space="0"/>
              <w:right w:val="single" w:color="000000" w:sz="4" w:space="0"/>
            </w:tcBorders>
          </w:tcPr>
          <w:p>
            <w:pPr>
              <w:pStyle w:val="24"/>
              <w:spacing w:before="63"/>
              <w:ind w:right="687" w:firstLine="210" w:firstLineChars="100"/>
              <w:jc w:val="center"/>
              <w:rPr>
                <w:sz w:val="21"/>
              </w:rPr>
            </w:pPr>
            <w:r>
              <w:rPr>
                <w:sz w:val="21"/>
              </w:rPr>
              <w:t>螺杆空压机</w:t>
            </w: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77"/>
              <w:ind w:right="512"/>
              <w:jc w:val="center"/>
              <w:rPr>
                <w:rFonts w:ascii="Times New Roman"/>
                <w:sz w:val="21"/>
              </w:rPr>
            </w:pPr>
            <w:r>
              <w:rPr>
                <w:rFonts w:ascii="Times New Roman"/>
                <w:sz w:val="21"/>
              </w:rPr>
              <w:t>YNT70A</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6" w:line="268" w:lineRule="exact"/>
              <w:ind w:right="448"/>
              <w:jc w:val="center"/>
              <w:rPr>
                <w:sz w:val="21"/>
              </w:rPr>
            </w:pPr>
            <w:r>
              <w:rPr>
                <w:rFonts w:hint="eastAsia" w:ascii="Times New Roman" w:eastAsia="宋体"/>
                <w:sz w:val="21"/>
                <w:lang w:val="en-US"/>
              </w:rPr>
              <w:t xml:space="preserve">    </w:t>
            </w:r>
            <w:r>
              <w:rPr>
                <w:rFonts w:ascii="Times New Roman" w:eastAsia="Times New Roman"/>
                <w:sz w:val="21"/>
              </w:rPr>
              <w:t xml:space="preserve">2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6"/>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92" w:type="dxa"/>
            <w:vMerge w:val="restart"/>
            <w:tcBorders>
              <w:top w:val="single" w:color="000000" w:sz="4" w:space="0"/>
              <w:left w:val="nil"/>
              <w:right w:val="single" w:color="000000" w:sz="4" w:space="0"/>
            </w:tcBorders>
          </w:tcPr>
          <w:p>
            <w:pPr>
              <w:pStyle w:val="24"/>
              <w:spacing w:before="1"/>
              <w:ind w:firstLine="414" w:firstLineChars="200"/>
              <w:jc w:val="center"/>
              <w:rPr>
                <w:rFonts w:ascii="Times New Roman"/>
                <w:w w:val="99"/>
                <w:sz w:val="21"/>
              </w:rPr>
            </w:pPr>
          </w:p>
          <w:p>
            <w:pPr>
              <w:pStyle w:val="24"/>
              <w:spacing w:before="1"/>
              <w:ind w:firstLine="414" w:firstLineChars="200"/>
              <w:jc w:val="center"/>
              <w:rPr>
                <w:rFonts w:ascii="Times New Roman"/>
                <w:w w:val="99"/>
                <w:sz w:val="21"/>
              </w:rPr>
            </w:pPr>
          </w:p>
          <w:p>
            <w:pPr>
              <w:pStyle w:val="24"/>
              <w:spacing w:before="1"/>
              <w:ind w:firstLine="207" w:firstLineChars="100"/>
              <w:jc w:val="both"/>
              <w:rPr>
                <w:rFonts w:ascii="Times New Roman"/>
                <w:sz w:val="21"/>
              </w:rPr>
            </w:pPr>
            <w:r>
              <w:rPr>
                <w:rFonts w:ascii="Times New Roman"/>
                <w:w w:val="99"/>
                <w:sz w:val="21"/>
              </w:rPr>
              <w:t>2</w:t>
            </w:r>
          </w:p>
        </w:tc>
        <w:tc>
          <w:tcPr>
            <w:tcW w:w="2215" w:type="dxa"/>
            <w:vMerge w:val="restart"/>
            <w:tcBorders>
              <w:top w:val="single" w:color="000000" w:sz="4" w:space="0"/>
              <w:left w:val="single" w:color="000000" w:sz="4" w:space="0"/>
              <w:right w:val="single" w:color="000000" w:sz="4" w:space="0"/>
            </w:tcBorders>
          </w:tcPr>
          <w:p>
            <w:pPr>
              <w:pStyle w:val="24"/>
              <w:jc w:val="center"/>
              <w:rPr>
                <w:sz w:val="21"/>
              </w:rPr>
            </w:pPr>
          </w:p>
          <w:p>
            <w:pPr>
              <w:pStyle w:val="24"/>
              <w:jc w:val="center"/>
              <w:rPr>
                <w:sz w:val="21"/>
              </w:rPr>
            </w:pPr>
          </w:p>
          <w:p>
            <w:pPr>
              <w:pStyle w:val="24"/>
              <w:ind w:firstLine="210" w:firstLineChars="100"/>
              <w:jc w:val="center"/>
              <w:rPr>
                <w:sz w:val="21"/>
              </w:rPr>
            </w:pPr>
            <w:r>
              <w:rPr>
                <w:sz w:val="21"/>
              </w:rPr>
              <w:t>钢板印刷机</w:t>
            </w: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80"/>
              <w:ind w:left="520" w:right="512"/>
              <w:jc w:val="center"/>
              <w:rPr>
                <w:rFonts w:ascii="Times New Roman"/>
                <w:sz w:val="21"/>
              </w:rPr>
            </w:pPr>
            <w:r>
              <w:rPr>
                <w:rFonts w:ascii="Times New Roman"/>
                <w:sz w:val="21"/>
              </w:rPr>
              <w:t>1250</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9"/>
              <w:ind w:right="448"/>
              <w:jc w:val="center"/>
              <w:rPr>
                <w:sz w:val="21"/>
              </w:rPr>
            </w:pPr>
            <w:r>
              <w:rPr>
                <w:rFonts w:hint="eastAsia" w:ascii="Times New Roman" w:eastAsia="宋体"/>
                <w:sz w:val="21"/>
                <w:lang w:val="en-US"/>
              </w:rPr>
              <w:t xml:space="preserve">   </w:t>
            </w:r>
            <w:r>
              <w:rPr>
                <w:rFonts w:ascii="Times New Roman" w:eastAsia="Times New Roman"/>
                <w:sz w:val="21"/>
              </w:rPr>
              <w:t xml:space="preserve">1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123"/>
              <w:ind w:left="521" w:right="512"/>
              <w:jc w:val="center"/>
              <w:rPr>
                <w:rFonts w:ascii="Times New Roman"/>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92" w:type="dxa"/>
            <w:vMerge w:val="continue"/>
            <w:tcBorders>
              <w:left w:val="nil"/>
              <w:right w:val="single" w:color="000000" w:sz="4" w:space="0"/>
            </w:tcBorders>
          </w:tcPr>
          <w:p>
            <w:pPr>
              <w:pStyle w:val="24"/>
              <w:spacing w:before="48"/>
              <w:ind w:left="27"/>
              <w:jc w:val="center"/>
              <w:rPr>
                <w:rFonts w:ascii="Times New Roman"/>
                <w:sz w:val="21"/>
              </w:rPr>
            </w:pPr>
          </w:p>
        </w:tc>
        <w:tc>
          <w:tcPr>
            <w:tcW w:w="2215" w:type="dxa"/>
            <w:vMerge w:val="continue"/>
            <w:tcBorders>
              <w:left w:val="single" w:color="000000" w:sz="4" w:space="0"/>
              <w:right w:val="single" w:color="000000" w:sz="4" w:space="0"/>
            </w:tcBorders>
          </w:tcPr>
          <w:p>
            <w:pPr>
              <w:pStyle w:val="24"/>
              <w:spacing w:before="64"/>
              <w:ind w:right="158"/>
              <w:jc w:val="center"/>
              <w:rPr>
                <w:sz w:val="21"/>
              </w:rPr>
            </w:pP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76"/>
              <w:ind w:left="365" w:right="357"/>
              <w:jc w:val="center"/>
              <w:rPr>
                <w:rFonts w:ascii="Times New Roman"/>
                <w:sz w:val="21"/>
              </w:rPr>
            </w:pPr>
            <w:r>
              <w:rPr>
                <w:rFonts w:ascii="Times New Roman"/>
                <w:sz w:val="21"/>
              </w:rPr>
              <w:t>1012</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5"/>
              <w:ind w:right="445"/>
              <w:jc w:val="center"/>
              <w:rPr>
                <w:sz w:val="21"/>
              </w:rPr>
            </w:pPr>
            <w:r>
              <w:rPr>
                <w:rFonts w:hint="eastAsia" w:ascii="Times New Roman" w:eastAsia="宋体"/>
                <w:sz w:val="21"/>
                <w:lang w:val="en-US"/>
              </w:rPr>
              <w:t xml:space="preserve">  </w:t>
            </w:r>
            <w:r>
              <w:rPr>
                <w:rFonts w:ascii="Times New Roman" w:eastAsia="Times New Roman"/>
                <w:sz w:val="21"/>
              </w:rPr>
              <w:t xml:space="preserve">1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122"/>
              <w:ind w:left="368" w:right="359"/>
              <w:jc w:val="center"/>
              <w:rPr>
                <w:rFonts w:ascii="Times New Roman"/>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92" w:type="dxa"/>
            <w:vMerge w:val="continue"/>
            <w:tcBorders>
              <w:left w:val="nil"/>
              <w:bottom w:val="single" w:color="000000" w:sz="4" w:space="0"/>
              <w:right w:val="single" w:color="000000" w:sz="4" w:space="0"/>
            </w:tcBorders>
          </w:tcPr>
          <w:p>
            <w:pPr>
              <w:pStyle w:val="24"/>
              <w:spacing w:before="49"/>
              <w:ind w:left="27"/>
              <w:jc w:val="center"/>
              <w:rPr>
                <w:rFonts w:ascii="Times New Roman"/>
                <w:sz w:val="21"/>
              </w:rPr>
            </w:pPr>
          </w:p>
        </w:tc>
        <w:tc>
          <w:tcPr>
            <w:tcW w:w="2215" w:type="dxa"/>
            <w:vMerge w:val="continue"/>
            <w:tcBorders>
              <w:left w:val="single" w:color="000000" w:sz="4" w:space="0"/>
              <w:bottom w:val="single" w:color="000000" w:sz="4" w:space="0"/>
              <w:right w:val="single" w:color="000000" w:sz="4" w:space="0"/>
            </w:tcBorders>
          </w:tcPr>
          <w:p>
            <w:pPr>
              <w:pStyle w:val="24"/>
              <w:spacing w:before="62"/>
              <w:ind w:right="158"/>
              <w:jc w:val="center"/>
              <w:rPr>
                <w:sz w:val="21"/>
              </w:rPr>
            </w:pP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77"/>
              <w:ind w:left="365" w:right="357"/>
              <w:jc w:val="center"/>
              <w:rPr>
                <w:rFonts w:ascii="Times New Roman"/>
                <w:sz w:val="21"/>
              </w:rPr>
            </w:pPr>
            <w:r>
              <w:rPr>
                <w:rFonts w:ascii="Times New Roman"/>
                <w:sz w:val="21"/>
              </w:rPr>
              <w:t>9012</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6"/>
              <w:ind w:right="445"/>
              <w:jc w:val="center"/>
              <w:rPr>
                <w:sz w:val="21"/>
              </w:rPr>
            </w:pPr>
            <w:r>
              <w:rPr>
                <w:rFonts w:hint="eastAsia" w:ascii="Times New Roman" w:eastAsia="宋体"/>
                <w:sz w:val="21"/>
                <w:lang w:val="en-US"/>
              </w:rPr>
              <w:t xml:space="preserve">  </w:t>
            </w:r>
            <w:r>
              <w:rPr>
                <w:rFonts w:ascii="Times New Roman" w:eastAsia="Times New Roman"/>
                <w:sz w:val="21"/>
              </w:rPr>
              <w:t xml:space="preserve">1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120"/>
              <w:ind w:left="368" w:right="359"/>
              <w:jc w:val="center"/>
              <w:rPr>
                <w:rFonts w:ascii="Times New Roman"/>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92" w:type="dxa"/>
            <w:tcBorders>
              <w:top w:val="single" w:color="000000" w:sz="4" w:space="0"/>
              <w:left w:val="nil"/>
              <w:bottom w:val="single" w:color="000000" w:sz="4" w:space="0"/>
              <w:right w:val="single" w:color="000000" w:sz="4" w:space="0"/>
            </w:tcBorders>
          </w:tcPr>
          <w:p>
            <w:pPr>
              <w:pStyle w:val="24"/>
              <w:spacing w:before="78"/>
              <w:ind w:left="6"/>
              <w:jc w:val="center"/>
              <w:rPr>
                <w:rFonts w:ascii="Times New Roman"/>
                <w:sz w:val="21"/>
              </w:rPr>
            </w:pPr>
            <w:r>
              <w:rPr>
                <w:rFonts w:ascii="Times New Roman"/>
                <w:w w:val="99"/>
                <w:sz w:val="21"/>
              </w:rPr>
              <w:t>3</w:t>
            </w:r>
          </w:p>
        </w:tc>
        <w:tc>
          <w:tcPr>
            <w:tcW w:w="2215" w:type="dxa"/>
            <w:tcBorders>
              <w:top w:val="single" w:color="000000" w:sz="4" w:space="0"/>
              <w:left w:val="single" w:color="000000" w:sz="4" w:space="0"/>
              <w:bottom w:val="single" w:color="000000" w:sz="4" w:space="0"/>
              <w:right w:val="single" w:color="000000" w:sz="4" w:space="0"/>
            </w:tcBorders>
          </w:tcPr>
          <w:p>
            <w:pPr>
              <w:pStyle w:val="24"/>
              <w:spacing w:before="64"/>
              <w:ind w:left="165" w:right="158"/>
              <w:jc w:val="center"/>
              <w:rPr>
                <w:sz w:val="21"/>
              </w:rPr>
            </w:pPr>
            <w:r>
              <w:rPr>
                <w:sz w:val="21"/>
              </w:rPr>
              <w:t>胶板印刷机</w:t>
            </w: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78"/>
              <w:ind w:left="365" w:right="357"/>
              <w:jc w:val="center"/>
              <w:rPr>
                <w:rFonts w:ascii="Times New Roman"/>
                <w:sz w:val="21"/>
              </w:rPr>
            </w:pPr>
            <w:r>
              <w:rPr>
                <w:rFonts w:ascii="Times New Roman"/>
                <w:sz w:val="21"/>
              </w:rPr>
              <w:t>YT600</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7"/>
              <w:ind w:right="445"/>
              <w:jc w:val="center"/>
              <w:rPr>
                <w:sz w:val="21"/>
              </w:rPr>
            </w:pPr>
            <w:r>
              <w:rPr>
                <w:rFonts w:hint="eastAsia" w:ascii="Times New Roman" w:eastAsia="宋体"/>
                <w:sz w:val="21"/>
                <w:lang w:val="en-US"/>
              </w:rPr>
              <w:t xml:space="preserve">  </w:t>
            </w:r>
            <w:r>
              <w:rPr>
                <w:rFonts w:ascii="Times New Roman" w:eastAsia="Times New Roman"/>
                <w:sz w:val="21"/>
              </w:rPr>
              <w:t xml:space="preserve">2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5"/>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92" w:type="dxa"/>
            <w:tcBorders>
              <w:top w:val="single" w:color="000000" w:sz="4" w:space="0"/>
              <w:left w:val="nil"/>
              <w:bottom w:val="single" w:color="000000" w:sz="4" w:space="0"/>
              <w:right w:val="single" w:color="000000" w:sz="4" w:space="0"/>
            </w:tcBorders>
          </w:tcPr>
          <w:p>
            <w:pPr>
              <w:pStyle w:val="24"/>
              <w:spacing w:before="76"/>
              <w:ind w:left="6"/>
              <w:jc w:val="center"/>
              <w:rPr>
                <w:rFonts w:ascii="Times New Roman"/>
                <w:sz w:val="21"/>
              </w:rPr>
            </w:pPr>
            <w:r>
              <w:rPr>
                <w:rFonts w:ascii="Times New Roman"/>
                <w:w w:val="99"/>
                <w:sz w:val="21"/>
              </w:rPr>
              <w:t>4</w:t>
            </w:r>
          </w:p>
        </w:tc>
        <w:tc>
          <w:tcPr>
            <w:tcW w:w="2215" w:type="dxa"/>
            <w:tcBorders>
              <w:top w:val="single" w:color="000000" w:sz="4" w:space="0"/>
              <w:left w:val="single" w:color="000000" w:sz="4" w:space="0"/>
              <w:bottom w:val="single" w:color="000000" w:sz="4" w:space="0"/>
              <w:right w:val="single" w:color="000000" w:sz="4" w:space="0"/>
            </w:tcBorders>
          </w:tcPr>
          <w:p>
            <w:pPr>
              <w:pStyle w:val="24"/>
              <w:spacing w:before="62"/>
              <w:ind w:left="168" w:right="158"/>
              <w:jc w:val="center"/>
              <w:rPr>
                <w:sz w:val="21"/>
              </w:rPr>
            </w:pPr>
            <w:r>
              <w:rPr>
                <w:sz w:val="21"/>
              </w:rPr>
              <w:t>合边机</w:t>
            </w: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76"/>
              <w:ind w:left="368" w:right="357"/>
              <w:jc w:val="center"/>
              <w:rPr>
                <w:rFonts w:ascii="Times New Roman"/>
                <w:sz w:val="21"/>
              </w:rPr>
            </w:pPr>
            <w:r>
              <w:rPr>
                <w:rFonts w:ascii="Times New Roman"/>
                <w:sz w:val="21"/>
              </w:rPr>
              <w:t>T700</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5"/>
              <w:ind w:right="445"/>
              <w:jc w:val="center"/>
              <w:rPr>
                <w:sz w:val="21"/>
              </w:rPr>
            </w:pPr>
            <w:r>
              <w:rPr>
                <w:rFonts w:hint="eastAsia" w:ascii="Times New Roman" w:eastAsia="宋体"/>
                <w:sz w:val="21"/>
                <w:lang w:val="en-US"/>
              </w:rPr>
              <w:t xml:space="preserve"> </w:t>
            </w:r>
            <w:r>
              <w:rPr>
                <w:rFonts w:ascii="Times New Roman" w:eastAsia="Times New Roman"/>
                <w:sz w:val="21"/>
              </w:rPr>
              <w:t xml:space="preserve">2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5"/>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92" w:type="dxa"/>
            <w:tcBorders>
              <w:top w:val="single" w:color="000000" w:sz="4" w:space="0"/>
              <w:left w:val="nil"/>
              <w:bottom w:val="single" w:color="000000" w:sz="4" w:space="0"/>
              <w:right w:val="single" w:color="000000" w:sz="4" w:space="0"/>
            </w:tcBorders>
          </w:tcPr>
          <w:p>
            <w:pPr>
              <w:pStyle w:val="24"/>
              <w:spacing w:before="77"/>
              <w:ind w:left="6"/>
              <w:jc w:val="center"/>
              <w:rPr>
                <w:rFonts w:ascii="Times New Roman"/>
                <w:sz w:val="21"/>
              </w:rPr>
            </w:pPr>
            <w:r>
              <w:rPr>
                <w:rFonts w:ascii="Times New Roman"/>
                <w:w w:val="99"/>
                <w:sz w:val="21"/>
              </w:rPr>
              <w:t>5</w:t>
            </w:r>
          </w:p>
        </w:tc>
        <w:tc>
          <w:tcPr>
            <w:tcW w:w="2215" w:type="dxa"/>
            <w:tcBorders>
              <w:top w:val="single" w:color="000000" w:sz="4" w:space="0"/>
              <w:left w:val="single" w:color="000000" w:sz="4" w:space="0"/>
              <w:bottom w:val="single" w:color="000000" w:sz="4" w:space="0"/>
              <w:right w:val="single" w:color="000000" w:sz="4" w:space="0"/>
            </w:tcBorders>
          </w:tcPr>
          <w:p>
            <w:pPr>
              <w:pStyle w:val="24"/>
              <w:spacing w:before="63"/>
              <w:ind w:left="168" w:right="158"/>
              <w:jc w:val="center"/>
              <w:rPr>
                <w:sz w:val="21"/>
              </w:rPr>
            </w:pPr>
            <w:r>
              <w:rPr>
                <w:sz w:val="21"/>
              </w:rPr>
              <w:t>分切机</w:t>
            </w: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77"/>
              <w:ind w:left="368" w:right="357"/>
              <w:jc w:val="center"/>
              <w:rPr>
                <w:rFonts w:ascii="Times New Roman"/>
                <w:sz w:val="21"/>
              </w:rPr>
            </w:pPr>
            <w:r>
              <w:rPr>
                <w:rFonts w:ascii="Times New Roman"/>
                <w:sz w:val="21"/>
              </w:rPr>
              <w:t>T1300</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6"/>
              <w:ind w:right="445"/>
              <w:jc w:val="center"/>
              <w:rPr>
                <w:sz w:val="21"/>
              </w:rPr>
            </w:pPr>
            <w:r>
              <w:rPr>
                <w:rFonts w:hint="eastAsia" w:ascii="Times New Roman" w:eastAsia="宋体"/>
                <w:sz w:val="21"/>
                <w:lang w:val="en-US"/>
              </w:rPr>
              <w:t xml:space="preserve"> </w:t>
            </w:r>
            <w:r>
              <w:rPr>
                <w:rFonts w:ascii="Times New Roman" w:eastAsia="Times New Roman"/>
                <w:sz w:val="21"/>
              </w:rPr>
              <w:t xml:space="preserve">1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6"/>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92" w:type="dxa"/>
            <w:tcBorders>
              <w:top w:val="single" w:color="000000" w:sz="4" w:space="0"/>
              <w:left w:val="nil"/>
              <w:bottom w:val="single" w:color="000000" w:sz="4" w:space="0"/>
              <w:right w:val="single" w:color="000000" w:sz="4" w:space="0"/>
            </w:tcBorders>
          </w:tcPr>
          <w:p>
            <w:pPr>
              <w:pStyle w:val="24"/>
              <w:spacing w:before="78"/>
              <w:ind w:left="6"/>
              <w:jc w:val="center"/>
              <w:rPr>
                <w:rFonts w:ascii="Times New Roman"/>
                <w:sz w:val="21"/>
              </w:rPr>
            </w:pPr>
            <w:r>
              <w:rPr>
                <w:rFonts w:ascii="Times New Roman"/>
                <w:w w:val="99"/>
                <w:sz w:val="21"/>
              </w:rPr>
              <w:t>6</w:t>
            </w:r>
          </w:p>
        </w:tc>
        <w:tc>
          <w:tcPr>
            <w:tcW w:w="2215" w:type="dxa"/>
            <w:tcBorders>
              <w:top w:val="single" w:color="000000" w:sz="4" w:space="0"/>
              <w:left w:val="single" w:color="000000" w:sz="4" w:space="0"/>
              <w:bottom w:val="single" w:color="000000" w:sz="4" w:space="0"/>
              <w:right w:val="single" w:color="000000" w:sz="4" w:space="0"/>
            </w:tcBorders>
          </w:tcPr>
          <w:p>
            <w:pPr>
              <w:pStyle w:val="24"/>
              <w:spacing w:before="64"/>
              <w:ind w:left="168" w:right="158"/>
              <w:jc w:val="center"/>
              <w:rPr>
                <w:sz w:val="21"/>
              </w:rPr>
            </w:pPr>
            <w:r>
              <w:rPr>
                <w:sz w:val="21"/>
              </w:rPr>
              <w:t>切纸机</w:t>
            </w: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78"/>
              <w:ind w:left="368" w:right="357"/>
              <w:jc w:val="center"/>
              <w:rPr>
                <w:rFonts w:ascii="Times New Roman"/>
                <w:sz w:val="21"/>
              </w:rPr>
            </w:pPr>
            <w:r>
              <w:rPr>
                <w:rFonts w:ascii="Times New Roman"/>
                <w:sz w:val="21"/>
              </w:rPr>
              <w:t>QZ920A</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7"/>
              <w:ind w:right="445"/>
              <w:jc w:val="center"/>
              <w:rPr>
                <w:sz w:val="21"/>
              </w:rPr>
            </w:pPr>
            <w:r>
              <w:rPr>
                <w:rFonts w:hint="eastAsia" w:ascii="Times New Roman" w:eastAsia="宋体"/>
                <w:sz w:val="21"/>
                <w:lang w:val="en-US"/>
              </w:rPr>
              <w:t xml:space="preserve"> </w:t>
            </w:r>
            <w:r>
              <w:rPr>
                <w:rFonts w:ascii="Times New Roman" w:eastAsia="Times New Roman"/>
                <w:sz w:val="21"/>
              </w:rPr>
              <w:t xml:space="preserve">1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4"/>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92" w:type="dxa"/>
            <w:vMerge w:val="restart"/>
            <w:tcBorders>
              <w:top w:val="single" w:color="000000" w:sz="4" w:space="0"/>
              <w:left w:val="nil"/>
              <w:right w:val="single" w:color="000000" w:sz="4" w:space="0"/>
            </w:tcBorders>
          </w:tcPr>
          <w:p>
            <w:pPr>
              <w:pStyle w:val="24"/>
              <w:spacing w:before="76"/>
              <w:ind w:left="6"/>
              <w:jc w:val="center"/>
              <w:rPr>
                <w:rFonts w:ascii="Times New Roman"/>
                <w:sz w:val="21"/>
              </w:rPr>
            </w:pPr>
            <w:r>
              <w:rPr>
                <w:rFonts w:ascii="Times New Roman"/>
                <w:w w:val="99"/>
                <w:sz w:val="21"/>
              </w:rPr>
              <w:t>7</w:t>
            </w:r>
          </w:p>
        </w:tc>
        <w:tc>
          <w:tcPr>
            <w:tcW w:w="2215" w:type="dxa"/>
            <w:vMerge w:val="restart"/>
            <w:tcBorders>
              <w:top w:val="single" w:color="000000" w:sz="4" w:space="0"/>
              <w:left w:val="single" w:color="000000" w:sz="4" w:space="0"/>
              <w:right w:val="single" w:color="000000" w:sz="4" w:space="0"/>
            </w:tcBorders>
          </w:tcPr>
          <w:p>
            <w:pPr>
              <w:pStyle w:val="24"/>
              <w:spacing w:before="62"/>
              <w:ind w:left="168" w:right="158"/>
              <w:jc w:val="center"/>
              <w:rPr>
                <w:sz w:val="21"/>
              </w:rPr>
            </w:pPr>
          </w:p>
          <w:p>
            <w:pPr>
              <w:pStyle w:val="24"/>
              <w:spacing w:before="62"/>
              <w:ind w:left="168" w:right="158"/>
              <w:jc w:val="center"/>
              <w:rPr>
                <w:sz w:val="21"/>
              </w:rPr>
            </w:pPr>
          </w:p>
          <w:p>
            <w:pPr>
              <w:pStyle w:val="24"/>
              <w:spacing w:before="62"/>
              <w:ind w:right="158" w:firstLine="630" w:firstLineChars="300"/>
              <w:jc w:val="both"/>
              <w:rPr>
                <w:sz w:val="21"/>
              </w:rPr>
            </w:pPr>
            <w:r>
              <w:rPr>
                <w:sz w:val="21"/>
              </w:rPr>
              <w:t>吹膜机</w:t>
            </w: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76"/>
              <w:ind w:left="365" w:right="357"/>
              <w:jc w:val="center"/>
              <w:rPr>
                <w:rFonts w:ascii="Times New Roman"/>
                <w:sz w:val="21"/>
              </w:rPr>
            </w:pPr>
            <w:r>
              <w:rPr>
                <w:rFonts w:ascii="Times New Roman"/>
                <w:sz w:val="21"/>
              </w:rPr>
              <w:t>TV1000</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5"/>
              <w:ind w:right="445"/>
              <w:jc w:val="center"/>
              <w:rPr>
                <w:sz w:val="21"/>
              </w:rPr>
            </w:pPr>
            <w:r>
              <w:rPr>
                <w:rFonts w:hint="eastAsia" w:ascii="Times New Roman" w:eastAsia="宋体"/>
                <w:sz w:val="21"/>
                <w:lang w:val="en-US"/>
              </w:rPr>
              <w:t xml:space="preserve">  </w:t>
            </w:r>
            <w:r>
              <w:rPr>
                <w:rFonts w:ascii="Times New Roman" w:eastAsia="Times New Roman"/>
                <w:sz w:val="21"/>
              </w:rPr>
              <w:t xml:space="preserve">1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4"/>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92" w:type="dxa"/>
            <w:vMerge w:val="continue"/>
            <w:tcBorders>
              <w:left w:val="nil"/>
              <w:right w:val="single" w:color="000000" w:sz="4" w:space="0"/>
            </w:tcBorders>
          </w:tcPr>
          <w:p>
            <w:pPr>
              <w:pStyle w:val="24"/>
              <w:jc w:val="center"/>
              <w:rPr>
                <w:rFonts w:ascii="Times New Roman"/>
              </w:rPr>
            </w:pPr>
          </w:p>
        </w:tc>
        <w:tc>
          <w:tcPr>
            <w:tcW w:w="2215" w:type="dxa"/>
            <w:vMerge w:val="continue"/>
            <w:tcBorders>
              <w:left w:val="single" w:color="000000" w:sz="4" w:space="0"/>
              <w:right w:val="single" w:color="000000" w:sz="4" w:space="0"/>
            </w:tcBorders>
          </w:tcPr>
          <w:p>
            <w:pPr>
              <w:pStyle w:val="24"/>
              <w:jc w:val="center"/>
              <w:rPr>
                <w:rFonts w:ascii="Times New Roman"/>
              </w:rPr>
            </w:pP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82"/>
              <w:ind w:left="365" w:right="357"/>
              <w:jc w:val="center"/>
              <w:rPr>
                <w:rFonts w:ascii="Times New Roman"/>
                <w:sz w:val="21"/>
              </w:rPr>
            </w:pPr>
            <w:r>
              <w:rPr>
                <w:rFonts w:ascii="Times New Roman"/>
                <w:sz w:val="21"/>
              </w:rPr>
              <w:t>TV600</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12"/>
              <w:ind w:left="303" w:right="296"/>
              <w:jc w:val="center"/>
              <w:rPr>
                <w:sz w:val="21"/>
              </w:rPr>
            </w:pPr>
            <w:r>
              <w:rPr>
                <w:rFonts w:ascii="Times New Roman" w:eastAsia="Times New Roman"/>
                <w:sz w:val="21"/>
              </w:rPr>
              <w:t xml:space="preserve">1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4"/>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92" w:type="dxa"/>
            <w:vMerge w:val="continue"/>
            <w:tcBorders>
              <w:left w:val="nil"/>
              <w:right w:val="single" w:color="000000" w:sz="4" w:space="0"/>
            </w:tcBorders>
          </w:tcPr>
          <w:p>
            <w:pPr>
              <w:pStyle w:val="24"/>
              <w:spacing w:before="48"/>
              <w:ind w:left="27"/>
              <w:jc w:val="center"/>
              <w:rPr>
                <w:rFonts w:ascii="Times New Roman"/>
                <w:w w:val="99"/>
                <w:sz w:val="21"/>
              </w:rPr>
            </w:pPr>
          </w:p>
        </w:tc>
        <w:tc>
          <w:tcPr>
            <w:tcW w:w="2215" w:type="dxa"/>
            <w:vMerge w:val="continue"/>
            <w:tcBorders>
              <w:left w:val="single" w:color="000000" w:sz="4" w:space="0"/>
              <w:right w:val="single" w:color="000000" w:sz="4" w:space="0"/>
            </w:tcBorders>
          </w:tcPr>
          <w:p>
            <w:pPr>
              <w:pStyle w:val="24"/>
              <w:spacing w:before="63"/>
              <w:ind w:left="692" w:right="687"/>
              <w:jc w:val="center"/>
              <w:rPr>
                <w:sz w:val="21"/>
              </w:rPr>
            </w:pP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76"/>
              <w:ind w:left="365" w:right="357"/>
              <w:jc w:val="center"/>
              <w:rPr>
                <w:rFonts w:ascii="Times New Roman"/>
                <w:sz w:val="21"/>
              </w:rPr>
            </w:pPr>
            <w:r>
              <w:rPr>
                <w:rFonts w:ascii="Times New Roman"/>
                <w:sz w:val="21"/>
              </w:rPr>
              <w:t>TV800</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5"/>
              <w:ind w:left="303" w:right="296"/>
              <w:jc w:val="center"/>
              <w:rPr>
                <w:sz w:val="21"/>
              </w:rPr>
            </w:pPr>
            <w:r>
              <w:rPr>
                <w:rFonts w:ascii="Times New Roman" w:eastAsia="Times New Roman"/>
                <w:sz w:val="21"/>
              </w:rPr>
              <w:t xml:space="preserve">1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4"/>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92" w:type="dxa"/>
            <w:vMerge w:val="continue"/>
            <w:tcBorders>
              <w:left w:val="nil"/>
              <w:right w:val="single" w:color="000000" w:sz="4" w:space="0"/>
            </w:tcBorders>
          </w:tcPr>
          <w:p>
            <w:pPr>
              <w:pStyle w:val="24"/>
              <w:spacing w:before="48"/>
              <w:ind w:left="27"/>
              <w:jc w:val="center"/>
              <w:rPr>
                <w:rFonts w:ascii="Times New Roman"/>
                <w:w w:val="99"/>
                <w:sz w:val="21"/>
              </w:rPr>
            </w:pPr>
          </w:p>
        </w:tc>
        <w:tc>
          <w:tcPr>
            <w:tcW w:w="2215" w:type="dxa"/>
            <w:vMerge w:val="continue"/>
            <w:tcBorders>
              <w:left w:val="single" w:color="000000" w:sz="4" w:space="0"/>
              <w:right w:val="single" w:color="000000" w:sz="4" w:space="0"/>
            </w:tcBorders>
          </w:tcPr>
          <w:p>
            <w:pPr>
              <w:pStyle w:val="24"/>
              <w:spacing w:before="62"/>
              <w:ind w:left="165" w:right="158"/>
              <w:jc w:val="center"/>
              <w:rPr>
                <w:sz w:val="21"/>
              </w:rPr>
            </w:pP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77"/>
              <w:ind w:left="365" w:right="357"/>
              <w:jc w:val="center"/>
              <w:rPr>
                <w:rFonts w:ascii="Times New Roman"/>
                <w:sz w:val="21"/>
              </w:rPr>
            </w:pPr>
            <w:r>
              <w:rPr>
                <w:rFonts w:ascii="Times New Roman"/>
                <w:sz w:val="21"/>
              </w:rPr>
              <w:t>TV400</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6"/>
              <w:ind w:left="303" w:right="296"/>
              <w:jc w:val="center"/>
              <w:rPr>
                <w:sz w:val="21"/>
              </w:rPr>
            </w:pPr>
            <w:r>
              <w:rPr>
                <w:rFonts w:ascii="Times New Roman" w:eastAsia="Times New Roman"/>
                <w:sz w:val="21"/>
              </w:rPr>
              <w:t xml:space="preserve">1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4"/>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92" w:type="dxa"/>
            <w:vMerge w:val="continue"/>
            <w:tcBorders>
              <w:left w:val="nil"/>
              <w:bottom w:val="single" w:color="000000" w:sz="4" w:space="0"/>
              <w:right w:val="single" w:color="000000" w:sz="4" w:space="0"/>
            </w:tcBorders>
          </w:tcPr>
          <w:p>
            <w:pPr>
              <w:pStyle w:val="24"/>
              <w:spacing w:before="48"/>
              <w:ind w:left="27"/>
              <w:jc w:val="center"/>
              <w:rPr>
                <w:rFonts w:ascii="Times New Roman"/>
                <w:w w:val="99"/>
                <w:sz w:val="21"/>
              </w:rPr>
            </w:pPr>
          </w:p>
        </w:tc>
        <w:tc>
          <w:tcPr>
            <w:tcW w:w="2215" w:type="dxa"/>
            <w:vMerge w:val="continue"/>
            <w:tcBorders>
              <w:left w:val="single" w:color="000000" w:sz="4" w:space="0"/>
              <w:bottom w:val="single" w:color="000000" w:sz="4" w:space="0"/>
              <w:right w:val="single" w:color="000000" w:sz="4" w:space="0"/>
            </w:tcBorders>
          </w:tcPr>
          <w:p>
            <w:pPr>
              <w:pStyle w:val="24"/>
              <w:spacing w:before="63"/>
              <w:ind w:left="168" w:right="158"/>
              <w:jc w:val="center"/>
              <w:rPr>
                <w:sz w:val="21"/>
              </w:rPr>
            </w:pP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78"/>
              <w:ind w:left="365" w:right="357"/>
              <w:jc w:val="center"/>
              <w:rPr>
                <w:rFonts w:ascii="Times New Roman"/>
                <w:sz w:val="21"/>
              </w:rPr>
            </w:pPr>
            <w:r>
              <w:rPr>
                <w:rFonts w:ascii="Times New Roman"/>
                <w:sz w:val="21"/>
              </w:rPr>
              <w:t>TV700</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7"/>
              <w:ind w:left="303" w:right="296"/>
              <w:jc w:val="center"/>
              <w:rPr>
                <w:sz w:val="21"/>
              </w:rPr>
            </w:pPr>
            <w:r>
              <w:rPr>
                <w:rFonts w:ascii="Times New Roman" w:eastAsia="Times New Roman"/>
                <w:sz w:val="21"/>
              </w:rPr>
              <w:t xml:space="preserve">1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4"/>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92" w:type="dxa"/>
            <w:vMerge w:val="restart"/>
            <w:tcBorders>
              <w:top w:val="single" w:color="000000" w:sz="4" w:space="0"/>
              <w:left w:val="nil"/>
              <w:right w:val="single" w:color="000000" w:sz="4" w:space="0"/>
            </w:tcBorders>
          </w:tcPr>
          <w:p>
            <w:pPr>
              <w:pStyle w:val="24"/>
              <w:jc w:val="both"/>
              <w:rPr>
                <w:rFonts w:ascii="Times New Roman"/>
                <w:w w:val="99"/>
                <w:sz w:val="21"/>
              </w:rPr>
            </w:pPr>
          </w:p>
          <w:p>
            <w:pPr>
              <w:pStyle w:val="24"/>
              <w:jc w:val="both"/>
              <w:rPr>
                <w:rFonts w:ascii="Times New Roman"/>
                <w:w w:val="99"/>
                <w:sz w:val="21"/>
              </w:rPr>
            </w:pPr>
          </w:p>
          <w:p>
            <w:pPr>
              <w:pStyle w:val="24"/>
              <w:ind w:firstLine="207" w:firstLineChars="100"/>
              <w:jc w:val="both"/>
              <w:rPr>
                <w:rFonts w:ascii="Times New Roman"/>
                <w:sz w:val="21"/>
              </w:rPr>
            </w:pPr>
            <w:r>
              <w:rPr>
                <w:rFonts w:ascii="Times New Roman"/>
                <w:w w:val="99"/>
                <w:sz w:val="21"/>
              </w:rPr>
              <w:t>8</w:t>
            </w:r>
          </w:p>
        </w:tc>
        <w:tc>
          <w:tcPr>
            <w:tcW w:w="2215" w:type="dxa"/>
            <w:vMerge w:val="restart"/>
            <w:tcBorders>
              <w:top w:val="single" w:color="000000" w:sz="4" w:space="0"/>
              <w:left w:val="single" w:color="000000" w:sz="4" w:space="0"/>
              <w:right w:val="single" w:color="000000" w:sz="4" w:space="0"/>
            </w:tcBorders>
          </w:tcPr>
          <w:p>
            <w:pPr>
              <w:pStyle w:val="24"/>
              <w:ind w:right="158"/>
              <w:jc w:val="both"/>
              <w:rPr>
                <w:sz w:val="21"/>
              </w:rPr>
            </w:pPr>
          </w:p>
          <w:p>
            <w:pPr>
              <w:pStyle w:val="24"/>
              <w:ind w:right="158"/>
              <w:jc w:val="both"/>
              <w:rPr>
                <w:sz w:val="21"/>
              </w:rPr>
            </w:pPr>
          </w:p>
          <w:p>
            <w:pPr>
              <w:pStyle w:val="24"/>
              <w:ind w:right="158" w:firstLine="630" w:firstLineChars="300"/>
              <w:jc w:val="both"/>
              <w:rPr>
                <w:sz w:val="21"/>
              </w:rPr>
            </w:pPr>
            <w:r>
              <w:rPr>
                <w:sz w:val="21"/>
              </w:rPr>
              <w:t>注塑机</w:t>
            </w: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76"/>
              <w:ind w:left="365" w:right="357"/>
              <w:jc w:val="center"/>
              <w:rPr>
                <w:rFonts w:ascii="Times New Roman"/>
                <w:sz w:val="21"/>
              </w:rPr>
            </w:pPr>
            <w:r>
              <w:rPr>
                <w:rFonts w:ascii="Times New Roman"/>
                <w:sz w:val="21"/>
              </w:rPr>
              <w:t>XT170</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5"/>
              <w:ind w:left="303" w:right="296"/>
              <w:jc w:val="center"/>
              <w:rPr>
                <w:sz w:val="21"/>
              </w:rPr>
            </w:pPr>
            <w:r>
              <w:rPr>
                <w:rFonts w:ascii="Times New Roman" w:eastAsia="Times New Roman"/>
                <w:sz w:val="21"/>
              </w:rPr>
              <w:t xml:space="preserve">1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4"/>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92" w:type="dxa"/>
            <w:vMerge w:val="continue"/>
            <w:tcBorders>
              <w:left w:val="nil"/>
              <w:right w:val="single" w:color="000000" w:sz="4" w:space="0"/>
            </w:tcBorders>
          </w:tcPr>
          <w:p>
            <w:pPr>
              <w:pStyle w:val="24"/>
              <w:spacing w:before="48"/>
              <w:ind w:left="27"/>
              <w:jc w:val="center"/>
              <w:rPr>
                <w:rFonts w:ascii="Times New Roman"/>
                <w:w w:val="99"/>
                <w:sz w:val="21"/>
              </w:rPr>
            </w:pPr>
          </w:p>
        </w:tc>
        <w:tc>
          <w:tcPr>
            <w:tcW w:w="2215" w:type="dxa"/>
            <w:vMerge w:val="continue"/>
            <w:tcBorders>
              <w:left w:val="single" w:color="000000" w:sz="4" w:space="0"/>
              <w:right w:val="single" w:color="000000" w:sz="4" w:space="0"/>
            </w:tcBorders>
          </w:tcPr>
          <w:p>
            <w:pPr>
              <w:pStyle w:val="24"/>
              <w:ind w:left="168" w:right="158"/>
              <w:jc w:val="center"/>
              <w:rPr>
                <w:sz w:val="21"/>
              </w:rPr>
            </w:pP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77"/>
              <w:ind w:left="365" w:right="357"/>
              <w:jc w:val="center"/>
              <w:rPr>
                <w:rFonts w:ascii="Times New Roman"/>
                <w:sz w:val="21"/>
              </w:rPr>
            </w:pPr>
            <w:r>
              <w:rPr>
                <w:rFonts w:ascii="Times New Roman"/>
                <w:sz w:val="21"/>
              </w:rPr>
              <w:t>XT160</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6"/>
              <w:ind w:left="303" w:right="296"/>
              <w:jc w:val="center"/>
              <w:rPr>
                <w:sz w:val="21"/>
              </w:rPr>
            </w:pPr>
            <w:r>
              <w:rPr>
                <w:rFonts w:ascii="Times New Roman" w:eastAsia="Times New Roman"/>
                <w:sz w:val="21"/>
              </w:rPr>
              <w:t xml:space="preserve">2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4"/>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92" w:type="dxa"/>
            <w:vMerge w:val="continue"/>
            <w:tcBorders>
              <w:left w:val="nil"/>
              <w:bottom w:val="single" w:color="000000" w:sz="4" w:space="0"/>
              <w:right w:val="single" w:color="000000" w:sz="4" w:space="0"/>
            </w:tcBorders>
          </w:tcPr>
          <w:p>
            <w:pPr>
              <w:pStyle w:val="24"/>
              <w:spacing w:before="48"/>
              <w:ind w:left="27"/>
              <w:jc w:val="center"/>
              <w:rPr>
                <w:rFonts w:ascii="Times New Roman"/>
                <w:w w:val="99"/>
                <w:sz w:val="21"/>
              </w:rPr>
            </w:pPr>
          </w:p>
        </w:tc>
        <w:tc>
          <w:tcPr>
            <w:tcW w:w="2215" w:type="dxa"/>
            <w:vMerge w:val="continue"/>
            <w:tcBorders>
              <w:left w:val="single" w:color="000000" w:sz="4" w:space="0"/>
              <w:bottom w:val="single" w:color="000000" w:sz="4" w:space="0"/>
              <w:right w:val="single" w:color="000000" w:sz="4" w:space="0"/>
            </w:tcBorders>
          </w:tcPr>
          <w:p>
            <w:pPr>
              <w:pStyle w:val="24"/>
              <w:spacing w:before="63"/>
              <w:ind w:left="692" w:right="687"/>
              <w:jc w:val="center"/>
              <w:rPr>
                <w:sz w:val="21"/>
              </w:rPr>
            </w:pP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78"/>
              <w:ind w:left="365" w:right="357"/>
              <w:jc w:val="center"/>
              <w:rPr>
                <w:rFonts w:ascii="Times New Roman"/>
                <w:sz w:val="21"/>
              </w:rPr>
            </w:pPr>
            <w:r>
              <w:rPr>
                <w:rFonts w:ascii="Times New Roman"/>
                <w:sz w:val="21"/>
              </w:rPr>
              <w:t>XT120</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7"/>
              <w:ind w:left="303" w:right="296"/>
              <w:jc w:val="center"/>
              <w:rPr>
                <w:sz w:val="21"/>
              </w:rPr>
            </w:pPr>
            <w:r>
              <w:rPr>
                <w:rFonts w:ascii="Times New Roman" w:eastAsia="Times New Roman"/>
                <w:sz w:val="21"/>
              </w:rPr>
              <w:t xml:space="preserve">2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4"/>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92" w:type="dxa"/>
            <w:tcBorders>
              <w:top w:val="single" w:color="000000" w:sz="4" w:space="0"/>
              <w:left w:val="nil"/>
              <w:bottom w:val="single" w:color="000000" w:sz="4" w:space="0"/>
              <w:right w:val="single" w:color="000000" w:sz="4" w:space="0"/>
            </w:tcBorders>
          </w:tcPr>
          <w:p>
            <w:pPr>
              <w:pStyle w:val="24"/>
              <w:spacing w:before="76"/>
              <w:ind w:left="6"/>
              <w:jc w:val="center"/>
              <w:rPr>
                <w:rFonts w:ascii="Times New Roman"/>
                <w:sz w:val="21"/>
              </w:rPr>
            </w:pPr>
            <w:r>
              <w:rPr>
                <w:rFonts w:ascii="Times New Roman"/>
                <w:w w:val="99"/>
                <w:sz w:val="21"/>
              </w:rPr>
              <w:t>9</w:t>
            </w:r>
          </w:p>
        </w:tc>
        <w:tc>
          <w:tcPr>
            <w:tcW w:w="2215" w:type="dxa"/>
            <w:tcBorders>
              <w:top w:val="single" w:color="000000" w:sz="4" w:space="0"/>
              <w:left w:val="single" w:color="000000" w:sz="4" w:space="0"/>
              <w:bottom w:val="single" w:color="000000" w:sz="4" w:space="0"/>
              <w:right w:val="single" w:color="000000" w:sz="4" w:space="0"/>
            </w:tcBorders>
          </w:tcPr>
          <w:p>
            <w:pPr>
              <w:pStyle w:val="24"/>
              <w:spacing w:before="62"/>
              <w:ind w:left="165" w:right="158"/>
              <w:jc w:val="center"/>
              <w:rPr>
                <w:sz w:val="21"/>
              </w:rPr>
            </w:pPr>
            <w:r>
              <w:rPr>
                <w:sz w:val="21"/>
              </w:rPr>
              <w:t>立式注塑机</w:t>
            </w: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76"/>
              <w:ind w:left="365" w:right="357"/>
              <w:jc w:val="center"/>
              <w:rPr>
                <w:rFonts w:ascii="Times New Roman"/>
                <w:sz w:val="21"/>
              </w:rPr>
            </w:pPr>
            <w:r>
              <w:rPr>
                <w:rFonts w:ascii="Times New Roman"/>
                <w:sz w:val="21"/>
              </w:rPr>
              <w:t>K8-257</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5"/>
              <w:ind w:left="303" w:right="296"/>
              <w:jc w:val="center"/>
              <w:rPr>
                <w:sz w:val="21"/>
              </w:rPr>
            </w:pPr>
            <w:r>
              <w:rPr>
                <w:rFonts w:ascii="Times New Roman" w:eastAsia="Times New Roman"/>
                <w:sz w:val="21"/>
              </w:rPr>
              <w:t xml:space="preserve">2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4"/>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92" w:type="dxa"/>
            <w:tcBorders>
              <w:top w:val="single" w:color="000000" w:sz="4" w:space="0"/>
              <w:left w:val="nil"/>
              <w:bottom w:val="single" w:color="000000" w:sz="4" w:space="0"/>
              <w:right w:val="single" w:color="000000" w:sz="4" w:space="0"/>
            </w:tcBorders>
          </w:tcPr>
          <w:p>
            <w:pPr>
              <w:pStyle w:val="24"/>
              <w:spacing w:before="77"/>
              <w:ind w:left="234" w:right="223"/>
              <w:jc w:val="center"/>
              <w:rPr>
                <w:rFonts w:ascii="Times New Roman"/>
                <w:sz w:val="21"/>
              </w:rPr>
            </w:pPr>
            <w:r>
              <w:rPr>
                <w:rFonts w:ascii="Times New Roman"/>
                <w:sz w:val="21"/>
              </w:rPr>
              <w:t>10</w:t>
            </w:r>
          </w:p>
        </w:tc>
        <w:tc>
          <w:tcPr>
            <w:tcW w:w="2215" w:type="dxa"/>
            <w:tcBorders>
              <w:top w:val="single" w:color="000000" w:sz="4" w:space="0"/>
              <w:left w:val="single" w:color="000000" w:sz="4" w:space="0"/>
              <w:bottom w:val="single" w:color="000000" w:sz="4" w:space="0"/>
              <w:right w:val="single" w:color="000000" w:sz="4" w:space="0"/>
            </w:tcBorders>
          </w:tcPr>
          <w:p>
            <w:pPr>
              <w:pStyle w:val="24"/>
              <w:spacing w:before="63"/>
              <w:ind w:left="168" w:right="158"/>
              <w:jc w:val="center"/>
              <w:rPr>
                <w:sz w:val="21"/>
              </w:rPr>
            </w:pPr>
            <w:r>
              <w:rPr>
                <w:sz w:val="21"/>
              </w:rPr>
              <w:t>粉碎机</w:t>
            </w: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77"/>
              <w:ind w:left="365" w:right="357"/>
              <w:jc w:val="center"/>
              <w:rPr>
                <w:rFonts w:ascii="Times New Roman"/>
                <w:sz w:val="21"/>
              </w:rPr>
            </w:pPr>
            <w:r>
              <w:rPr>
                <w:rFonts w:ascii="Times New Roman"/>
                <w:sz w:val="21"/>
              </w:rPr>
              <w:t>SWP-300</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6"/>
              <w:ind w:left="303" w:right="296"/>
              <w:jc w:val="center"/>
              <w:rPr>
                <w:sz w:val="21"/>
              </w:rPr>
            </w:pPr>
            <w:r>
              <w:rPr>
                <w:rFonts w:ascii="Times New Roman" w:eastAsia="Times New Roman"/>
                <w:sz w:val="21"/>
              </w:rPr>
              <w:t xml:space="preserve">4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4"/>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92" w:type="dxa"/>
            <w:tcBorders>
              <w:top w:val="single" w:color="000000" w:sz="4" w:space="0"/>
              <w:left w:val="nil"/>
              <w:bottom w:val="single" w:color="000000" w:sz="4" w:space="0"/>
              <w:right w:val="single" w:color="000000" w:sz="4" w:space="0"/>
            </w:tcBorders>
          </w:tcPr>
          <w:p>
            <w:pPr>
              <w:pStyle w:val="24"/>
              <w:spacing w:before="78"/>
              <w:ind w:left="234" w:right="223"/>
              <w:jc w:val="center"/>
              <w:rPr>
                <w:rFonts w:ascii="Times New Roman"/>
                <w:sz w:val="21"/>
              </w:rPr>
            </w:pPr>
            <w:r>
              <w:rPr>
                <w:rFonts w:ascii="Times New Roman"/>
                <w:sz w:val="21"/>
              </w:rPr>
              <w:t>11</w:t>
            </w:r>
          </w:p>
        </w:tc>
        <w:tc>
          <w:tcPr>
            <w:tcW w:w="2215" w:type="dxa"/>
            <w:tcBorders>
              <w:top w:val="single" w:color="000000" w:sz="4" w:space="0"/>
              <w:left w:val="single" w:color="000000" w:sz="4" w:space="0"/>
              <w:bottom w:val="single" w:color="000000" w:sz="4" w:space="0"/>
              <w:right w:val="single" w:color="000000" w:sz="4" w:space="0"/>
            </w:tcBorders>
          </w:tcPr>
          <w:p>
            <w:pPr>
              <w:pStyle w:val="24"/>
              <w:spacing w:before="64"/>
              <w:ind w:left="168" w:right="158"/>
              <w:jc w:val="center"/>
              <w:rPr>
                <w:sz w:val="21"/>
              </w:rPr>
            </w:pPr>
            <w:r>
              <w:rPr>
                <w:sz w:val="21"/>
              </w:rPr>
              <w:t>搅拌机</w:t>
            </w: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78"/>
              <w:ind w:left="368" w:right="357"/>
              <w:jc w:val="center"/>
              <w:rPr>
                <w:rFonts w:ascii="Times New Roman"/>
                <w:sz w:val="21"/>
              </w:rPr>
            </w:pPr>
            <w:r>
              <w:rPr>
                <w:rFonts w:ascii="Times New Roman"/>
                <w:sz w:val="21"/>
              </w:rPr>
              <w:t>TV50-500</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7"/>
              <w:ind w:left="303" w:right="296"/>
              <w:jc w:val="center"/>
              <w:rPr>
                <w:sz w:val="21"/>
              </w:rPr>
            </w:pPr>
            <w:r>
              <w:rPr>
                <w:rFonts w:ascii="Times New Roman" w:eastAsia="Times New Roman"/>
                <w:sz w:val="21"/>
              </w:rPr>
              <w:t xml:space="preserve">5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4"/>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92" w:type="dxa"/>
            <w:vMerge w:val="restart"/>
            <w:tcBorders>
              <w:top w:val="single" w:color="000000" w:sz="4" w:space="0"/>
              <w:left w:val="nil"/>
              <w:right w:val="single" w:color="000000" w:sz="4" w:space="0"/>
            </w:tcBorders>
          </w:tcPr>
          <w:p>
            <w:pPr>
              <w:pStyle w:val="24"/>
              <w:spacing w:before="6"/>
              <w:jc w:val="center"/>
              <w:rPr>
                <w:rFonts w:ascii="Times New Roman"/>
                <w:sz w:val="24"/>
              </w:rPr>
            </w:pPr>
          </w:p>
          <w:p>
            <w:pPr>
              <w:pStyle w:val="24"/>
              <w:ind w:left="234" w:right="223"/>
              <w:jc w:val="center"/>
              <w:rPr>
                <w:rFonts w:ascii="Times New Roman"/>
                <w:sz w:val="21"/>
              </w:rPr>
            </w:pPr>
            <w:r>
              <w:rPr>
                <w:rFonts w:ascii="Times New Roman"/>
                <w:sz w:val="21"/>
              </w:rPr>
              <w:t>12</w:t>
            </w:r>
          </w:p>
        </w:tc>
        <w:tc>
          <w:tcPr>
            <w:tcW w:w="2215" w:type="dxa"/>
            <w:vMerge w:val="restart"/>
            <w:tcBorders>
              <w:top w:val="single" w:color="000000" w:sz="4" w:space="0"/>
              <w:left w:val="single" w:color="000000" w:sz="4" w:space="0"/>
              <w:right w:val="single" w:color="000000" w:sz="4" w:space="0"/>
            </w:tcBorders>
          </w:tcPr>
          <w:p>
            <w:pPr>
              <w:pStyle w:val="24"/>
              <w:spacing w:before="4"/>
              <w:jc w:val="center"/>
              <w:rPr>
                <w:rFonts w:ascii="Times New Roman"/>
                <w:sz w:val="23"/>
              </w:rPr>
            </w:pPr>
          </w:p>
          <w:p>
            <w:pPr>
              <w:pStyle w:val="24"/>
              <w:ind w:left="168" w:right="158"/>
              <w:jc w:val="center"/>
              <w:rPr>
                <w:sz w:val="21"/>
              </w:rPr>
            </w:pPr>
            <w:r>
              <w:rPr>
                <w:sz w:val="21"/>
              </w:rPr>
              <w:t>制袋机</w:t>
            </w: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76"/>
              <w:ind w:left="365" w:right="357"/>
              <w:jc w:val="center"/>
              <w:rPr>
                <w:rFonts w:ascii="Times New Roman"/>
                <w:sz w:val="21"/>
              </w:rPr>
            </w:pPr>
            <w:r>
              <w:rPr>
                <w:rFonts w:ascii="Times New Roman"/>
                <w:sz w:val="21"/>
              </w:rPr>
              <w:t>HY-80</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5"/>
              <w:ind w:left="303" w:right="296"/>
              <w:jc w:val="center"/>
              <w:rPr>
                <w:sz w:val="21"/>
              </w:rPr>
            </w:pPr>
            <w:r>
              <w:rPr>
                <w:rFonts w:ascii="Times New Roman" w:eastAsia="Times New Roman"/>
                <w:sz w:val="21"/>
              </w:rPr>
              <w:t xml:space="preserve">4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4"/>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92" w:type="dxa"/>
            <w:vMerge w:val="continue"/>
            <w:tcBorders>
              <w:left w:val="nil"/>
              <w:bottom w:val="single" w:color="000000" w:sz="4" w:space="0"/>
              <w:right w:val="single" w:color="000000" w:sz="4" w:space="0"/>
            </w:tcBorders>
          </w:tcPr>
          <w:p>
            <w:pPr>
              <w:pStyle w:val="24"/>
              <w:spacing w:before="48"/>
              <w:ind w:left="27"/>
              <w:jc w:val="center"/>
              <w:rPr>
                <w:rFonts w:ascii="Times New Roman"/>
                <w:w w:val="99"/>
                <w:sz w:val="21"/>
              </w:rPr>
            </w:pPr>
          </w:p>
        </w:tc>
        <w:tc>
          <w:tcPr>
            <w:tcW w:w="2215" w:type="dxa"/>
            <w:vMerge w:val="continue"/>
            <w:tcBorders>
              <w:left w:val="single" w:color="000000" w:sz="4" w:space="0"/>
              <w:bottom w:val="single" w:color="000000" w:sz="4" w:space="0"/>
              <w:right w:val="single" w:color="000000" w:sz="4" w:space="0"/>
            </w:tcBorders>
          </w:tcPr>
          <w:p>
            <w:pPr>
              <w:pStyle w:val="24"/>
              <w:spacing w:before="62"/>
              <w:ind w:left="168" w:right="158"/>
              <w:jc w:val="center"/>
              <w:rPr>
                <w:sz w:val="21"/>
              </w:rPr>
            </w:pP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77"/>
              <w:ind w:left="368" w:right="357"/>
              <w:jc w:val="center"/>
              <w:rPr>
                <w:rFonts w:ascii="Times New Roman"/>
                <w:sz w:val="21"/>
              </w:rPr>
            </w:pPr>
            <w:r>
              <w:rPr>
                <w:rFonts w:ascii="Times New Roman"/>
                <w:sz w:val="21"/>
              </w:rPr>
              <w:t>BX600-1200</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6"/>
              <w:ind w:left="303" w:right="296"/>
              <w:jc w:val="center"/>
              <w:rPr>
                <w:sz w:val="21"/>
              </w:rPr>
            </w:pPr>
            <w:r>
              <w:rPr>
                <w:rFonts w:ascii="Times New Roman" w:eastAsia="Times New Roman"/>
                <w:sz w:val="21"/>
              </w:rPr>
              <w:t xml:space="preserve">3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4"/>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92" w:type="dxa"/>
            <w:vMerge w:val="restart"/>
            <w:tcBorders>
              <w:top w:val="single" w:color="000000" w:sz="4" w:space="0"/>
              <w:left w:val="nil"/>
              <w:right w:val="single" w:color="000000" w:sz="4" w:space="0"/>
            </w:tcBorders>
          </w:tcPr>
          <w:p>
            <w:pPr>
              <w:pStyle w:val="24"/>
              <w:spacing w:before="8"/>
              <w:jc w:val="center"/>
              <w:rPr>
                <w:rFonts w:ascii="Times New Roman"/>
                <w:sz w:val="24"/>
              </w:rPr>
            </w:pPr>
          </w:p>
          <w:p>
            <w:pPr>
              <w:pStyle w:val="24"/>
              <w:ind w:left="234" w:right="223"/>
              <w:jc w:val="center"/>
              <w:rPr>
                <w:rFonts w:ascii="Times New Roman"/>
                <w:sz w:val="21"/>
              </w:rPr>
            </w:pPr>
            <w:r>
              <w:rPr>
                <w:rFonts w:ascii="Times New Roman"/>
                <w:sz w:val="21"/>
              </w:rPr>
              <w:t>13</w:t>
            </w:r>
          </w:p>
        </w:tc>
        <w:tc>
          <w:tcPr>
            <w:tcW w:w="2215" w:type="dxa"/>
            <w:vMerge w:val="restart"/>
            <w:tcBorders>
              <w:top w:val="single" w:color="000000" w:sz="4" w:space="0"/>
              <w:left w:val="single" w:color="000000" w:sz="4" w:space="0"/>
              <w:right w:val="single" w:color="000000" w:sz="4" w:space="0"/>
            </w:tcBorders>
          </w:tcPr>
          <w:p>
            <w:pPr>
              <w:pStyle w:val="24"/>
              <w:spacing w:before="5"/>
              <w:jc w:val="center"/>
              <w:rPr>
                <w:rFonts w:ascii="Times New Roman"/>
                <w:sz w:val="23"/>
              </w:rPr>
            </w:pPr>
          </w:p>
          <w:p>
            <w:pPr>
              <w:pStyle w:val="24"/>
              <w:spacing w:before="1"/>
              <w:ind w:left="168" w:right="158"/>
              <w:jc w:val="center"/>
              <w:rPr>
                <w:sz w:val="21"/>
              </w:rPr>
            </w:pPr>
            <w:r>
              <w:rPr>
                <w:sz w:val="21"/>
              </w:rPr>
              <w:t>高频机</w:t>
            </w: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78"/>
              <w:ind w:left="366" w:right="357"/>
              <w:jc w:val="center"/>
              <w:rPr>
                <w:rFonts w:ascii="Times New Roman"/>
                <w:sz w:val="21"/>
              </w:rPr>
            </w:pPr>
            <w:r>
              <w:rPr>
                <w:rFonts w:ascii="Times New Roman"/>
                <w:sz w:val="21"/>
              </w:rPr>
              <w:t>IX5000TQ</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7"/>
              <w:ind w:left="303" w:right="296"/>
              <w:jc w:val="center"/>
              <w:rPr>
                <w:sz w:val="21"/>
              </w:rPr>
            </w:pPr>
            <w:r>
              <w:rPr>
                <w:rFonts w:ascii="Times New Roman" w:eastAsia="Times New Roman"/>
                <w:sz w:val="21"/>
              </w:rPr>
              <w:t xml:space="preserve">4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4"/>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92" w:type="dxa"/>
            <w:vMerge w:val="continue"/>
            <w:tcBorders>
              <w:left w:val="nil"/>
              <w:bottom w:val="single" w:color="000000" w:sz="4" w:space="0"/>
              <w:right w:val="single" w:color="000000" w:sz="4" w:space="0"/>
            </w:tcBorders>
          </w:tcPr>
          <w:p>
            <w:pPr>
              <w:pStyle w:val="24"/>
              <w:spacing w:before="48"/>
              <w:ind w:left="27"/>
              <w:jc w:val="center"/>
              <w:rPr>
                <w:rFonts w:ascii="Times New Roman"/>
                <w:w w:val="99"/>
                <w:sz w:val="21"/>
              </w:rPr>
            </w:pPr>
          </w:p>
        </w:tc>
        <w:tc>
          <w:tcPr>
            <w:tcW w:w="2215" w:type="dxa"/>
            <w:vMerge w:val="continue"/>
            <w:tcBorders>
              <w:left w:val="single" w:color="000000" w:sz="4" w:space="0"/>
              <w:bottom w:val="single" w:color="000000" w:sz="4" w:space="0"/>
              <w:right w:val="single" w:color="000000" w:sz="4" w:space="0"/>
            </w:tcBorders>
          </w:tcPr>
          <w:p>
            <w:pPr>
              <w:pStyle w:val="24"/>
              <w:spacing w:before="62"/>
              <w:ind w:left="168" w:right="158"/>
              <w:jc w:val="center"/>
              <w:rPr>
                <w:sz w:val="21"/>
              </w:rPr>
            </w:pP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76"/>
              <w:ind w:left="368" w:right="357"/>
              <w:jc w:val="center"/>
              <w:rPr>
                <w:rFonts w:ascii="Times New Roman"/>
                <w:sz w:val="21"/>
              </w:rPr>
            </w:pPr>
            <w:r>
              <w:rPr>
                <w:rFonts w:ascii="Times New Roman"/>
                <w:sz w:val="21"/>
              </w:rPr>
              <w:t>GP28-K1</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5"/>
              <w:ind w:left="303" w:right="296"/>
              <w:jc w:val="center"/>
              <w:rPr>
                <w:sz w:val="21"/>
              </w:rPr>
            </w:pPr>
            <w:r>
              <w:rPr>
                <w:rFonts w:ascii="Times New Roman" w:eastAsia="Times New Roman"/>
                <w:sz w:val="21"/>
              </w:rPr>
              <w:t xml:space="preserve">3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4"/>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92" w:type="dxa"/>
            <w:tcBorders>
              <w:top w:val="single" w:color="000000" w:sz="4" w:space="0"/>
              <w:left w:val="nil"/>
              <w:bottom w:val="single" w:color="000000" w:sz="4" w:space="0"/>
              <w:right w:val="single" w:color="000000" w:sz="4" w:space="0"/>
            </w:tcBorders>
          </w:tcPr>
          <w:p>
            <w:pPr>
              <w:pStyle w:val="24"/>
              <w:spacing w:before="77"/>
              <w:ind w:left="234" w:right="223"/>
              <w:jc w:val="center"/>
              <w:rPr>
                <w:rFonts w:ascii="Times New Roman"/>
                <w:sz w:val="21"/>
              </w:rPr>
            </w:pPr>
            <w:r>
              <w:rPr>
                <w:rFonts w:ascii="Times New Roman"/>
                <w:sz w:val="21"/>
              </w:rPr>
              <w:t>14</w:t>
            </w:r>
          </w:p>
        </w:tc>
        <w:tc>
          <w:tcPr>
            <w:tcW w:w="2215" w:type="dxa"/>
            <w:tcBorders>
              <w:top w:val="single" w:color="000000" w:sz="4" w:space="0"/>
              <w:left w:val="single" w:color="000000" w:sz="4" w:space="0"/>
              <w:bottom w:val="single" w:color="000000" w:sz="4" w:space="0"/>
              <w:right w:val="single" w:color="000000" w:sz="4" w:space="0"/>
            </w:tcBorders>
          </w:tcPr>
          <w:p>
            <w:pPr>
              <w:pStyle w:val="24"/>
              <w:spacing w:before="63"/>
              <w:ind w:left="165" w:right="158"/>
              <w:jc w:val="center"/>
              <w:rPr>
                <w:sz w:val="21"/>
              </w:rPr>
            </w:pPr>
            <w:r>
              <w:rPr>
                <w:sz w:val="21"/>
              </w:rPr>
              <w:t>自动钉扣机</w:t>
            </w: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77"/>
              <w:ind w:left="368" w:right="357"/>
              <w:jc w:val="center"/>
              <w:rPr>
                <w:rFonts w:ascii="Times New Roman"/>
                <w:sz w:val="21"/>
              </w:rPr>
            </w:pPr>
            <w:r>
              <w:rPr>
                <w:rFonts w:ascii="Times New Roman"/>
                <w:sz w:val="21"/>
              </w:rPr>
              <w:t>13-113</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6"/>
              <w:ind w:left="303" w:right="296"/>
              <w:jc w:val="center"/>
              <w:rPr>
                <w:sz w:val="21"/>
              </w:rPr>
            </w:pPr>
            <w:r>
              <w:rPr>
                <w:rFonts w:ascii="Times New Roman" w:eastAsia="Times New Roman"/>
                <w:sz w:val="21"/>
              </w:rPr>
              <w:t xml:space="preserve">9 </w:t>
            </w:r>
            <w:r>
              <w:rPr>
                <w:sz w:val="21"/>
              </w:rPr>
              <w:t>套</w:t>
            </w:r>
          </w:p>
        </w:tc>
        <w:tc>
          <w:tcPr>
            <w:tcW w:w="2985" w:type="dxa"/>
            <w:tcBorders>
              <w:top w:val="single" w:color="000000" w:sz="4" w:space="0"/>
              <w:left w:val="single" w:color="000000" w:sz="4" w:space="0"/>
              <w:bottom w:val="single" w:color="000000" w:sz="4" w:space="0"/>
              <w:right w:val="nil"/>
            </w:tcBorders>
          </w:tcPr>
          <w:p>
            <w:pPr>
              <w:pStyle w:val="24"/>
              <w:spacing w:before="34"/>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92" w:type="dxa"/>
            <w:tcBorders>
              <w:top w:val="single" w:color="000000" w:sz="4" w:space="0"/>
              <w:left w:val="nil"/>
              <w:bottom w:val="single" w:color="000000" w:sz="4" w:space="0"/>
              <w:right w:val="single" w:color="000000" w:sz="4" w:space="0"/>
            </w:tcBorders>
          </w:tcPr>
          <w:p>
            <w:pPr>
              <w:pStyle w:val="24"/>
              <w:spacing w:before="78"/>
              <w:ind w:left="234" w:right="223"/>
              <w:jc w:val="center"/>
              <w:rPr>
                <w:rFonts w:ascii="Times New Roman"/>
                <w:sz w:val="21"/>
              </w:rPr>
            </w:pPr>
            <w:r>
              <w:rPr>
                <w:rFonts w:ascii="Times New Roman"/>
                <w:sz w:val="21"/>
              </w:rPr>
              <w:t>15</w:t>
            </w:r>
          </w:p>
        </w:tc>
        <w:tc>
          <w:tcPr>
            <w:tcW w:w="2215" w:type="dxa"/>
            <w:tcBorders>
              <w:top w:val="single" w:color="000000" w:sz="4" w:space="0"/>
              <w:left w:val="single" w:color="000000" w:sz="4" w:space="0"/>
              <w:bottom w:val="single" w:color="000000" w:sz="4" w:space="0"/>
              <w:right w:val="single" w:color="000000" w:sz="4" w:space="0"/>
            </w:tcBorders>
          </w:tcPr>
          <w:p>
            <w:pPr>
              <w:pStyle w:val="24"/>
              <w:spacing w:before="64"/>
              <w:ind w:left="168" w:right="158"/>
              <w:jc w:val="center"/>
              <w:rPr>
                <w:sz w:val="21"/>
              </w:rPr>
            </w:pPr>
            <w:r>
              <w:rPr>
                <w:sz w:val="21"/>
              </w:rPr>
              <w:t>雨衣裁料设备</w:t>
            </w:r>
          </w:p>
        </w:tc>
        <w:tc>
          <w:tcPr>
            <w:tcW w:w="1694" w:type="dxa"/>
            <w:tcBorders>
              <w:top w:val="single" w:color="000000" w:sz="4" w:space="0"/>
              <w:left w:val="single" w:color="000000" w:sz="4" w:space="0"/>
              <w:bottom w:val="single" w:color="000000" w:sz="4" w:space="0"/>
              <w:right w:val="single" w:color="000000" w:sz="4" w:space="0"/>
            </w:tcBorders>
          </w:tcPr>
          <w:p>
            <w:pPr>
              <w:pStyle w:val="24"/>
              <w:jc w:val="center"/>
              <w:rPr>
                <w:rFonts w:ascii="Times New Roman"/>
              </w:rPr>
            </w:pP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7"/>
              <w:ind w:left="303" w:right="296"/>
              <w:jc w:val="center"/>
              <w:rPr>
                <w:sz w:val="21"/>
              </w:rPr>
            </w:pPr>
            <w:r>
              <w:rPr>
                <w:rFonts w:ascii="Times New Roman" w:eastAsia="Times New Roman"/>
                <w:sz w:val="21"/>
              </w:rPr>
              <w:t xml:space="preserve">1 </w:t>
            </w:r>
            <w:r>
              <w:rPr>
                <w:sz w:val="21"/>
              </w:rPr>
              <w:t>套</w:t>
            </w:r>
          </w:p>
        </w:tc>
        <w:tc>
          <w:tcPr>
            <w:tcW w:w="2985" w:type="dxa"/>
            <w:tcBorders>
              <w:top w:val="single" w:color="000000" w:sz="4" w:space="0"/>
              <w:left w:val="single" w:color="000000" w:sz="4" w:space="0"/>
              <w:bottom w:val="single" w:color="000000" w:sz="4" w:space="0"/>
              <w:right w:val="nil"/>
            </w:tcBorders>
          </w:tcPr>
          <w:p>
            <w:pPr>
              <w:pStyle w:val="24"/>
              <w:spacing w:before="34"/>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92" w:type="dxa"/>
            <w:tcBorders>
              <w:top w:val="single" w:color="000000" w:sz="4" w:space="0"/>
              <w:left w:val="nil"/>
              <w:bottom w:val="single" w:color="000000" w:sz="4" w:space="0"/>
              <w:right w:val="single" w:color="000000" w:sz="4" w:space="0"/>
            </w:tcBorders>
          </w:tcPr>
          <w:p>
            <w:pPr>
              <w:pStyle w:val="24"/>
              <w:spacing w:before="76"/>
              <w:ind w:left="234" w:right="223"/>
              <w:jc w:val="center"/>
              <w:rPr>
                <w:rFonts w:ascii="Times New Roman"/>
                <w:sz w:val="21"/>
              </w:rPr>
            </w:pPr>
            <w:r>
              <w:rPr>
                <w:rFonts w:ascii="Times New Roman"/>
                <w:sz w:val="21"/>
              </w:rPr>
              <w:t>16</w:t>
            </w:r>
          </w:p>
        </w:tc>
        <w:tc>
          <w:tcPr>
            <w:tcW w:w="2215" w:type="dxa"/>
            <w:tcBorders>
              <w:top w:val="single" w:color="000000" w:sz="4" w:space="0"/>
              <w:left w:val="single" w:color="000000" w:sz="4" w:space="0"/>
              <w:bottom w:val="single" w:color="000000" w:sz="4" w:space="0"/>
              <w:right w:val="single" w:color="000000" w:sz="4" w:space="0"/>
            </w:tcBorders>
          </w:tcPr>
          <w:p>
            <w:pPr>
              <w:pStyle w:val="24"/>
              <w:spacing w:before="62"/>
              <w:ind w:left="168" w:right="158"/>
              <w:jc w:val="center"/>
              <w:rPr>
                <w:sz w:val="21"/>
              </w:rPr>
            </w:pPr>
            <w:r>
              <w:rPr>
                <w:sz w:val="21"/>
              </w:rPr>
              <w:t>全自动塑胶五金组合机</w:t>
            </w:r>
          </w:p>
        </w:tc>
        <w:tc>
          <w:tcPr>
            <w:tcW w:w="1694" w:type="dxa"/>
            <w:tcBorders>
              <w:top w:val="single" w:color="000000" w:sz="4" w:space="0"/>
              <w:left w:val="single" w:color="000000" w:sz="4" w:space="0"/>
              <w:bottom w:val="single" w:color="000000" w:sz="4" w:space="0"/>
              <w:right w:val="single" w:color="000000" w:sz="4" w:space="0"/>
            </w:tcBorders>
          </w:tcPr>
          <w:p>
            <w:pPr>
              <w:pStyle w:val="24"/>
              <w:jc w:val="center"/>
              <w:rPr>
                <w:rFonts w:ascii="Times New Roman"/>
              </w:rPr>
            </w:pP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5"/>
              <w:ind w:left="303" w:right="296"/>
              <w:jc w:val="center"/>
              <w:rPr>
                <w:sz w:val="21"/>
              </w:rPr>
            </w:pPr>
            <w:r>
              <w:rPr>
                <w:rFonts w:ascii="Times New Roman" w:eastAsia="Times New Roman"/>
                <w:sz w:val="21"/>
              </w:rPr>
              <w:t xml:space="preserve">4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4"/>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92" w:type="dxa"/>
            <w:tcBorders>
              <w:top w:val="single" w:color="000000" w:sz="4" w:space="0"/>
              <w:left w:val="nil"/>
              <w:bottom w:val="single" w:color="000000" w:sz="4" w:space="0"/>
              <w:right w:val="single" w:color="000000" w:sz="4" w:space="0"/>
            </w:tcBorders>
          </w:tcPr>
          <w:p>
            <w:pPr>
              <w:pStyle w:val="24"/>
              <w:spacing w:before="77"/>
              <w:ind w:left="234" w:right="223"/>
              <w:jc w:val="center"/>
              <w:rPr>
                <w:rFonts w:ascii="Times New Roman"/>
                <w:sz w:val="21"/>
              </w:rPr>
            </w:pPr>
            <w:r>
              <w:rPr>
                <w:rFonts w:ascii="Times New Roman"/>
                <w:sz w:val="21"/>
              </w:rPr>
              <w:t>17</w:t>
            </w:r>
          </w:p>
        </w:tc>
        <w:tc>
          <w:tcPr>
            <w:tcW w:w="2215" w:type="dxa"/>
            <w:tcBorders>
              <w:top w:val="single" w:color="000000" w:sz="4" w:space="0"/>
              <w:left w:val="single" w:color="000000" w:sz="4" w:space="0"/>
              <w:bottom w:val="single" w:color="000000" w:sz="4" w:space="0"/>
              <w:right w:val="single" w:color="000000" w:sz="4" w:space="0"/>
            </w:tcBorders>
          </w:tcPr>
          <w:p>
            <w:pPr>
              <w:pStyle w:val="24"/>
              <w:spacing w:before="63"/>
              <w:ind w:left="168" w:right="158"/>
              <w:jc w:val="center"/>
              <w:rPr>
                <w:sz w:val="21"/>
              </w:rPr>
            </w:pPr>
            <w:r>
              <w:rPr>
                <w:sz w:val="21"/>
              </w:rPr>
              <w:t>全自动打靶机</w:t>
            </w:r>
          </w:p>
        </w:tc>
        <w:tc>
          <w:tcPr>
            <w:tcW w:w="1694" w:type="dxa"/>
            <w:tcBorders>
              <w:top w:val="single" w:color="000000" w:sz="4" w:space="0"/>
              <w:left w:val="single" w:color="000000" w:sz="4" w:space="0"/>
              <w:bottom w:val="single" w:color="000000" w:sz="4" w:space="0"/>
              <w:right w:val="single" w:color="000000" w:sz="4" w:space="0"/>
            </w:tcBorders>
          </w:tcPr>
          <w:p>
            <w:pPr>
              <w:pStyle w:val="24"/>
              <w:jc w:val="center"/>
              <w:rPr>
                <w:rFonts w:ascii="Times New Roman"/>
              </w:rPr>
            </w:pP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6"/>
              <w:ind w:left="303" w:right="296"/>
              <w:jc w:val="center"/>
              <w:rPr>
                <w:sz w:val="21"/>
              </w:rPr>
            </w:pPr>
            <w:r>
              <w:rPr>
                <w:rFonts w:ascii="Times New Roman" w:eastAsia="Times New Roman"/>
                <w:sz w:val="21"/>
              </w:rPr>
              <w:t xml:space="preserve">2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4"/>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92" w:type="dxa"/>
            <w:tcBorders>
              <w:top w:val="single" w:color="000000" w:sz="4" w:space="0"/>
              <w:left w:val="nil"/>
              <w:bottom w:val="single" w:color="000000" w:sz="4" w:space="0"/>
              <w:right w:val="single" w:color="000000" w:sz="4" w:space="0"/>
            </w:tcBorders>
          </w:tcPr>
          <w:p>
            <w:pPr>
              <w:pStyle w:val="24"/>
              <w:spacing w:before="78"/>
              <w:ind w:left="234" w:right="223"/>
              <w:jc w:val="center"/>
              <w:rPr>
                <w:rFonts w:ascii="Times New Roman"/>
                <w:sz w:val="21"/>
              </w:rPr>
            </w:pPr>
            <w:r>
              <w:rPr>
                <w:rFonts w:ascii="Times New Roman"/>
                <w:sz w:val="21"/>
              </w:rPr>
              <w:t>18</w:t>
            </w:r>
          </w:p>
        </w:tc>
        <w:tc>
          <w:tcPr>
            <w:tcW w:w="2215" w:type="dxa"/>
            <w:tcBorders>
              <w:top w:val="single" w:color="000000" w:sz="4" w:space="0"/>
              <w:left w:val="single" w:color="000000" w:sz="4" w:space="0"/>
              <w:bottom w:val="single" w:color="000000" w:sz="4" w:space="0"/>
              <w:right w:val="single" w:color="000000" w:sz="4" w:space="0"/>
            </w:tcBorders>
          </w:tcPr>
          <w:p>
            <w:pPr>
              <w:pStyle w:val="24"/>
              <w:spacing w:before="64"/>
              <w:ind w:left="165" w:right="158"/>
              <w:jc w:val="center"/>
              <w:rPr>
                <w:sz w:val="21"/>
              </w:rPr>
            </w:pPr>
            <w:r>
              <w:rPr>
                <w:sz w:val="21"/>
              </w:rPr>
              <w:t>全自动组装流水线</w:t>
            </w:r>
          </w:p>
        </w:tc>
        <w:tc>
          <w:tcPr>
            <w:tcW w:w="1694" w:type="dxa"/>
            <w:tcBorders>
              <w:top w:val="single" w:color="000000" w:sz="4" w:space="0"/>
              <w:left w:val="single" w:color="000000" w:sz="4" w:space="0"/>
              <w:bottom w:val="single" w:color="000000" w:sz="4" w:space="0"/>
              <w:right w:val="single" w:color="000000" w:sz="4" w:space="0"/>
            </w:tcBorders>
          </w:tcPr>
          <w:p>
            <w:pPr>
              <w:pStyle w:val="24"/>
              <w:jc w:val="center"/>
              <w:rPr>
                <w:rFonts w:ascii="Times New Roman"/>
              </w:rPr>
            </w:pP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7"/>
              <w:ind w:left="303" w:right="296"/>
              <w:jc w:val="center"/>
              <w:rPr>
                <w:sz w:val="21"/>
              </w:rPr>
            </w:pPr>
            <w:r>
              <w:rPr>
                <w:rFonts w:ascii="Times New Roman" w:eastAsia="Times New Roman"/>
                <w:sz w:val="21"/>
              </w:rPr>
              <w:t xml:space="preserve">2 </w:t>
            </w:r>
            <w:r>
              <w:rPr>
                <w:sz w:val="21"/>
              </w:rPr>
              <w:t>套</w:t>
            </w:r>
          </w:p>
        </w:tc>
        <w:tc>
          <w:tcPr>
            <w:tcW w:w="2985" w:type="dxa"/>
            <w:tcBorders>
              <w:top w:val="single" w:color="000000" w:sz="4" w:space="0"/>
              <w:left w:val="single" w:color="000000" w:sz="4" w:space="0"/>
              <w:bottom w:val="single" w:color="000000" w:sz="4" w:space="0"/>
              <w:right w:val="nil"/>
            </w:tcBorders>
          </w:tcPr>
          <w:p>
            <w:pPr>
              <w:pStyle w:val="24"/>
              <w:spacing w:before="34"/>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92" w:type="dxa"/>
            <w:tcBorders>
              <w:top w:val="single" w:color="000000" w:sz="4" w:space="0"/>
              <w:left w:val="nil"/>
              <w:bottom w:val="single" w:color="000000" w:sz="4" w:space="0"/>
              <w:right w:val="single" w:color="000000" w:sz="4" w:space="0"/>
            </w:tcBorders>
          </w:tcPr>
          <w:p>
            <w:pPr>
              <w:pStyle w:val="24"/>
              <w:spacing w:before="76"/>
              <w:ind w:left="234" w:right="223"/>
              <w:jc w:val="center"/>
              <w:rPr>
                <w:rFonts w:ascii="Times New Roman"/>
                <w:sz w:val="21"/>
              </w:rPr>
            </w:pPr>
            <w:r>
              <w:rPr>
                <w:rFonts w:ascii="Times New Roman"/>
                <w:sz w:val="21"/>
              </w:rPr>
              <w:t>19</w:t>
            </w:r>
          </w:p>
        </w:tc>
        <w:tc>
          <w:tcPr>
            <w:tcW w:w="2215" w:type="dxa"/>
            <w:tcBorders>
              <w:top w:val="single" w:color="000000" w:sz="4" w:space="0"/>
              <w:left w:val="single" w:color="000000" w:sz="4" w:space="0"/>
              <w:bottom w:val="single" w:color="000000" w:sz="4" w:space="0"/>
              <w:right w:val="single" w:color="000000" w:sz="4" w:space="0"/>
            </w:tcBorders>
          </w:tcPr>
          <w:p>
            <w:pPr>
              <w:pStyle w:val="24"/>
              <w:spacing w:before="62"/>
              <w:ind w:left="168" w:right="158"/>
              <w:jc w:val="center"/>
              <w:rPr>
                <w:sz w:val="21"/>
              </w:rPr>
            </w:pPr>
            <w:r>
              <w:rPr>
                <w:sz w:val="21"/>
              </w:rPr>
              <w:t>冲床</w:t>
            </w:r>
          </w:p>
        </w:tc>
        <w:tc>
          <w:tcPr>
            <w:tcW w:w="1694" w:type="dxa"/>
            <w:tcBorders>
              <w:top w:val="single" w:color="000000" w:sz="4" w:space="0"/>
              <w:left w:val="single" w:color="000000" w:sz="4" w:space="0"/>
              <w:bottom w:val="single" w:color="000000" w:sz="4" w:space="0"/>
              <w:right w:val="single" w:color="000000" w:sz="4" w:space="0"/>
            </w:tcBorders>
          </w:tcPr>
          <w:p>
            <w:pPr>
              <w:pStyle w:val="24"/>
              <w:spacing w:before="76"/>
              <w:ind w:left="367" w:right="357"/>
              <w:jc w:val="center"/>
              <w:rPr>
                <w:rFonts w:ascii="Times New Roman"/>
                <w:sz w:val="21"/>
              </w:rPr>
            </w:pPr>
            <w:r>
              <w:rPr>
                <w:rFonts w:ascii="Times New Roman"/>
                <w:sz w:val="21"/>
              </w:rPr>
              <w:t>100T</w:t>
            </w: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5"/>
              <w:ind w:left="303" w:right="296"/>
              <w:jc w:val="center"/>
              <w:rPr>
                <w:sz w:val="21"/>
              </w:rPr>
            </w:pPr>
            <w:r>
              <w:rPr>
                <w:rFonts w:ascii="Times New Roman" w:eastAsia="Times New Roman"/>
                <w:sz w:val="21"/>
              </w:rPr>
              <w:t xml:space="preserve">1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4"/>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92" w:type="dxa"/>
            <w:tcBorders>
              <w:top w:val="single" w:color="000000" w:sz="4" w:space="0"/>
              <w:left w:val="nil"/>
              <w:bottom w:val="single" w:color="000000" w:sz="4" w:space="0"/>
              <w:right w:val="single" w:color="000000" w:sz="4" w:space="0"/>
            </w:tcBorders>
          </w:tcPr>
          <w:p>
            <w:pPr>
              <w:pStyle w:val="24"/>
              <w:spacing w:before="77"/>
              <w:ind w:left="234" w:right="223"/>
              <w:jc w:val="center"/>
              <w:rPr>
                <w:rFonts w:ascii="Times New Roman"/>
                <w:sz w:val="21"/>
              </w:rPr>
            </w:pPr>
            <w:r>
              <w:rPr>
                <w:rFonts w:ascii="Times New Roman"/>
                <w:sz w:val="21"/>
              </w:rPr>
              <w:t>20</w:t>
            </w:r>
          </w:p>
        </w:tc>
        <w:tc>
          <w:tcPr>
            <w:tcW w:w="2215" w:type="dxa"/>
            <w:tcBorders>
              <w:top w:val="single" w:color="000000" w:sz="4" w:space="0"/>
              <w:left w:val="single" w:color="000000" w:sz="4" w:space="0"/>
              <w:bottom w:val="single" w:color="000000" w:sz="4" w:space="0"/>
              <w:right w:val="single" w:color="000000" w:sz="4" w:space="0"/>
            </w:tcBorders>
          </w:tcPr>
          <w:p>
            <w:pPr>
              <w:pStyle w:val="24"/>
              <w:spacing w:before="63"/>
              <w:ind w:left="168" w:right="158"/>
              <w:jc w:val="center"/>
              <w:rPr>
                <w:sz w:val="21"/>
              </w:rPr>
            </w:pPr>
            <w:r>
              <w:rPr>
                <w:sz w:val="21"/>
              </w:rPr>
              <w:t>全自动织带机</w:t>
            </w:r>
          </w:p>
        </w:tc>
        <w:tc>
          <w:tcPr>
            <w:tcW w:w="1694" w:type="dxa"/>
            <w:tcBorders>
              <w:top w:val="single" w:color="000000" w:sz="4" w:space="0"/>
              <w:left w:val="single" w:color="000000" w:sz="4" w:space="0"/>
              <w:bottom w:val="single" w:color="000000" w:sz="4" w:space="0"/>
              <w:right w:val="single" w:color="000000" w:sz="4" w:space="0"/>
            </w:tcBorders>
          </w:tcPr>
          <w:p>
            <w:pPr>
              <w:pStyle w:val="24"/>
              <w:jc w:val="center"/>
              <w:rPr>
                <w:rFonts w:ascii="Times New Roman"/>
              </w:rPr>
            </w:pP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6"/>
              <w:ind w:left="303" w:right="296"/>
              <w:jc w:val="center"/>
              <w:rPr>
                <w:sz w:val="21"/>
              </w:rPr>
            </w:pPr>
            <w:r>
              <w:rPr>
                <w:rFonts w:ascii="Times New Roman" w:eastAsia="Times New Roman"/>
                <w:sz w:val="21"/>
              </w:rPr>
              <w:t xml:space="preserve">7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4"/>
              <w:ind w:left="1063" w:right="103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92" w:type="dxa"/>
            <w:tcBorders>
              <w:top w:val="single" w:color="000000" w:sz="4" w:space="0"/>
              <w:left w:val="nil"/>
              <w:bottom w:val="single" w:color="000000" w:sz="4" w:space="0"/>
              <w:right w:val="single" w:color="000000" w:sz="4" w:space="0"/>
            </w:tcBorders>
          </w:tcPr>
          <w:p>
            <w:pPr>
              <w:pStyle w:val="24"/>
              <w:spacing w:before="78"/>
              <w:ind w:left="234" w:right="223"/>
              <w:jc w:val="center"/>
              <w:rPr>
                <w:rFonts w:ascii="Times New Roman"/>
                <w:sz w:val="21"/>
              </w:rPr>
            </w:pPr>
            <w:r>
              <w:rPr>
                <w:rFonts w:ascii="Times New Roman"/>
                <w:sz w:val="21"/>
              </w:rPr>
              <w:t>21</w:t>
            </w:r>
          </w:p>
        </w:tc>
        <w:tc>
          <w:tcPr>
            <w:tcW w:w="2215" w:type="dxa"/>
            <w:tcBorders>
              <w:top w:val="single" w:color="000000" w:sz="4" w:space="0"/>
              <w:left w:val="single" w:color="000000" w:sz="4" w:space="0"/>
              <w:bottom w:val="single" w:color="000000" w:sz="4" w:space="0"/>
              <w:right w:val="single" w:color="000000" w:sz="4" w:space="0"/>
            </w:tcBorders>
          </w:tcPr>
          <w:p>
            <w:pPr>
              <w:pStyle w:val="24"/>
              <w:spacing w:before="64"/>
              <w:ind w:left="168" w:right="158"/>
              <w:jc w:val="center"/>
              <w:rPr>
                <w:sz w:val="21"/>
              </w:rPr>
            </w:pPr>
            <w:r>
              <w:rPr>
                <w:sz w:val="21"/>
              </w:rPr>
              <w:t>缝纫机</w:t>
            </w:r>
          </w:p>
        </w:tc>
        <w:tc>
          <w:tcPr>
            <w:tcW w:w="1694" w:type="dxa"/>
            <w:tcBorders>
              <w:top w:val="single" w:color="000000" w:sz="4" w:space="0"/>
              <w:left w:val="single" w:color="000000" w:sz="4" w:space="0"/>
              <w:bottom w:val="single" w:color="000000" w:sz="4" w:space="0"/>
              <w:right w:val="single" w:color="000000" w:sz="4" w:space="0"/>
            </w:tcBorders>
          </w:tcPr>
          <w:p>
            <w:pPr>
              <w:pStyle w:val="24"/>
              <w:jc w:val="center"/>
              <w:rPr>
                <w:rFonts w:ascii="Times New Roman"/>
              </w:rPr>
            </w:pPr>
          </w:p>
        </w:tc>
        <w:tc>
          <w:tcPr>
            <w:tcW w:w="2052" w:type="dxa"/>
            <w:tcBorders>
              <w:top w:val="single" w:color="000000" w:sz="4" w:space="0"/>
              <w:left w:val="single" w:color="000000" w:sz="4" w:space="0"/>
              <w:bottom w:val="single" w:color="000000" w:sz="4" w:space="0"/>
              <w:right w:val="single" w:color="000000" w:sz="4" w:space="0"/>
            </w:tcBorders>
          </w:tcPr>
          <w:p>
            <w:pPr>
              <w:pStyle w:val="24"/>
              <w:spacing w:before="107"/>
              <w:ind w:left="304" w:right="294"/>
              <w:jc w:val="center"/>
              <w:rPr>
                <w:sz w:val="21"/>
              </w:rPr>
            </w:pPr>
            <w:r>
              <w:rPr>
                <w:rFonts w:ascii="Times New Roman" w:eastAsia="Times New Roman"/>
                <w:sz w:val="21"/>
              </w:rPr>
              <w:t xml:space="preserve">30 </w:t>
            </w:r>
            <w:r>
              <w:rPr>
                <w:sz w:val="21"/>
              </w:rPr>
              <w:t>台</w:t>
            </w:r>
          </w:p>
        </w:tc>
        <w:tc>
          <w:tcPr>
            <w:tcW w:w="2985" w:type="dxa"/>
            <w:tcBorders>
              <w:top w:val="single" w:color="000000" w:sz="4" w:space="0"/>
              <w:left w:val="single" w:color="000000" w:sz="4" w:space="0"/>
              <w:bottom w:val="single" w:color="000000" w:sz="4" w:space="0"/>
              <w:right w:val="nil"/>
            </w:tcBorders>
          </w:tcPr>
          <w:p>
            <w:pPr>
              <w:pStyle w:val="24"/>
              <w:spacing w:before="34"/>
              <w:ind w:left="1063" w:right="1037"/>
              <w:rPr>
                <w:sz w:val="21"/>
              </w:rPr>
            </w:pPr>
          </w:p>
        </w:tc>
      </w:tr>
    </w:tbl>
    <w:p/>
    <w:p>
      <w:pPr>
        <w:pStyle w:val="10"/>
        <w:spacing w:before="3"/>
        <w:rPr>
          <w:b/>
          <w:sz w:val="12"/>
        </w:rPr>
      </w:pPr>
    </w:p>
    <w:p>
      <w:pPr>
        <w:jc w:val="center"/>
        <w:rPr>
          <w:sz w:val="21"/>
        </w:rPr>
        <w:sectPr>
          <w:pgSz w:w="11910" w:h="16840"/>
          <w:pgMar w:top="1360" w:right="840" w:bottom="1180" w:left="840" w:header="882" w:footer="993" w:gutter="0"/>
          <w:cols w:space="720" w:num="1"/>
        </w:sectPr>
      </w:pPr>
    </w:p>
    <w:p>
      <w:pPr>
        <w:pStyle w:val="10"/>
        <w:spacing w:before="11"/>
        <w:rPr>
          <w:b/>
          <w:sz w:val="4"/>
        </w:rPr>
      </w:pPr>
    </w:p>
    <w:p>
      <w:pPr>
        <w:pStyle w:val="10"/>
        <w:rPr>
          <w:b/>
          <w:sz w:val="7"/>
        </w:rPr>
      </w:pPr>
    </w:p>
    <w:p>
      <w:pPr>
        <w:pStyle w:val="23"/>
        <w:numPr>
          <w:ilvl w:val="2"/>
          <w:numId w:val="6"/>
        </w:numPr>
        <w:tabs>
          <w:tab w:val="left" w:pos="869"/>
        </w:tabs>
        <w:spacing w:before="71"/>
        <w:rPr>
          <w:b/>
          <w:sz w:val="28"/>
        </w:rPr>
      </w:pPr>
      <w:bookmarkStart w:id="57" w:name="_bookmark28"/>
      <w:bookmarkEnd w:id="57"/>
      <w:bookmarkStart w:id="58" w:name="2.4.2生产工艺流程"/>
      <w:bookmarkEnd w:id="58"/>
      <w:r>
        <w:rPr>
          <w:b/>
          <w:sz w:val="28"/>
        </w:rPr>
        <w:t>生产工艺流程</w:t>
      </w:r>
    </w:p>
    <w:p>
      <w:pPr>
        <w:pStyle w:val="10"/>
        <w:spacing w:before="8"/>
        <w:rPr>
          <w:b/>
          <w:sz w:val="26"/>
        </w:rPr>
      </w:pPr>
    </w:p>
    <w:p>
      <w:pPr>
        <w:pStyle w:val="23"/>
        <w:tabs>
          <w:tab w:val="left" w:pos="1161"/>
        </w:tabs>
        <w:spacing w:before="159"/>
        <w:ind w:left="0" w:firstLine="214" w:firstLineChars="100"/>
        <w:rPr>
          <w:b/>
          <w:sz w:val="28"/>
          <w:lang w:val="en-US"/>
        </w:rPr>
      </w:pPr>
      <w:r>
        <w:rPr>
          <w:spacing w:val="-3"/>
        </w:rPr>
        <w:t>公司主要从事</w:t>
      </w:r>
      <w:r>
        <w:rPr>
          <w:sz w:val="24"/>
        </w:rPr>
        <w:t>制造并销售塑料雨衣、塑料服装袋为主的企业</w:t>
      </w:r>
      <w:r>
        <w:rPr>
          <w:spacing w:val="-3"/>
        </w:rPr>
        <w:t xml:space="preserve">，其生产工艺流程及产污节点见图 </w:t>
      </w:r>
      <w:r>
        <w:rPr>
          <w:rFonts w:ascii="Times New Roman" w:eastAsia="Times New Roman"/>
        </w:rPr>
        <w:t>2.4-1</w:t>
      </w:r>
      <w:r>
        <w:rPr>
          <w:spacing w:val="-17"/>
        </w:rPr>
        <w:t>。</w:t>
      </w:r>
      <w:r>
        <w:rPr>
          <w:rFonts w:hint="eastAsia"/>
          <w:b/>
          <w:sz w:val="28"/>
          <w:lang w:val="en-US"/>
        </w:rPr>
        <w:t xml:space="preserve">  </w:t>
      </w:r>
    </w:p>
    <w:p>
      <w:pPr>
        <w:pStyle w:val="23"/>
        <w:tabs>
          <w:tab w:val="left" w:pos="869"/>
        </w:tabs>
        <w:spacing w:before="71"/>
        <w:ind w:left="239" w:firstLine="0"/>
        <w:rPr>
          <w:b/>
          <w:sz w:val="28"/>
          <w:lang w:val="en-US"/>
        </w:rPr>
      </w:pPr>
      <w:r>
        <w:rPr>
          <w:b/>
          <w:sz w:val="28"/>
        </w:rPr>
        <w:t>塑料服装袋生产工艺流程及产污节点见图</w:t>
      </w:r>
    </w:p>
    <w:p>
      <w:pPr>
        <w:pStyle w:val="23"/>
        <w:tabs>
          <w:tab w:val="left" w:pos="1161"/>
        </w:tabs>
        <w:spacing w:before="159"/>
        <w:ind w:left="0" w:firstLine="0"/>
      </w:pPr>
      <w:r>
        <w:rPr>
          <w:rFonts w:hint="eastAsia"/>
          <w:lang w:val="en-US"/>
        </w:rPr>
        <w:t xml:space="preserve">          </w:t>
      </w:r>
      <w:r>
        <w:rPr>
          <w:lang w:val="en-US" w:bidi="ar-SA"/>
        </w:rPr>
        <w:drawing>
          <wp:inline distT="0" distB="0" distL="114300" distR="114300">
            <wp:extent cx="4181475" cy="2428875"/>
            <wp:effectExtent l="0" t="0" r="952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a:off x="0" y="0"/>
                      <a:ext cx="4181475" cy="2428875"/>
                    </a:xfrm>
                    <a:prstGeom prst="rect">
                      <a:avLst/>
                    </a:prstGeom>
                    <a:noFill/>
                    <a:ln>
                      <a:noFill/>
                    </a:ln>
                  </pic:spPr>
                </pic:pic>
              </a:graphicData>
            </a:graphic>
          </wp:inline>
        </w:drawing>
      </w:r>
    </w:p>
    <w:p>
      <w:pPr>
        <w:pStyle w:val="23"/>
        <w:tabs>
          <w:tab w:val="left" w:pos="1161"/>
        </w:tabs>
        <w:spacing w:before="159"/>
        <w:ind w:left="0" w:firstLine="0"/>
        <w:rPr>
          <w:lang w:val="en-US"/>
        </w:rPr>
      </w:pPr>
      <w:r>
        <w:rPr>
          <w:rFonts w:hint="eastAsia"/>
          <w:lang w:val="en-US"/>
        </w:rPr>
        <w:t xml:space="preserve">                </w:t>
      </w:r>
      <w:r>
        <w:rPr>
          <w:rFonts w:hint="eastAsia"/>
          <w:b/>
          <w:bCs/>
          <w:lang w:val="en-US"/>
        </w:rPr>
        <w:t xml:space="preserve">4.2.1 </w:t>
      </w:r>
      <w:r>
        <w:rPr>
          <w:b/>
          <w:bCs/>
        </w:rPr>
        <w:t>塑料服装袋生产工艺流程及产污节点见图</w:t>
      </w:r>
    </w:p>
    <w:p>
      <w:pPr>
        <w:pStyle w:val="10"/>
        <w:spacing w:before="8"/>
        <w:rPr>
          <w:b/>
          <w:sz w:val="26"/>
        </w:rPr>
      </w:pPr>
    </w:p>
    <w:p>
      <w:pPr>
        <w:pStyle w:val="23"/>
        <w:tabs>
          <w:tab w:val="left" w:pos="1307"/>
        </w:tabs>
        <w:spacing w:before="1" w:line="364" w:lineRule="auto"/>
        <w:ind w:left="705" w:right="122" w:firstLine="240" w:firstLineChars="100"/>
        <w:rPr>
          <w:sz w:val="24"/>
        </w:rPr>
      </w:pPr>
      <w:r>
        <w:rPr>
          <w:rFonts w:hint="eastAsia"/>
          <w:sz w:val="24"/>
          <w:lang w:val="en-US"/>
        </w:rPr>
        <w:t>（1）</w:t>
      </w:r>
      <w:r>
        <w:rPr>
          <w:sz w:val="24"/>
        </w:rPr>
        <w:t>吹膜：首先将干燥的乙烯</w:t>
      </w:r>
      <w:r>
        <w:rPr>
          <w:rFonts w:ascii="Times New Roman" w:eastAsia="Times New Roman"/>
          <w:sz w:val="24"/>
        </w:rPr>
        <w:t>-</w:t>
      </w:r>
      <w:r>
        <w:rPr>
          <w:sz w:val="24"/>
        </w:rPr>
        <w:t>醋酸乙烯共聚物（</w:t>
      </w:r>
      <w:r>
        <w:rPr>
          <w:rFonts w:ascii="Times New Roman" w:eastAsia="Times New Roman"/>
          <w:sz w:val="24"/>
        </w:rPr>
        <w:t xml:space="preserve">EVA </w:t>
      </w:r>
      <w:r>
        <w:rPr>
          <w:sz w:val="24"/>
        </w:rPr>
        <w:t>颗粒物）</w:t>
      </w:r>
      <w:r>
        <w:rPr>
          <w:spacing w:val="-2"/>
          <w:sz w:val="24"/>
        </w:rPr>
        <w:t xml:space="preserve">加入吹膜机下料斗中， </w:t>
      </w:r>
      <w:r>
        <w:rPr>
          <w:sz w:val="24"/>
        </w:rPr>
        <w:t>乙烯</w:t>
      </w:r>
      <w:r>
        <w:rPr>
          <w:rFonts w:ascii="Times New Roman" w:eastAsia="Times New Roman"/>
          <w:sz w:val="24"/>
        </w:rPr>
        <w:t>-</w:t>
      </w:r>
      <w:r>
        <w:rPr>
          <w:sz w:val="24"/>
        </w:rPr>
        <w:t>醋酸乙烯共聚物（</w:t>
      </w:r>
      <w:r>
        <w:rPr>
          <w:rFonts w:ascii="Times New Roman" w:eastAsia="Times New Roman"/>
          <w:sz w:val="24"/>
        </w:rPr>
        <w:t>EVA</w:t>
      </w:r>
      <w:r>
        <w:rPr>
          <w:rFonts w:ascii="Times New Roman" w:eastAsia="Times New Roman"/>
          <w:spacing w:val="4"/>
          <w:sz w:val="24"/>
        </w:rPr>
        <w:t xml:space="preserve"> </w:t>
      </w:r>
      <w:r>
        <w:rPr>
          <w:sz w:val="24"/>
        </w:rPr>
        <w:t>颗粒物）通过电加热熔融挤出，经过流延辊，定型辊，定型为</w:t>
      </w:r>
      <w:r>
        <w:rPr>
          <w:spacing w:val="-8"/>
          <w:sz w:val="24"/>
        </w:rPr>
        <w:t>薄膜，再经过电晕处理，电子冲击后，使表面产生微凹密集孔穴，使塑料表面粗化增大表面活性。最后经过冷却风机制冷的冷却辊快速冷却。</w:t>
      </w:r>
    </w:p>
    <w:p>
      <w:pPr>
        <w:pStyle w:val="23"/>
        <w:tabs>
          <w:tab w:val="left" w:pos="1311"/>
        </w:tabs>
        <w:spacing w:before="2" w:line="364" w:lineRule="auto"/>
        <w:ind w:left="705" w:right="225" w:firstLine="240" w:firstLineChars="100"/>
        <w:rPr>
          <w:sz w:val="24"/>
        </w:rPr>
      </w:pPr>
      <w:r>
        <w:rPr>
          <w:rFonts w:hint="eastAsia"/>
          <w:sz w:val="24"/>
        </w:rPr>
        <w:t>（</w:t>
      </w:r>
      <w:r>
        <w:rPr>
          <w:rFonts w:hint="eastAsia"/>
          <w:sz w:val="24"/>
          <w:lang w:val="en-US"/>
        </w:rPr>
        <w:t>2</w:t>
      </w:r>
      <w:r>
        <w:rPr>
          <w:rFonts w:hint="eastAsia"/>
          <w:sz w:val="24"/>
        </w:rPr>
        <w:t>）</w:t>
      </w:r>
      <w:r>
        <w:rPr>
          <w:sz w:val="24"/>
        </w:rPr>
        <w:t>凹版印刷：凹版印刷工艺流程如下：印前准备</w:t>
      </w:r>
      <w:r>
        <w:rPr>
          <w:rFonts w:ascii="Times New Roman" w:hAnsi="Times New Roman" w:eastAsia="Times New Roman"/>
          <w:sz w:val="24"/>
        </w:rPr>
        <w:t>→</w:t>
      </w:r>
      <w:r>
        <w:rPr>
          <w:sz w:val="24"/>
        </w:rPr>
        <w:t>上版</w:t>
      </w:r>
      <w:r>
        <w:rPr>
          <w:rFonts w:ascii="Times New Roman" w:hAnsi="Times New Roman" w:eastAsia="Times New Roman"/>
          <w:sz w:val="24"/>
        </w:rPr>
        <w:t>→</w:t>
      </w:r>
      <w:r>
        <w:rPr>
          <w:sz w:val="24"/>
        </w:rPr>
        <w:t>调整规矩</w:t>
      </w:r>
      <w:r>
        <w:rPr>
          <w:rFonts w:ascii="Times New Roman" w:hAnsi="Times New Roman" w:eastAsia="Times New Roman"/>
          <w:sz w:val="24"/>
        </w:rPr>
        <w:t>→</w:t>
      </w:r>
      <w:r>
        <w:rPr>
          <w:sz w:val="24"/>
        </w:rPr>
        <w:t>正式印刷</w:t>
      </w:r>
      <w:r>
        <w:rPr>
          <w:rFonts w:ascii="Times New Roman" w:hAnsi="Times New Roman" w:eastAsia="Times New Roman"/>
          <w:sz w:val="24"/>
        </w:rPr>
        <w:t>→</w:t>
      </w:r>
      <w:r>
        <w:rPr>
          <w:sz w:val="24"/>
        </w:rPr>
        <w:t>印后处理。</w:t>
      </w:r>
    </w:p>
    <w:p>
      <w:pPr>
        <w:pStyle w:val="10"/>
        <w:spacing w:before="1" w:line="364" w:lineRule="auto"/>
        <w:ind w:left="225" w:right="100" w:firstLine="480"/>
        <w:jc w:val="both"/>
      </w:pPr>
      <w:r>
        <w:rPr>
          <w:spacing w:val="-8"/>
        </w:rPr>
        <w:t>印前准备：准备塑料薄膜、水性油墨、刮墨刀、印版等，还要对印刷机进行润滑。塑料薄膜，是凹版印刷主要的承印物。常用的塑料薄膜有乙烯</w:t>
      </w:r>
      <w:r>
        <w:rPr>
          <w:rFonts w:ascii="Times New Roman" w:hAnsi="Times New Roman" w:eastAsia="Times New Roman"/>
          <w:spacing w:val="-8"/>
        </w:rPr>
        <w:t>-</w:t>
      </w:r>
      <w:r>
        <w:rPr>
          <w:spacing w:val="-8"/>
        </w:rPr>
        <w:t>醋酸乙烯共聚物（</w:t>
      </w:r>
      <w:r>
        <w:rPr>
          <w:rFonts w:ascii="Times New Roman" w:hAnsi="Times New Roman" w:eastAsia="Times New Roman"/>
          <w:spacing w:val="-8"/>
        </w:rPr>
        <w:t xml:space="preserve">EVA </w:t>
      </w:r>
      <w:r>
        <w:t>颗粒物） 等。因为塑料薄膜表面光滑、粘附油墨的性能差，所以，在印刷前要对薄膜表面进行处理。</w:t>
      </w:r>
      <w:r>
        <w:rPr>
          <w:spacing w:val="-6"/>
        </w:rPr>
        <w:t>一般采用电晕处理，该方法是将塑料薄膜在两个电极中穿过，利用高频振荡脉冲迫使空气电离产生放电现象形成电晕，游离的氧原子与氧分子结合</w:t>
      </w:r>
      <w:r>
        <w:rPr>
          <w:rFonts w:ascii="Times New Roman" w:hAnsi="Times New Roman" w:eastAsia="Times New Roman"/>
          <w:spacing w:val="-6"/>
        </w:rPr>
        <w:t>+</w:t>
      </w:r>
      <w:r>
        <w:rPr>
          <w:spacing w:val="-6"/>
        </w:rPr>
        <w:t>生成臭氧，使薄膜表面形成一些强性集团和肉眼看不见的</w:t>
      </w:r>
      <w:r>
        <w:rPr>
          <w:rFonts w:ascii="Times New Roman" w:hAnsi="Times New Roman" w:eastAsia="Times New Roman"/>
          <w:spacing w:val="-6"/>
        </w:rPr>
        <w:t>“</w:t>
      </w:r>
      <w:r>
        <w:rPr>
          <w:spacing w:val="-6"/>
        </w:rPr>
        <w:t>毛刺</w:t>
      </w:r>
      <w:r>
        <w:rPr>
          <w:rFonts w:ascii="Times New Roman" w:hAnsi="Times New Roman" w:eastAsia="Times New Roman"/>
          <w:spacing w:val="-10"/>
        </w:rPr>
        <w:t>”</w:t>
      </w:r>
      <w:r>
        <w:rPr>
          <w:spacing w:val="-4"/>
        </w:rPr>
        <w:t>，这样便提高了薄膜的表面张力和粗糙度，有利于油墨和粘合</w:t>
      </w:r>
      <w:r>
        <w:rPr>
          <w:spacing w:val="-10"/>
        </w:rPr>
        <w:t>剂的附着。凹版印刷，采用水性塑料油墨，粘度低，流动性好，附着力强。凹版印刷机最主</w:t>
      </w:r>
      <w:r>
        <w:rPr>
          <w:spacing w:val="-13"/>
        </w:rPr>
        <w:t>要的特点是使用刮墨刀，刮除印版空白部分的油墨。印版是印刷的基础，直接关系到印刷质</w:t>
      </w:r>
      <w:r>
        <w:rPr>
          <w:spacing w:val="-15"/>
        </w:rPr>
        <w:t xml:space="preserve">量，上版前需对印版进行复核。检查网点是否整齐、完整，镀铬后的印版是否有脱铬的现象， </w:t>
      </w:r>
      <w:r>
        <w:t>文字印版，要求线条完整无缺，不能断笔少道。印版经详细检查后，才可安装在印刷机上。</w:t>
      </w:r>
    </w:p>
    <w:p>
      <w:pPr>
        <w:pStyle w:val="10"/>
        <w:spacing w:before="6" w:line="364" w:lineRule="auto"/>
        <w:ind w:left="225" w:right="223" w:firstLine="480"/>
      </w:pPr>
      <w:r>
        <w:rPr>
          <w:spacing w:val="-10"/>
        </w:rPr>
        <w:t>上版：上版操作中，要特别注意保护好版面不被碰伤，要把叼口处的规矩及推拉规矩对</w:t>
      </w:r>
      <w:r>
        <w:t>准，还要把印版滚筒紧固在印刷机上，防止正式印刷时印版滚筒的松动。</w:t>
      </w:r>
    </w:p>
    <w:p>
      <w:pPr>
        <w:pStyle w:val="10"/>
        <w:spacing w:before="1" w:line="364" w:lineRule="auto"/>
        <w:ind w:left="225" w:right="223" w:firstLine="480"/>
        <w:jc w:val="both"/>
      </w:pPr>
      <w:r>
        <w:rPr>
          <w:spacing w:val="-9"/>
        </w:rPr>
        <w:t>调整规矩：印刷前的准备工作完成之后，再仔细校准印版，检查给纸、输纸、收纸、推</w:t>
      </w:r>
      <w:r>
        <w:rPr>
          <w:spacing w:val="-8"/>
        </w:rPr>
        <w:t>拉规矩的情况，并作适当调整，校正压力，调整好油墨供给量，调整好刮墨刀。刮墨刀的调</w:t>
      </w:r>
      <w:r>
        <w:rPr>
          <w:spacing w:val="-9"/>
        </w:rPr>
        <w:t>整，主要是调整刮墨刀对印版的距离以及刮墨刀的角度，使刮墨刀在版面上的压力均匀又不</w:t>
      </w:r>
      <w:r>
        <w:t>损伤印版。</w:t>
      </w:r>
    </w:p>
    <w:p>
      <w:pPr>
        <w:pStyle w:val="10"/>
        <w:spacing w:before="3" w:line="364" w:lineRule="auto"/>
        <w:ind w:left="225" w:right="103" w:firstLine="480"/>
      </w:pPr>
      <w:r>
        <w:rPr>
          <w:spacing w:val="-7"/>
        </w:rPr>
        <w:t>正式印刷：在正式印刷的过程中，要经常柚样检查，网点是否完整，套印是否准确，墨</w:t>
      </w:r>
      <w:r>
        <w:rPr>
          <w:spacing w:val="-10"/>
        </w:rPr>
        <w:t>色是否鲜艳，油墨的粘度及干燥是否和印刷速度相匹配，是否因为刮墨刀刮不均匀，印张上</w:t>
      </w:r>
      <w:r>
        <w:rPr>
          <w:spacing w:val="-16"/>
        </w:rPr>
        <w:t>出现道子、刀线、破刀口等。凹版印刷的工作场地，要有良好的通风设备，以排除有害</w:t>
      </w:r>
      <w:r>
        <w:rPr>
          <w:rFonts w:hint="eastAsia"/>
          <w:spacing w:val="-16"/>
        </w:rPr>
        <w:t>液态</w:t>
      </w:r>
      <w:r>
        <w:rPr>
          <w:spacing w:val="-16"/>
        </w:rPr>
        <w:t>。</w:t>
      </w:r>
      <w:r>
        <w:t>印刷机上的电器要有防爆装置，经常检查维修，以免着火。</w:t>
      </w:r>
    </w:p>
    <w:p>
      <w:pPr>
        <w:pStyle w:val="10"/>
        <w:spacing w:before="2" w:line="364" w:lineRule="auto"/>
        <w:ind w:left="225" w:right="154" w:firstLine="480"/>
      </w:pPr>
      <w:r>
        <w:t>本项目印刷工序制版和洗版工序均采用乙醇进行清洗，清洗后的乙醇就可以直接混入油墨中使用。</w:t>
      </w:r>
    </w:p>
    <w:p>
      <w:pPr>
        <w:pStyle w:val="10"/>
        <w:spacing w:before="133" w:line="364" w:lineRule="auto"/>
        <w:ind w:right="103" w:firstLine="720" w:firstLineChars="300"/>
      </w:pPr>
      <w:r>
        <w:t>封切制袋：封切其实就是进行粘合、裁切的过程。在塑料薄膜前进方向的两排电</w:t>
      </w:r>
      <w:r>
        <w:rPr>
          <w:spacing w:val="-4"/>
        </w:rPr>
        <w:t>热金属热封板上放印刷好的塑料薄膜，一排横放，一排纵放，然后从两个方向分别进行封口</w:t>
      </w:r>
      <w:r>
        <w:rPr>
          <w:spacing w:val="-15"/>
        </w:rPr>
        <w:t xml:space="preserve">工作，将已经印刷好的塑料薄膜粘合并用热封刀裁切形成三面封口的一段，其封口的原理为， </w:t>
      </w:r>
      <w:r>
        <w:rPr>
          <w:spacing w:val="-14"/>
        </w:rPr>
        <w:t>通电加热催生金属温度，当温度达到塑料薄膜的热合温度，就能让塑料薄膜边缘处粘结起来。</w:t>
      </w:r>
      <w:r>
        <w:t>然后热切直接将背心袋提手烫压好。</w:t>
      </w:r>
    </w:p>
    <w:p>
      <w:pPr>
        <w:pStyle w:val="10"/>
        <w:spacing w:before="133" w:line="364" w:lineRule="auto"/>
        <w:ind w:right="103" w:firstLine="1124" w:firstLineChars="400"/>
        <w:rPr>
          <w:b/>
          <w:bCs/>
          <w:sz w:val="28"/>
          <w:szCs w:val="28"/>
          <w:lang w:val="en-US"/>
        </w:rPr>
      </w:pPr>
    </w:p>
    <w:p>
      <w:pPr>
        <w:pStyle w:val="10"/>
        <w:spacing w:before="133" w:line="364" w:lineRule="auto"/>
        <w:ind w:right="103"/>
        <w:rPr>
          <w:b/>
          <w:bCs/>
          <w:sz w:val="28"/>
          <w:szCs w:val="28"/>
        </w:rPr>
      </w:pPr>
      <w:r>
        <w:rPr>
          <w:b/>
          <w:bCs/>
          <w:sz w:val="28"/>
          <w:szCs w:val="28"/>
        </w:rPr>
        <w:t>塑料雨衣生产工艺流程及产污节点见图</w:t>
      </w:r>
    </w:p>
    <w:p>
      <w:pPr>
        <w:pStyle w:val="10"/>
        <w:spacing w:before="133" w:line="364" w:lineRule="auto"/>
        <w:ind w:right="103" w:firstLine="720" w:firstLineChars="300"/>
      </w:pPr>
      <w:r>
        <w:rPr>
          <w:lang w:val="en-US" w:bidi="ar-SA"/>
        </w:rPr>
        <w:drawing>
          <wp:inline distT="0" distB="0" distL="114300" distR="114300">
            <wp:extent cx="5286375" cy="1381125"/>
            <wp:effectExtent l="0" t="0" r="9525"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4"/>
                    <a:stretch>
                      <a:fillRect/>
                    </a:stretch>
                  </pic:blipFill>
                  <pic:spPr>
                    <a:xfrm>
                      <a:off x="0" y="0"/>
                      <a:ext cx="5286375" cy="1381125"/>
                    </a:xfrm>
                    <a:prstGeom prst="rect">
                      <a:avLst/>
                    </a:prstGeom>
                    <a:noFill/>
                    <a:ln>
                      <a:noFill/>
                    </a:ln>
                  </pic:spPr>
                </pic:pic>
              </a:graphicData>
            </a:graphic>
          </wp:inline>
        </w:drawing>
      </w:r>
    </w:p>
    <w:p>
      <w:pPr>
        <w:pStyle w:val="10"/>
        <w:spacing w:before="133" w:line="364" w:lineRule="auto"/>
        <w:ind w:right="103"/>
        <w:rPr>
          <w:b/>
          <w:bCs/>
          <w:sz w:val="21"/>
          <w:szCs w:val="21"/>
        </w:rPr>
      </w:pPr>
      <w:r>
        <w:rPr>
          <w:rFonts w:hint="eastAsia"/>
          <w:lang w:val="en-US"/>
        </w:rPr>
        <w:t xml:space="preserve">                     4.2.2</w:t>
      </w:r>
      <w:r>
        <w:rPr>
          <w:b/>
          <w:bCs/>
          <w:sz w:val="21"/>
          <w:szCs w:val="21"/>
        </w:rPr>
        <w:t>塑料雨衣生产工艺流程及产污节点见图</w:t>
      </w:r>
    </w:p>
    <w:p>
      <w:pPr>
        <w:pStyle w:val="10"/>
        <w:spacing w:before="133" w:line="364" w:lineRule="auto"/>
        <w:ind w:right="103" w:firstLine="720" w:firstLineChars="300"/>
        <w:rPr>
          <w:lang w:val="en-US"/>
        </w:rPr>
      </w:pPr>
    </w:p>
    <w:p>
      <w:pPr>
        <w:pStyle w:val="23"/>
        <w:tabs>
          <w:tab w:val="left" w:pos="1311"/>
        </w:tabs>
        <w:spacing w:before="1"/>
        <w:ind w:left="0" w:firstLine="0"/>
        <w:rPr>
          <w:sz w:val="24"/>
          <w:lang w:val="en-US"/>
        </w:rPr>
      </w:pPr>
    </w:p>
    <w:p>
      <w:pPr>
        <w:pStyle w:val="10"/>
        <w:spacing w:before="161" w:line="364" w:lineRule="auto"/>
        <w:ind w:left="225" w:right="103" w:firstLine="480"/>
      </w:pPr>
      <w:r>
        <w:rPr>
          <w:rFonts w:hint="eastAsia"/>
          <w:lang w:val="en-US"/>
        </w:rPr>
        <w:t xml:space="preserve">  </w:t>
      </w:r>
      <w:r>
        <w:t>热熔吹膜：首先将干燥的乙烯</w:t>
      </w:r>
      <w:r>
        <w:rPr>
          <w:rFonts w:ascii="Times New Roman" w:hAnsi="Times New Roman" w:eastAsia="Times New Roman"/>
        </w:rPr>
        <w:t>-</w:t>
      </w:r>
      <w:r>
        <w:t>醋酸乙烯共聚物（</w:t>
      </w:r>
      <w:r>
        <w:rPr>
          <w:rFonts w:ascii="Times New Roman" w:hAnsi="Times New Roman" w:eastAsia="Times New Roman"/>
        </w:rPr>
        <w:t xml:space="preserve">EVA </w:t>
      </w:r>
      <w:r>
        <w:t>颗粒物）加入吹膜机下料斗中， 乙烯</w:t>
      </w:r>
      <w:r>
        <w:rPr>
          <w:rFonts w:ascii="Times New Roman" w:hAnsi="Times New Roman" w:eastAsia="Times New Roman"/>
        </w:rPr>
        <w:t>-</w:t>
      </w:r>
      <w:r>
        <w:t>醋酸乙烯共聚物（</w:t>
      </w:r>
      <w:r>
        <w:rPr>
          <w:rFonts w:ascii="Times New Roman" w:hAnsi="Times New Roman" w:eastAsia="Times New Roman"/>
        </w:rPr>
        <w:t xml:space="preserve">EVA </w:t>
      </w:r>
      <w:r>
        <w:t>颗粒物）通过电加热熔融挤出，经过流延辊，定型辊，定型为</w:t>
      </w:r>
      <w:r>
        <w:rPr>
          <w:spacing w:val="-8"/>
        </w:rPr>
        <w:t>薄膜，再经过电晕处理，电子冲击后，使表面产生微凹密集孔穴，使塑料表面粗化增大表面</w:t>
      </w:r>
      <w:r>
        <w:rPr>
          <w:spacing w:val="-16"/>
        </w:rPr>
        <w:t xml:space="preserve">活性。最后经过冷却风机制冷的冷却辊快速冷却。建设项目吹膜机采用电加热，在此过程中， </w:t>
      </w:r>
      <w:r>
        <w:rPr>
          <w:spacing w:val="-6"/>
        </w:rPr>
        <w:t xml:space="preserve">温度最高可达到 </w:t>
      </w:r>
      <w:r>
        <w:rPr>
          <w:rFonts w:ascii="Times New Roman" w:hAnsi="Times New Roman" w:eastAsia="Times New Roman"/>
        </w:rPr>
        <w:t>150~180</w:t>
      </w:r>
      <w:r>
        <w:t>℃；在此温度下，乙烯</w:t>
      </w:r>
      <w:r>
        <w:rPr>
          <w:rFonts w:ascii="Times New Roman" w:hAnsi="Times New Roman" w:eastAsia="Times New Roman"/>
        </w:rPr>
        <w:t>-</w:t>
      </w:r>
      <w:r>
        <w:t>醋酸乙烯共聚物（</w:t>
      </w:r>
      <w:r>
        <w:rPr>
          <w:rFonts w:ascii="Times New Roman" w:hAnsi="Times New Roman" w:eastAsia="Times New Roman"/>
        </w:rPr>
        <w:t xml:space="preserve">EVA </w:t>
      </w:r>
      <w:r>
        <w:t xml:space="preserve">颗粒物）会熔融， </w:t>
      </w:r>
      <w:r>
        <w:rPr>
          <w:spacing w:val="-1"/>
        </w:rPr>
        <w:t>但未达到其分解温度</w:t>
      </w:r>
      <w:r>
        <w:rPr>
          <w:rFonts w:ascii="Times New Roman" w:hAnsi="Times New Roman" w:eastAsia="Times New Roman"/>
        </w:rPr>
        <w:t>(&gt;320</w:t>
      </w:r>
      <w:r>
        <w:t>℃</w:t>
      </w:r>
      <w:r>
        <w:rPr>
          <w:rFonts w:ascii="Times New Roman" w:hAnsi="Times New Roman" w:eastAsia="Times New Roman"/>
        </w:rPr>
        <w:t>)</w:t>
      </w:r>
      <w:r>
        <w:t>；不会分解。该工序会产生废气，废气主要为非甲烷总烃；噪声，噪声主要由设备产生。</w:t>
      </w:r>
    </w:p>
    <w:p>
      <w:pPr>
        <w:pStyle w:val="10"/>
        <w:spacing w:before="4" w:line="364" w:lineRule="auto"/>
        <w:ind w:left="225" w:right="223" w:firstLine="480"/>
        <w:jc w:val="both"/>
      </w:pPr>
      <w:r>
        <w:rPr>
          <w:spacing w:val="-9"/>
        </w:rPr>
        <w:t>收卷：在吹膜区域，将吹塑成型的薄膜通过收卷牵引；在牵引过程中自然冷却；最终收</w:t>
      </w:r>
      <w:r>
        <w:rPr>
          <w:spacing w:val="-4"/>
        </w:rPr>
        <w:t>卷成型</w:t>
      </w:r>
      <w:r>
        <w:rPr>
          <w:spacing w:val="-3"/>
        </w:rPr>
        <w:t>（</w:t>
      </w:r>
      <w:r>
        <w:t>半成品</w:t>
      </w:r>
      <w:r>
        <w:rPr>
          <w:spacing w:val="-11"/>
        </w:rPr>
        <w:t>）</w:t>
      </w:r>
      <w:r>
        <w:rPr>
          <w:spacing w:val="-7"/>
        </w:rPr>
        <w:t>，该工序会产生极少量废气，废气主要为非甲烷总烃；噪声，噪声主要由</w:t>
      </w:r>
      <w:r>
        <w:t>设备产生。项目加强通风，无组织排放对环境影响较小。</w:t>
      </w:r>
    </w:p>
    <w:p>
      <w:pPr>
        <w:pStyle w:val="10"/>
        <w:spacing w:before="2" w:line="364" w:lineRule="auto"/>
        <w:ind w:left="225" w:right="223" w:firstLine="480"/>
        <w:jc w:val="both"/>
      </w:pPr>
      <w:r>
        <w:rPr>
          <w:spacing w:val="-9"/>
        </w:rPr>
        <w:t>剪切制衣：在剪切制衣区域，将合格半成品裁剪成客户所需要的大小型号，将完成的塑</w:t>
      </w:r>
      <w:r>
        <w:t>料膜送入制衣机进行热刀封切</w:t>
      </w:r>
      <w:r>
        <w:rPr>
          <w:rFonts w:ascii="Times New Roman" w:hAnsi="Times New Roman" w:eastAsia="Times New Roman"/>
        </w:rPr>
        <w:t>(</w:t>
      </w:r>
      <w:r>
        <w:rPr>
          <w:spacing w:val="-10"/>
        </w:rPr>
        <w:t xml:space="preserve">电加热，温度为 </w:t>
      </w:r>
      <w:r>
        <w:rPr>
          <w:rFonts w:ascii="Times New Roman" w:hAnsi="Times New Roman" w:eastAsia="Times New Roman"/>
          <w:spacing w:val="-3"/>
        </w:rPr>
        <w:t>80</w:t>
      </w:r>
      <w:r>
        <w:rPr>
          <w:spacing w:val="-3"/>
        </w:rPr>
        <w:t>℃</w:t>
      </w:r>
      <w:r>
        <w:rPr>
          <w:rFonts w:ascii="Times New Roman" w:hAnsi="Times New Roman" w:eastAsia="Times New Roman"/>
          <w:spacing w:val="-3"/>
        </w:rPr>
        <w:t>)</w:t>
      </w:r>
      <w:r>
        <w:rPr>
          <w:spacing w:val="-6"/>
        </w:rPr>
        <w:t>；完成封边、封底，形成塑料雨衣。该</w:t>
      </w:r>
      <w:r>
        <w:rPr>
          <w:spacing w:val="-7"/>
        </w:rPr>
        <w:t>工序会产生极少量废气，废气主要为非甲烷总烃；噪声，噪声主要由设备产生，固废，少量</w:t>
      </w:r>
      <w:r>
        <w:t>裁剪产生的废边脚料。项目加强通风，无组织排放对环境影响较小。</w:t>
      </w:r>
    </w:p>
    <w:p>
      <w:pPr>
        <w:pStyle w:val="10"/>
        <w:spacing w:before="2" w:line="364" w:lineRule="auto"/>
        <w:ind w:left="225" w:right="223" w:firstLine="480"/>
      </w:pPr>
      <w:r>
        <w:rPr>
          <w:spacing w:val="-9"/>
        </w:rPr>
        <w:t>检测、包装：检测产品是否合格，合格的产品经包装好后入库，项目产生的不合格产品</w:t>
      </w:r>
      <w:r>
        <w:t>暂存于一般工业固废间，后期定期交由回收单位回收处理。</w:t>
      </w:r>
    </w:p>
    <w:p>
      <w:pPr>
        <w:pStyle w:val="23"/>
        <w:tabs>
          <w:tab w:val="left" w:pos="1311"/>
        </w:tabs>
        <w:spacing w:before="1"/>
        <w:ind w:left="0" w:firstLine="0"/>
        <w:rPr>
          <w:sz w:val="24"/>
          <w:lang w:val="en-US"/>
        </w:rPr>
        <w:sectPr>
          <w:pgSz w:w="11910" w:h="16840"/>
          <w:pgMar w:top="1380" w:right="960" w:bottom="1240" w:left="960" w:header="873" w:footer="1049" w:gutter="0"/>
          <w:cols w:space="720" w:num="1"/>
        </w:sectPr>
      </w:pPr>
    </w:p>
    <w:p>
      <w:pPr>
        <w:pStyle w:val="9"/>
        <w:spacing w:before="198"/>
        <w:ind w:right="1"/>
      </w:pPr>
    </w:p>
    <w:p>
      <w:pPr>
        <w:pStyle w:val="10"/>
        <w:spacing w:before="9"/>
        <w:rPr>
          <w:b/>
        </w:rPr>
      </w:pPr>
    </w:p>
    <w:p>
      <w:pPr>
        <w:pStyle w:val="6"/>
        <w:numPr>
          <w:ilvl w:val="1"/>
          <w:numId w:val="6"/>
        </w:numPr>
        <w:tabs>
          <w:tab w:val="left" w:pos="766"/>
        </w:tabs>
      </w:pPr>
      <w:bookmarkStart w:id="59" w:name="2.5_污染物的产生及排放"/>
      <w:bookmarkEnd w:id="59"/>
      <w:bookmarkStart w:id="60" w:name="_bookmark29"/>
      <w:bookmarkEnd w:id="60"/>
      <w:r>
        <w:t>污染物的产生及排放</w:t>
      </w:r>
    </w:p>
    <w:p>
      <w:pPr>
        <w:pStyle w:val="10"/>
        <w:spacing w:before="7"/>
        <w:rPr>
          <w:b/>
          <w:sz w:val="27"/>
        </w:rPr>
      </w:pPr>
    </w:p>
    <w:p>
      <w:pPr>
        <w:pStyle w:val="10"/>
        <w:ind w:left="720"/>
      </w:pPr>
      <w:r>
        <w:t>主要的污染物包括大气污染物、水污染物、固体废弃物以及噪声，产生及排放情况见表</w:t>
      </w:r>
    </w:p>
    <w:p>
      <w:pPr>
        <w:pStyle w:val="10"/>
        <w:spacing w:before="160"/>
        <w:ind w:left="240"/>
      </w:pPr>
      <w:r>
        <w:rPr>
          <w:rFonts w:ascii="Times New Roman" w:eastAsia="Times New Roman"/>
        </w:rPr>
        <w:t>2.5-1</w:t>
      </w:r>
      <w:r>
        <w:t>。</w:t>
      </w:r>
    </w:p>
    <w:p>
      <w:pPr>
        <w:pStyle w:val="9"/>
        <w:spacing w:before="158"/>
        <w:ind w:left="12"/>
      </w:pPr>
      <w:r>
        <w:t xml:space="preserve">表 </w:t>
      </w:r>
      <w:r>
        <w:rPr>
          <w:rFonts w:ascii="Times New Roman" w:eastAsia="Times New Roman"/>
        </w:rPr>
        <w:t xml:space="preserve">2.5-1  </w:t>
      </w:r>
      <w:r>
        <w:t>污染物的产生及排放情况一览表</w:t>
      </w:r>
    </w:p>
    <w:tbl>
      <w:tblPr>
        <w:tblStyle w:val="15"/>
        <w:tblW w:w="0" w:type="auto"/>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6"/>
        <w:gridCol w:w="1621"/>
        <w:gridCol w:w="3420"/>
        <w:gridCol w:w="39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6" w:type="dxa"/>
            <w:tcBorders>
              <w:left w:val="nil"/>
            </w:tcBorders>
          </w:tcPr>
          <w:p>
            <w:pPr>
              <w:pStyle w:val="24"/>
              <w:spacing w:before="35"/>
              <w:ind w:right="106"/>
              <w:jc w:val="right"/>
              <w:rPr>
                <w:sz w:val="21"/>
              </w:rPr>
            </w:pPr>
            <w:r>
              <w:rPr>
                <w:w w:val="95"/>
                <w:sz w:val="21"/>
              </w:rPr>
              <w:t>类别</w:t>
            </w:r>
          </w:p>
        </w:tc>
        <w:tc>
          <w:tcPr>
            <w:tcW w:w="1621" w:type="dxa"/>
          </w:tcPr>
          <w:p>
            <w:pPr>
              <w:pStyle w:val="24"/>
              <w:spacing w:before="35"/>
              <w:ind w:left="53" w:right="44"/>
              <w:jc w:val="center"/>
              <w:rPr>
                <w:sz w:val="21"/>
              </w:rPr>
            </w:pPr>
            <w:r>
              <w:rPr>
                <w:sz w:val="21"/>
              </w:rPr>
              <w:t>污染点</w:t>
            </w:r>
          </w:p>
        </w:tc>
        <w:tc>
          <w:tcPr>
            <w:tcW w:w="3420" w:type="dxa"/>
          </w:tcPr>
          <w:p>
            <w:pPr>
              <w:pStyle w:val="24"/>
              <w:spacing w:before="35"/>
              <w:ind w:left="636" w:right="631"/>
              <w:jc w:val="center"/>
              <w:rPr>
                <w:sz w:val="21"/>
              </w:rPr>
            </w:pPr>
            <w:r>
              <w:rPr>
                <w:sz w:val="21"/>
              </w:rPr>
              <w:t>主要污染物</w:t>
            </w:r>
          </w:p>
        </w:tc>
        <w:tc>
          <w:tcPr>
            <w:tcW w:w="3951" w:type="dxa"/>
            <w:tcBorders>
              <w:right w:val="nil"/>
            </w:tcBorders>
          </w:tcPr>
          <w:p>
            <w:pPr>
              <w:pStyle w:val="24"/>
              <w:spacing w:before="35"/>
              <w:ind w:left="108" w:right="108"/>
              <w:jc w:val="center"/>
              <w:rPr>
                <w:sz w:val="21"/>
              </w:rPr>
            </w:pPr>
            <w:r>
              <w:rPr>
                <w:sz w:val="21"/>
              </w:rPr>
              <w:t>处理方式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656" w:type="dxa"/>
            <w:tcBorders>
              <w:left w:val="nil"/>
            </w:tcBorders>
          </w:tcPr>
          <w:p>
            <w:pPr>
              <w:pStyle w:val="24"/>
              <w:spacing w:before="8"/>
              <w:rPr>
                <w:rFonts w:ascii="Times New Roman"/>
                <w:sz w:val="23"/>
              </w:rPr>
            </w:pPr>
          </w:p>
          <w:p>
            <w:pPr>
              <w:pStyle w:val="24"/>
              <w:ind w:right="106"/>
              <w:jc w:val="right"/>
              <w:rPr>
                <w:sz w:val="21"/>
              </w:rPr>
            </w:pPr>
            <w:r>
              <w:rPr>
                <w:w w:val="95"/>
                <w:sz w:val="21"/>
              </w:rPr>
              <w:t>废水</w:t>
            </w:r>
          </w:p>
        </w:tc>
        <w:tc>
          <w:tcPr>
            <w:tcW w:w="1621" w:type="dxa"/>
          </w:tcPr>
          <w:p>
            <w:pPr>
              <w:pStyle w:val="24"/>
              <w:spacing w:before="8"/>
              <w:rPr>
                <w:rFonts w:ascii="Times New Roman"/>
                <w:sz w:val="23"/>
              </w:rPr>
            </w:pPr>
          </w:p>
          <w:p>
            <w:pPr>
              <w:pStyle w:val="24"/>
              <w:ind w:left="53" w:right="47"/>
              <w:jc w:val="center"/>
              <w:rPr>
                <w:sz w:val="21"/>
              </w:rPr>
            </w:pPr>
            <w:r>
              <w:rPr>
                <w:sz w:val="21"/>
              </w:rPr>
              <w:t>生活废水</w:t>
            </w:r>
          </w:p>
        </w:tc>
        <w:tc>
          <w:tcPr>
            <w:tcW w:w="3420" w:type="dxa"/>
          </w:tcPr>
          <w:p>
            <w:pPr>
              <w:pStyle w:val="24"/>
              <w:spacing w:before="117" w:line="278" w:lineRule="auto"/>
              <w:ind w:left="1289" w:right="21" w:hanging="1260"/>
              <w:rPr>
                <w:sz w:val="21"/>
              </w:rPr>
            </w:pPr>
            <w:r>
              <w:rPr>
                <w:sz w:val="21"/>
              </w:rPr>
              <w:t>化学需氧量、氨氮、悬浮物、五日生化需氧量</w:t>
            </w:r>
          </w:p>
        </w:tc>
        <w:tc>
          <w:tcPr>
            <w:tcW w:w="3951" w:type="dxa"/>
            <w:tcBorders>
              <w:right w:val="nil"/>
            </w:tcBorders>
          </w:tcPr>
          <w:p>
            <w:pPr>
              <w:pStyle w:val="24"/>
              <w:spacing w:before="1" w:line="270" w:lineRule="atLeast"/>
              <w:ind w:left="108" w:right="108"/>
              <w:jc w:val="center"/>
              <w:rPr>
                <w:sz w:val="21"/>
              </w:rPr>
            </w:pPr>
            <w:r>
              <w:rPr>
                <w:spacing w:val="-5"/>
                <w:w w:val="95"/>
                <w:sz w:val="21"/>
              </w:rPr>
              <w:t>在污水管网接通之后，生活污水进入厂区</w:t>
            </w:r>
            <w:r>
              <w:rPr>
                <w:spacing w:val="-9"/>
                <w:w w:val="95"/>
                <w:sz w:val="21"/>
              </w:rPr>
              <w:t>化粪池处理后，经市政污水管网后进入赤</w:t>
            </w:r>
            <w:r>
              <w:rPr>
                <w:spacing w:val="-9"/>
                <w:sz w:val="21"/>
              </w:rPr>
              <w:t>壁市污水处理厂深度处理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656" w:type="dxa"/>
            <w:tcBorders>
              <w:left w:val="nil"/>
            </w:tcBorders>
          </w:tcPr>
          <w:p>
            <w:pPr>
              <w:pStyle w:val="24"/>
              <w:rPr>
                <w:rFonts w:ascii="Times New Roman"/>
                <w:sz w:val="20"/>
              </w:rPr>
            </w:pPr>
          </w:p>
          <w:p>
            <w:pPr>
              <w:pStyle w:val="24"/>
              <w:spacing w:before="7"/>
              <w:rPr>
                <w:rFonts w:ascii="Times New Roman"/>
              </w:rPr>
            </w:pPr>
          </w:p>
          <w:p>
            <w:pPr>
              <w:pStyle w:val="24"/>
              <w:ind w:right="106"/>
              <w:jc w:val="right"/>
              <w:rPr>
                <w:sz w:val="21"/>
              </w:rPr>
            </w:pPr>
            <w:r>
              <w:rPr>
                <w:w w:val="95"/>
                <w:sz w:val="21"/>
              </w:rPr>
              <w:t>废气</w:t>
            </w:r>
          </w:p>
        </w:tc>
        <w:tc>
          <w:tcPr>
            <w:tcW w:w="1621" w:type="dxa"/>
          </w:tcPr>
          <w:p>
            <w:pPr>
              <w:pStyle w:val="24"/>
              <w:rPr>
                <w:rFonts w:ascii="Times New Roman"/>
                <w:sz w:val="20"/>
              </w:rPr>
            </w:pPr>
          </w:p>
          <w:p>
            <w:pPr>
              <w:pStyle w:val="24"/>
              <w:spacing w:before="4"/>
              <w:rPr>
                <w:rFonts w:ascii="Times New Roman"/>
              </w:rPr>
            </w:pPr>
          </w:p>
          <w:p>
            <w:pPr>
              <w:pStyle w:val="24"/>
              <w:spacing w:before="1"/>
              <w:ind w:left="53" w:right="47"/>
              <w:jc w:val="center"/>
              <w:rPr>
                <w:sz w:val="21"/>
              </w:rPr>
            </w:pPr>
            <w:r>
              <w:rPr>
                <w:sz w:val="21"/>
              </w:rPr>
              <w:t>吹膜、印刷</w:t>
            </w:r>
          </w:p>
        </w:tc>
        <w:tc>
          <w:tcPr>
            <w:tcW w:w="3420" w:type="dxa"/>
          </w:tcPr>
          <w:p>
            <w:pPr>
              <w:pStyle w:val="24"/>
              <w:rPr>
                <w:rFonts w:ascii="Times New Roman"/>
                <w:sz w:val="20"/>
              </w:rPr>
            </w:pPr>
          </w:p>
          <w:p>
            <w:pPr>
              <w:pStyle w:val="24"/>
              <w:spacing w:before="4"/>
              <w:rPr>
                <w:rFonts w:ascii="Times New Roman"/>
              </w:rPr>
            </w:pPr>
          </w:p>
          <w:p>
            <w:pPr>
              <w:pStyle w:val="24"/>
              <w:spacing w:before="1"/>
              <w:ind w:left="636" w:right="631"/>
              <w:jc w:val="center"/>
              <w:rPr>
                <w:sz w:val="21"/>
              </w:rPr>
            </w:pPr>
            <w:r>
              <w:rPr>
                <w:sz w:val="21"/>
              </w:rPr>
              <w:t>非甲烷总烃</w:t>
            </w:r>
          </w:p>
        </w:tc>
        <w:tc>
          <w:tcPr>
            <w:tcW w:w="3951" w:type="dxa"/>
            <w:tcBorders>
              <w:right w:val="nil"/>
            </w:tcBorders>
          </w:tcPr>
          <w:p>
            <w:pPr>
              <w:pStyle w:val="24"/>
              <w:spacing w:before="22" w:line="278" w:lineRule="auto"/>
              <w:ind w:left="108" w:right="108"/>
              <w:jc w:val="center"/>
              <w:rPr>
                <w:sz w:val="21"/>
              </w:rPr>
            </w:pPr>
            <w:r>
              <w:rPr>
                <w:spacing w:val="-5"/>
                <w:w w:val="95"/>
                <w:sz w:val="21"/>
              </w:rPr>
              <w:t>吹膜设置封闭式处置，热切工序和印刷废</w:t>
            </w:r>
            <w:r>
              <w:rPr>
                <w:spacing w:val="-5"/>
                <w:sz w:val="21"/>
              </w:rPr>
              <w:t>气产生的非甲烷总烃经集气罩收集后分</w:t>
            </w:r>
            <w:r>
              <w:rPr>
                <w:spacing w:val="-18"/>
                <w:sz w:val="21"/>
              </w:rPr>
              <w:t xml:space="preserve">别进入 </w:t>
            </w:r>
            <w:r>
              <w:rPr>
                <w:rFonts w:ascii="Times New Roman" w:eastAsia="Times New Roman"/>
                <w:sz w:val="21"/>
              </w:rPr>
              <w:t>UV</w:t>
            </w:r>
            <w:r>
              <w:rPr>
                <w:rFonts w:ascii="Times New Roman" w:eastAsia="Times New Roman"/>
                <w:spacing w:val="-6"/>
                <w:sz w:val="21"/>
              </w:rPr>
              <w:t xml:space="preserve"> </w:t>
            </w:r>
            <w:r>
              <w:rPr>
                <w:sz w:val="21"/>
              </w:rPr>
              <w:t>光解装置</w:t>
            </w:r>
            <w:r>
              <w:rPr>
                <w:rFonts w:ascii="Times New Roman" w:eastAsia="Times New Roman"/>
                <w:sz w:val="21"/>
              </w:rPr>
              <w:t>+</w:t>
            </w:r>
            <w:r>
              <w:rPr>
                <w:sz w:val="21"/>
              </w:rPr>
              <w:t>活性炭吸附装置处</w:t>
            </w:r>
          </w:p>
          <w:p>
            <w:pPr>
              <w:pStyle w:val="24"/>
              <w:spacing w:line="269" w:lineRule="exact"/>
              <w:ind w:left="108" w:right="108"/>
              <w:jc w:val="center"/>
              <w:rPr>
                <w:sz w:val="21"/>
              </w:rPr>
            </w:pPr>
            <w:r>
              <w:rPr>
                <w:spacing w:val="-12"/>
                <w:sz w:val="21"/>
              </w:rPr>
              <w:t xml:space="preserve">理后通过 </w:t>
            </w:r>
            <w:r>
              <w:rPr>
                <w:rFonts w:ascii="Times New Roman" w:eastAsia="Times New Roman"/>
                <w:sz w:val="21"/>
              </w:rPr>
              <w:t>15m</w:t>
            </w:r>
            <w:r>
              <w:rPr>
                <w:rFonts w:ascii="Times New Roman" w:eastAsia="Times New Roman"/>
                <w:spacing w:val="-6"/>
                <w:sz w:val="21"/>
              </w:rPr>
              <w:t xml:space="preserve"> </w:t>
            </w:r>
            <w:r>
              <w:rPr>
                <w:sz w:val="21"/>
              </w:rPr>
              <w:t>高排气筒（</w:t>
            </w:r>
            <w:r>
              <w:rPr>
                <w:rFonts w:ascii="Times New Roman" w:eastAsia="Times New Roman"/>
                <w:sz w:val="21"/>
              </w:rPr>
              <w:t>P1</w:t>
            </w:r>
            <w:r>
              <w:rPr>
                <w:sz w:val="21"/>
              </w:rPr>
              <w:t>、</w:t>
            </w:r>
            <w:r>
              <w:rPr>
                <w:rFonts w:ascii="Times New Roman" w:eastAsia="Times New Roman"/>
                <w:sz w:val="21"/>
              </w:rPr>
              <w:t>P2</w:t>
            </w:r>
            <w:r>
              <w:rPr>
                <w:sz w:val="21"/>
              </w:rPr>
              <w:t>）排放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656" w:type="dxa"/>
            <w:tcBorders>
              <w:left w:val="nil"/>
            </w:tcBorders>
          </w:tcPr>
          <w:p>
            <w:pPr>
              <w:pStyle w:val="24"/>
              <w:rPr>
                <w:rFonts w:ascii="Times New Roman"/>
                <w:sz w:val="29"/>
              </w:rPr>
            </w:pPr>
          </w:p>
          <w:p>
            <w:pPr>
              <w:pStyle w:val="24"/>
              <w:ind w:right="106"/>
              <w:jc w:val="right"/>
              <w:rPr>
                <w:sz w:val="21"/>
              </w:rPr>
            </w:pPr>
            <w:r>
              <w:rPr>
                <w:w w:val="95"/>
                <w:sz w:val="21"/>
              </w:rPr>
              <w:t>噪声</w:t>
            </w:r>
          </w:p>
        </w:tc>
        <w:tc>
          <w:tcPr>
            <w:tcW w:w="1621" w:type="dxa"/>
          </w:tcPr>
          <w:p>
            <w:pPr>
              <w:pStyle w:val="24"/>
              <w:spacing w:before="178" w:line="278" w:lineRule="auto"/>
              <w:ind w:left="598" w:right="172" w:hanging="420"/>
              <w:rPr>
                <w:sz w:val="21"/>
              </w:rPr>
            </w:pPr>
            <w:r>
              <w:rPr>
                <w:sz w:val="21"/>
              </w:rPr>
              <w:t>设备生产运行噪声</w:t>
            </w:r>
          </w:p>
        </w:tc>
        <w:tc>
          <w:tcPr>
            <w:tcW w:w="3420" w:type="dxa"/>
          </w:tcPr>
          <w:p>
            <w:pPr>
              <w:pStyle w:val="24"/>
              <w:rPr>
                <w:rFonts w:ascii="Times New Roman"/>
                <w:sz w:val="29"/>
              </w:rPr>
            </w:pPr>
          </w:p>
          <w:p>
            <w:pPr>
              <w:pStyle w:val="24"/>
              <w:ind w:left="639" w:right="631"/>
              <w:jc w:val="center"/>
              <w:rPr>
                <w:sz w:val="21"/>
              </w:rPr>
            </w:pPr>
            <w:r>
              <w:rPr>
                <w:sz w:val="21"/>
              </w:rPr>
              <w:t>噪声</w:t>
            </w:r>
          </w:p>
        </w:tc>
        <w:tc>
          <w:tcPr>
            <w:tcW w:w="3951" w:type="dxa"/>
            <w:tcBorders>
              <w:right w:val="nil"/>
            </w:tcBorders>
          </w:tcPr>
          <w:p>
            <w:pPr>
              <w:pStyle w:val="24"/>
              <w:spacing w:before="21"/>
              <w:ind w:left="108"/>
              <w:rPr>
                <w:sz w:val="21"/>
              </w:rPr>
            </w:pPr>
            <w:r>
              <w:rPr>
                <w:sz w:val="21"/>
              </w:rPr>
              <w:t>采购低噪声设备，对噪声设备采用隔声、</w:t>
            </w:r>
          </w:p>
          <w:p>
            <w:pPr>
              <w:pStyle w:val="24"/>
              <w:spacing w:before="3" w:line="310" w:lineRule="atLeast"/>
              <w:ind w:left="1238" w:right="33" w:hanging="1131"/>
              <w:rPr>
                <w:sz w:val="21"/>
              </w:rPr>
            </w:pPr>
            <w:r>
              <w:rPr>
                <w:w w:val="95"/>
                <w:sz w:val="21"/>
              </w:rPr>
              <w:t>消声、减振等降噪措施；进出车辆安装减</w:t>
            </w:r>
            <w:r>
              <w:rPr>
                <w:sz w:val="21"/>
              </w:rPr>
              <w:t>速带和警示标志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6" w:type="dxa"/>
            <w:vMerge w:val="restart"/>
            <w:tcBorders>
              <w:left w:val="nil"/>
            </w:tcBorders>
          </w:tcPr>
          <w:p>
            <w:pPr>
              <w:pStyle w:val="24"/>
              <w:rPr>
                <w:rFonts w:ascii="Times New Roman"/>
                <w:sz w:val="20"/>
              </w:rPr>
            </w:pPr>
          </w:p>
          <w:p>
            <w:pPr>
              <w:pStyle w:val="24"/>
              <w:rPr>
                <w:rFonts w:ascii="Times New Roman"/>
                <w:sz w:val="20"/>
              </w:rPr>
            </w:pPr>
          </w:p>
          <w:p>
            <w:pPr>
              <w:pStyle w:val="24"/>
              <w:spacing w:before="5"/>
              <w:rPr>
                <w:rFonts w:ascii="Times New Roman"/>
                <w:sz w:val="25"/>
              </w:rPr>
            </w:pPr>
          </w:p>
          <w:p>
            <w:pPr>
              <w:pStyle w:val="24"/>
              <w:spacing w:before="1" w:line="278" w:lineRule="auto"/>
              <w:ind w:left="124" w:right="106"/>
              <w:rPr>
                <w:sz w:val="21"/>
              </w:rPr>
            </w:pPr>
            <w:r>
              <w:rPr>
                <w:sz w:val="21"/>
              </w:rPr>
              <w:t>固体废物</w:t>
            </w:r>
          </w:p>
        </w:tc>
        <w:tc>
          <w:tcPr>
            <w:tcW w:w="1621" w:type="dxa"/>
          </w:tcPr>
          <w:p>
            <w:pPr>
              <w:pStyle w:val="24"/>
              <w:spacing w:before="35"/>
              <w:ind w:left="53" w:right="47"/>
              <w:jc w:val="center"/>
              <w:rPr>
                <w:sz w:val="21"/>
              </w:rPr>
            </w:pPr>
            <w:r>
              <w:rPr>
                <w:sz w:val="21"/>
              </w:rPr>
              <w:t>员工办公、生活</w:t>
            </w:r>
          </w:p>
        </w:tc>
        <w:tc>
          <w:tcPr>
            <w:tcW w:w="3420" w:type="dxa"/>
          </w:tcPr>
          <w:p>
            <w:pPr>
              <w:pStyle w:val="24"/>
              <w:spacing w:before="35"/>
              <w:ind w:left="636" w:right="631"/>
              <w:jc w:val="center"/>
              <w:rPr>
                <w:sz w:val="21"/>
              </w:rPr>
            </w:pPr>
            <w:r>
              <w:rPr>
                <w:sz w:val="21"/>
              </w:rPr>
              <w:t>生活垃圾</w:t>
            </w:r>
          </w:p>
        </w:tc>
        <w:tc>
          <w:tcPr>
            <w:tcW w:w="3951" w:type="dxa"/>
            <w:vMerge w:val="restart"/>
            <w:tcBorders>
              <w:right w:val="nil"/>
            </w:tcBorders>
          </w:tcPr>
          <w:p>
            <w:pPr>
              <w:pStyle w:val="24"/>
              <w:spacing w:before="1"/>
              <w:rPr>
                <w:rFonts w:ascii="Times New Roman"/>
                <w:sz w:val="18"/>
              </w:rPr>
            </w:pPr>
          </w:p>
          <w:p>
            <w:pPr>
              <w:pStyle w:val="24"/>
              <w:ind w:left="1132"/>
              <w:rPr>
                <w:sz w:val="21"/>
              </w:rPr>
            </w:pPr>
            <w:r>
              <w:rPr>
                <w:sz w:val="21"/>
              </w:rPr>
              <w:t>环卫部门统一清运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6" w:type="dxa"/>
            <w:vMerge w:val="continue"/>
            <w:tcBorders>
              <w:top w:val="nil"/>
              <w:left w:val="nil"/>
            </w:tcBorders>
          </w:tcPr>
          <w:p>
            <w:pPr>
              <w:rPr>
                <w:sz w:val="2"/>
                <w:szCs w:val="2"/>
              </w:rPr>
            </w:pPr>
          </w:p>
        </w:tc>
        <w:tc>
          <w:tcPr>
            <w:tcW w:w="1621" w:type="dxa"/>
          </w:tcPr>
          <w:p>
            <w:pPr>
              <w:pStyle w:val="24"/>
              <w:spacing w:before="34"/>
              <w:ind w:left="53" w:right="47"/>
              <w:jc w:val="center"/>
              <w:rPr>
                <w:sz w:val="21"/>
              </w:rPr>
            </w:pPr>
            <w:r>
              <w:rPr>
                <w:sz w:val="21"/>
              </w:rPr>
              <w:t>设备维修</w:t>
            </w:r>
          </w:p>
        </w:tc>
        <w:tc>
          <w:tcPr>
            <w:tcW w:w="3420" w:type="dxa"/>
          </w:tcPr>
          <w:p>
            <w:pPr>
              <w:pStyle w:val="24"/>
              <w:spacing w:before="34"/>
              <w:ind w:left="639" w:right="631"/>
              <w:jc w:val="center"/>
              <w:rPr>
                <w:sz w:val="21"/>
              </w:rPr>
            </w:pPr>
            <w:r>
              <w:rPr>
                <w:sz w:val="21"/>
              </w:rPr>
              <w:t>废弃含油抹布</w:t>
            </w:r>
          </w:p>
        </w:tc>
        <w:tc>
          <w:tcPr>
            <w:tcW w:w="3951" w:type="dxa"/>
            <w:vMerge w:val="continue"/>
            <w:tcBorders>
              <w:top w:val="nil"/>
              <w:right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656" w:type="dxa"/>
            <w:vMerge w:val="continue"/>
            <w:tcBorders>
              <w:top w:val="nil"/>
              <w:left w:val="nil"/>
            </w:tcBorders>
          </w:tcPr>
          <w:p>
            <w:pPr>
              <w:rPr>
                <w:sz w:val="2"/>
                <w:szCs w:val="2"/>
              </w:rPr>
            </w:pPr>
          </w:p>
        </w:tc>
        <w:tc>
          <w:tcPr>
            <w:tcW w:w="1621" w:type="dxa"/>
          </w:tcPr>
          <w:p>
            <w:pPr>
              <w:pStyle w:val="24"/>
              <w:spacing w:before="34"/>
              <w:ind w:left="53" w:right="47"/>
              <w:jc w:val="center"/>
              <w:rPr>
                <w:sz w:val="21"/>
              </w:rPr>
            </w:pPr>
            <w:r>
              <w:rPr>
                <w:sz w:val="21"/>
              </w:rPr>
              <w:t>生产过程</w:t>
            </w:r>
          </w:p>
        </w:tc>
        <w:tc>
          <w:tcPr>
            <w:tcW w:w="3420" w:type="dxa"/>
          </w:tcPr>
          <w:p>
            <w:pPr>
              <w:pStyle w:val="24"/>
              <w:spacing w:before="34"/>
              <w:ind w:left="639" w:right="631"/>
              <w:jc w:val="center"/>
              <w:rPr>
                <w:sz w:val="21"/>
              </w:rPr>
            </w:pPr>
            <w:r>
              <w:rPr>
                <w:sz w:val="21"/>
              </w:rPr>
              <w:t>废边角料、不合格产品</w:t>
            </w:r>
          </w:p>
        </w:tc>
        <w:tc>
          <w:tcPr>
            <w:tcW w:w="3951" w:type="dxa"/>
            <w:tcBorders>
              <w:right w:val="nil"/>
            </w:tcBorders>
          </w:tcPr>
          <w:p>
            <w:pPr>
              <w:pStyle w:val="24"/>
              <w:spacing w:before="34"/>
              <w:ind w:left="108" w:right="108"/>
              <w:jc w:val="center"/>
              <w:rPr>
                <w:sz w:val="21"/>
              </w:rPr>
            </w:pPr>
            <w:r>
              <w:rPr>
                <w:sz w:val="21"/>
              </w:rPr>
              <w:t>回收后作为原料综合利用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6" w:type="dxa"/>
            <w:vMerge w:val="continue"/>
            <w:tcBorders>
              <w:top w:val="nil"/>
              <w:left w:val="nil"/>
            </w:tcBorders>
          </w:tcPr>
          <w:p>
            <w:pPr>
              <w:rPr>
                <w:sz w:val="2"/>
                <w:szCs w:val="2"/>
              </w:rPr>
            </w:pPr>
          </w:p>
        </w:tc>
        <w:tc>
          <w:tcPr>
            <w:tcW w:w="1621" w:type="dxa"/>
          </w:tcPr>
          <w:p>
            <w:pPr>
              <w:pStyle w:val="24"/>
              <w:spacing w:before="34"/>
              <w:ind w:left="53" w:right="47"/>
              <w:jc w:val="center"/>
              <w:rPr>
                <w:sz w:val="21"/>
              </w:rPr>
            </w:pPr>
            <w:r>
              <w:rPr>
                <w:sz w:val="21"/>
              </w:rPr>
              <w:t>生产过程</w:t>
            </w:r>
          </w:p>
        </w:tc>
        <w:tc>
          <w:tcPr>
            <w:tcW w:w="3420" w:type="dxa"/>
          </w:tcPr>
          <w:p>
            <w:pPr>
              <w:pStyle w:val="24"/>
              <w:spacing w:before="34"/>
              <w:ind w:left="636" w:right="631"/>
              <w:jc w:val="center"/>
              <w:rPr>
                <w:sz w:val="21"/>
              </w:rPr>
            </w:pPr>
            <w:r>
              <w:rPr>
                <w:sz w:val="21"/>
              </w:rPr>
              <w:t>废包装材料</w:t>
            </w:r>
          </w:p>
        </w:tc>
        <w:tc>
          <w:tcPr>
            <w:tcW w:w="3951" w:type="dxa"/>
            <w:tcBorders>
              <w:right w:val="nil"/>
            </w:tcBorders>
          </w:tcPr>
          <w:p>
            <w:pPr>
              <w:pStyle w:val="24"/>
              <w:spacing w:before="34"/>
              <w:ind w:left="108" w:right="108"/>
              <w:jc w:val="center"/>
              <w:rPr>
                <w:sz w:val="21"/>
              </w:rPr>
            </w:pPr>
            <w:r>
              <w:rPr>
                <w:sz w:val="21"/>
              </w:rPr>
              <w:t>收集后外售给物资回收单位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6" w:type="dxa"/>
            <w:vMerge w:val="continue"/>
            <w:tcBorders>
              <w:top w:val="nil"/>
              <w:left w:val="nil"/>
            </w:tcBorders>
          </w:tcPr>
          <w:p>
            <w:pPr>
              <w:rPr>
                <w:sz w:val="2"/>
                <w:szCs w:val="2"/>
              </w:rPr>
            </w:pPr>
          </w:p>
        </w:tc>
        <w:tc>
          <w:tcPr>
            <w:tcW w:w="1621" w:type="dxa"/>
          </w:tcPr>
          <w:p>
            <w:pPr>
              <w:pStyle w:val="24"/>
              <w:spacing w:before="35"/>
              <w:ind w:left="53" w:right="47"/>
              <w:jc w:val="center"/>
              <w:rPr>
                <w:sz w:val="21"/>
              </w:rPr>
            </w:pPr>
            <w:r>
              <w:rPr>
                <w:sz w:val="21"/>
              </w:rPr>
              <w:t>生产过程</w:t>
            </w:r>
          </w:p>
        </w:tc>
        <w:tc>
          <w:tcPr>
            <w:tcW w:w="3420" w:type="dxa"/>
          </w:tcPr>
          <w:p>
            <w:pPr>
              <w:pStyle w:val="24"/>
              <w:spacing w:before="35"/>
              <w:ind w:left="636" w:right="631"/>
              <w:jc w:val="center"/>
              <w:rPr>
                <w:sz w:val="21"/>
              </w:rPr>
            </w:pPr>
            <w:r>
              <w:rPr>
                <w:sz w:val="21"/>
              </w:rPr>
              <w:t>废油墨桶、废活性炭</w:t>
            </w:r>
          </w:p>
        </w:tc>
        <w:tc>
          <w:tcPr>
            <w:tcW w:w="3951" w:type="dxa"/>
            <w:tcBorders>
              <w:right w:val="nil"/>
            </w:tcBorders>
          </w:tcPr>
          <w:p>
            <w:pPr>
              <w:pStyle w:val="24"/>
              <w:spacing w:before="13" w:line="310" w:lineRule="atLeast"/>
              <w:ind w:left="1867" w:right="33" w:hanging="1760"/>
              <w:rPr>
                <w:sz w:val="21"/>
              </w:rPr>
            </w:pPr>
            <w:r>
              <w:rPr>
                <w:w w:val="95"/>
                <w:sz w:val="21"/>
              </w:rPr>
              <w:t>危废暂存间暂存后，交由有资质的单位处</w:t>
            </w:r>
            <w:r>
              <w:rPr>
                <w:sz w:val="21"/>
              </w:rPr>
              <w:t>理</w:t>
            </w:r>
          </w:p>
        </w:tc>
      </w:tr>
    </w:tbl>
    <w:p>
      <w:pPr>
        <w:pStyle w:val="10"/>
        <w:spacing w:before="7"/>
        <w:rPr>
          <w:b/>
          <w:sz w:val="12"/>
        </w:rPr>
      </w:pPr>
    </w:p>
    <w:p>
      <w:pPr>
        <w:spacing w:before="70"/>
        <w:ind w:right="203"/>
        <w:jc w:val="right"/>
        <w:rPr>
          <w:sz w:val="21"/>
        </w:rPr>
      </w:pPr>
      <w:r>
        <w:rPr>
          <w:w w:val="99"/>
          <w:sz w:val="21"/>
        </w:rPr>
        <w:t>，</w:t>
      </w: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10"/>
        <w:rPr>
          <w:sz w:val="22"/>
        </w:rPr>
      </w:pPr>
    </w:p>
    <w:p>
      <w:pPr>
        <w:pStyle w:val="6"/>
        <w:numPr>
          <w:ilvl w:val="1"/>
          <w:numId w:val="6"/>
        </w:numPr>
        <w:tabs>
          <w:tab w:val="left" w:pos="766"/>
        </w:tabs>
      </w:pPr>
      <w:bookmarkStart w:id="61" w:name="2.6_周边环境概况"/>
      <w:bookmarkEnd w:id="61"/>
      <w:bookmarkStart w:id="62" w:name="_bookmark30"/>
      <w:bookmarkEnd w:id="62"/>
      <w:r>
        <w:t>周边环境概况</w:t>
      </w:r>
    </w:p>
    <w:p>
      <w:pPr>
        <w:pStyle w:val="10"/>
        <w:spacing w:before="10"/>
        <w:rPr>
          <w:b/>
          <w:sz w:val="27"/>
        </w:rPr>
      </w:pPr>
    </w:p>
    <w:p>
      <w:pPr>
        <w:pStyle w:val="23"/>
        <w:numPr>
          <w:ilvl w:val="2"/>
          <w:numId w:val="6"/>
        </w:numPr>
        <w:tabs>
          <w:tab w:val="left" w:pos="941"/>
        </w:tabs>
        <w:ind w:left="940" w:hanging="701"/>
        <w:rPr>
          <w:b/>
          <w:sz w:val="28"/>
        </w:rPr>
      </w:pPr>
      <w:bookmarkStart w:id="63" w:name="_bookmark31"/>
      <w:bookmarkEnd w:id="63"/>
      <w:bookmarkStart w:id="64" w:name="2.6.1_环境空气质量现状"/>
      <w:bookmarkEnd w:id="64"/>
      <w:r>
        <w:rPr>
          <w:b/>
          <w:sz w:val="28"/>
        </w:rPr>
        <w:t>环境空气质量现状</w:t>
      </w:r>
    </w:p>
    <w:p>
      <w:pPr>
        <w:pStyle w:val="10"/>
        <w:spacing w:before="5"/>
        <w:rPr>
          <w:b/>
          <w:sz w:val="26"/>
        </w:rPr>
      </w:pPr>
    </w:p>
    <w:p>
      <w:pPr>
        <w:pStyle w:val="10"/>
        <w:spacing w:before="1" w:line="364" w:lineRule="auto"/>
        <w:ind w:left="240" w:right="237" w:firstLine="480"/>
        <w:jc w:val="both"/>
      </w:pPr>
      <w:r>
        <w:t>根据咸宁市生态环境局发布的《</w:t>
      </w:r>
      <w:r>
        <w:rPr>
          <w:rFonts w:ascii="Times New Roman" w:eastAsia="Times New Roman"/>
        </w:rPr>
        <w:t xml:space="preserve">2020 </w:t>
      </w:r>
      <w:r>
        <w:t>年咸宁市环境质量公报》，</w:t>
      </w:r>
      <w:r>
        <w:rPr>
          <w:rFonts w:ascii="Times New Roman" w:eastAsia="Times New Roman"/>
        </w:rPr>
        <w:t xml:space="preserve">2020 </w:t>
      </w:r>
      <w:r>
        <w:t>年赤壁市城市空气</w:t>
      </w:r>
      <w:r>
        <w:rPr>
          <w:spacing w:val="-4"/>
        </w:rPr>
        <w:t>质量达到《环境空气质量标准》</w:t>
      </w:r>
      <w:r>
        <w:t>（</w:t>
      </w:r>
      <w:r>
        <w:rPr>
          <w:rFonts w:ascii="Times New Roman" w:eastAsia="Times New Roman"/>
        </w:rPr>
        <w:t>GB3095-2012</w:t>
      </w:r>
      <w:r>
        <w:t>）</w:t>
      </w:r>
      <w:r>
        <w:rPr>
          <w:spacing w:val="-2"/>
        </w:rPr>
        <w:t>二级标准。环境空气质量各监测因子单因子</w:t>
      </w:r>
      <w:r>
        <w:rPr>
          <w:spacing w:val="-7"/>
        </w:rPr>
        <w:t xml:space="preserve">指数计算结果见表 </w:t>
      </w:r>
      <w:r>
        <w:rPr>
          <w:rFonts w:ascii="Times New Roman" w:eastAsia="Times New Roman"/>
        </w:rPr>
        <w:t>2.6.1-1</w:t>
      </w:r>
      <w:r>
        <w:t>。</w:t>
      </w:r>
    </w:p>
    <w:p>
      <w:pPr>
        <w:pStyle w:val="9"/>
        <w:spacing w:line="307" w:lineRule="exact"/>
        <w:ind w:left="984"/>
        <w:jc w:val="both"/>
        <w:rPr>
          <w:rFonts w:ascii="Times New Roman" w:hAnsi="Times New Roman" w:eastAsia="Times New Roman"/>
          <w:sz w:val="15"/>
        </w:rPr>
      </w:pPr>
      <w:r>
        <w:t xml:space="preserve">表 </w:t>
      </w:r>
      <w:r>
        <w:rPr>
          <w:rFonts w:ascii="Times New Roman" w:hAnsi="Times New Roman" w:eastAsia="Times New Roman"/>
        </w:rPr>
        <w:t xml:space="preserve">2.6.1-1 </w:t>
      </w:r>
      <w:r>
        <w:t>环境空气质量各监测因子单因子指数计算结果一览表，单位：</w:t>
      </w:r>
      <w:r>
        <w:rPr>
          <w:rFonts w:ascii="Times New Roman" w:hAnsi="Times New Roman" w:eastAsia="Times New Roman"/>
        </w:rPr>
        <w:t>μm/m</w:t>
      </w:r>
      <w:r>
        <w:rPr>
          <w:rFonts w:ascii="Times New Roman" w:hAnsi="Times New Roman" w:eastAsia="Times New Roman"/>
          <w:position w:val="8"/>
          <w:sz w:val="15"/>
        </w:rPr>
        <w:t>3</w:t>
      </w:r>
    </w:p>
    <w:p>
      <w:pPr>
        <w:pStyle w:val="10"/>
        <w:spacing w:before="7"/>
        <w:rPr>
          <w:rFonts w:ascii="Times New Roman"/>
          <w:b/>
          <w:sz w:val="13"/>
        </w:rPr>
      </w:pPr>
    </w:p>
    <w:tbl>
      <w:tblPr>
        <w:tblStyle w:val="15"/>
        <w:tblW w:w="0" w:type="auto"/>
        <w:tblInd w:w="235" w:type="dxa"/>
        <w:tblBorders>
          <w:top w:val="single" w:color="333333" w:sz="12" w:space="0"/>
          <w:left w:val="single" w:color="333333" w:sz="12" w:space="0"/>
          <w:bottom w:val="single" w:color="333333" w:sz="12" w:space="0"/>
          <w:right w:val="single" w:color="333333" w:sz="12" w:space="0"/>
          <w:insideH w:val="single" w:color="333333" w:sz="12" w:space="0"/>
          <w:insideV w:val="single" w:color="333333" w:sz="12" w:space="0"/>
        </w:tblBorders>
        <w:tblLayout w:type="fixed"/>
        <w:tblCellMar>
          <w:top w:w="0" w:type="dxa"/>
          <w:left w:w="0" w:type="dxa"/>
          <w:bottom w:w="0" w:type="dxa"/>
          <w:right w:w="0" w:type="dxa"/>
        </w:tblCellMar>
      </w:tblPr>
      <w:tblGrid>
        <w:gridCol w:w="1172"/>
        <w:gridCol w:w="1390"/>
        <w:gridCol w:w="1392"/>
        <w:gridCol w:w="1394"/>
        <w:gridCol w:w="1392"/>
        <w:gridCol w:w="1392"/>
        <w:gridCol w:w="1610"/>
      </w:tblGrid>
      <w:tr>
        <w:tblPrEx>
          <w:tblBorders>
            <w:top w:val="single" w:color="333333" w:sz="12" w:space="0"/>
            <w:left w:val="single" w:color="333333" w:sz="12" w:space="0"/>
            <w:bottom w:val="single" w:color="333333" w:sz="12" w:space="0"/>
            <w:right w:val="single" w:color="333333" w:sz="12" w:space="0"/>
            <w:insideH w:val="single" w:color="333333" w:sz="12" w:space="0"/>
            <w:insideV w:val="single" w:color="333333" w:sz="12" w:space="0"/>
          </w:tblBorders>
          <w:tblCellMar>
            <w:top w:w="0" w:type="dxa"/>
            <w:left w:w="0" w:type="dxa"/>
            <w:bottom w:w="0" w:type="dxa"/>
            <w:right w:w="0" w:type="dxa"/>
          </w:tblCellMar>
        </w:tblPrEx>
        <w:trPr>
          <w:trHeight w:val="340" w:hRule="atLeast"/>
        </w:trPr>
        <w:tc>
          <w:tcPr>
            <w:tcW w:w="1172" w:type="dxa"/>
            <w:tcBorders>
              <w:left w:val="nil"/>
              <w:bottom w:val="single" w:color="333333" w:sz="6" w:space="0"/>
              <w:right w:val="single" w:color="333333" w:sz="8" w:space="0"/>
            </w:tcBorders>
          </w:tcPr>
          <w:p>
            <w:pPr>
              <w:pStyle w:val="24"/>
              <w:spacing w:before="35"/>
              <w:ind w:left="257" w:right="231"/>
              <w:jc w:val="center"/>
              <w:rPr>
                <w:b/>
                <w:sz w:val="21"/>
              </w:rPr>
            </w:pPr>
            <w:r>
              <w:rPr>
                <w:b/>
                <w:sz w:val="21"/>
              </w:rPr>
              <w:t>地区</w:t>
            </w:r>
          </w:p>
        </w:tc>
        <w:tc>
          <w:tcPr>
            <w:tcW w:w="1390" w:type="dxa"/>
            <w:tcBorders>
              <w:left w:val="single" w:color="333333" w:sz="8" w:space="0"/>
              <w:bottom w:val="single" w:color="333333" w:sz="6" w:space="0"/>
              <w:right w:val="single" w:color="333333" w:sz="8" w:space="0"/>
            </w:tcBorders>
          </w:tcPr>
          <w:p>
            <w:pPr>
              <w:pStyle w:val="24"/>
              <w:spacing w:before="45"/>
              <w:ind w:left="457" w:right="409"/>
              <w:jc w:val="center"/>
              <w:rPr>
                <w:rFonts w:ascii="Times New Roman"/>
                <w:b/>
                <w:sz w:val="21"/>
              </w:rPr>
            </w:pPr>
            <w:r>
              <w:rPr>
                <w:rFonts w:ascii="Times New Roman"/>
                <w:b/>
                <w:position w:val="2"/>
                <w:sz w:val="21"/>
              </w:rPr>
              <w:t>PM</w:t>
            </w:r>
            <w:r>
              <w:rPr>
                <w:rFonts w:ascii="Times New Roman"/>
                <w:b/>
                <w:position w:val="2"/>
                <w:sz w:val="21"/>
                <w:vertAlign w:val="subscript"/>
              </w:rPr>
              <w:t>10</w:t>
            </w:r>
          </w:p>
        </w:tc>
        <w:tc>
          <w:tcPr>
            <w:tcW w:w="1392" w:type="dxa"/>
            <w:tcBorders>
              <w:left w:val="single" w:color="333333" w:sz="8" w:space="0"/>
              <w:bottom w:val="single" w:color="333333" w:sz="6" w:space="0"/>
              <w:right w:val="single" w:color="333333" w:sz="8" w:space="0"/>
            </w:tcBorders>
          </w:tcPr>
          <w:p>
            <w:pPr>
              <w:pStyle w:val="24"/>
              <w:spacing w:before="45"/>
              <w:ind w:left="432" w:right="385"/>
              <w:jc w:val="center"/>
              <w:rPr>
                <w:rFonts w:ascii="Times New Roman"/>
                <w:b/>
                <w:sz w:val="13"/>
              </w:rPr>
            </w:pPr>
            <w:r>
              <w:rPr>
                <w:rFonts w:ascii="Times New Roman"/>
                <w:b/>
                <w:w w:val="105"/>
                <w:position w:val="2"/>
                <w:sz w:val="21"/>
              </w:rPr>
              <w:t>PM</w:t>
            </w:r>
            <w:r>
              <w:rPr>
                <w:rFonts w:ascii="Times New Roman"/>
                <w:b/>
                <w:w w:val="105"/>
                <w:sz w:val="13"/>
              </w:rPr>
              <w:t>2.5</w:t>
            </w:r>
          </w:p>
        </w:tc>
        <w:tc>
          <w:tcPr>
            <w:tcW w:w="1394" w:type="dxa"/>
            <w:tcBorders>
              <w:left w:val="single" w:color="333333" w:sz="8" w:space="0"/>
              <w:bottom w:val="single" w:color="333333" w:sz="6" w:space="0"/>
              <w:right w:val="single" w:color="333333" w:sz="8" w:space="0"/>
            </w:tcBorders>
          </w:tcPr>
          <w:p>
            <w:pPr>
              <w:pStyle w:val="24"/>
              <w:spacing w:before="45"/>
              <w:ind w:left="516" w:right="468"/>
              <w:jc w:val="center"/>
              <w:rPr>
                <w:rFonts w:ascii="Times New Roman"/>
                <w:b/>
                <w:sz w:val="21"/>
              </w:rPr>
            </w:pPr>
            <w:r>
              <w:rPr>
                <w:rFonts w:ascii="Times New Roman"/>
                <w:b/>
                <w:position w:val="2"/>
                <w:sz w:val="21"/>
              </w:rPr>
              <w:t>SO</w:t>
            </w:r>
            <w:r>
              <w:rPr>
                <w:rFonts w:ascii="Times New Roman"/>
                <w:b/>
                <w:position w:val="2"/>
                <w:sz w:val="21"/>
                <w:vertAlign w:val="subscript"/>
              </w:rPr>
              <w:t>2</w:t>
            </w:r>
          </w:p>
        </w:tc>
        <w:tc>
          <w:tcPr>
            <w:tcW w:w="1392" w:type="dxa"/>
            <w:tcBorders>
              <w:left w:val="single" w:color="333333" w:sz="8" w:space="0"/>
              <w:bottom w:val="single" w:color="333333" w:sz="6" w:space="0"/>
              <w:right w:val="single" w:color="333333" w:sz="8" w:space="0"/>
            </w:tcBorders>
          </w:tcPr>
          <w:p>
            <w:pPr>
              <w:pStyle w:val="24"/>
              <w:spacing w:before="45"/>
              <w:ind w:left="432" w:right="384"/>
              <w:jc w:val="center"/>
              <w:rPr>
                <w:rFonts w:ascii="Times New Roman"/>
                <w:b/>
                <w:sz w:val="21"/>
              </w:rPr>
            </w:pPr>
            <w:r>
              <w:rPr>
                <w:rFonts w:ascii="Times New Roman"/>
                <w:b/>
                <w:position w:val="2"/>
                <w:sz w:val="21"/>
              </w:rPr>
              <w:t>NO</w:t>
            </w:r>
            <w:r>
              <w:rPr>
                <w:rFonts w:ascii="Times New Roman"/>
                <w:b/>
                <w:position w:val="2"/>
                <w:sz w:val="21"/>
                <w:vertAlign w:val="subscript"/>
              </w:rPr>
              <w:t>2</w:t>
            </w:r>
          </w:p>
        </w:tc>
        <w:tc>
          <w:tcPr>
            <w:tcW w:w="1392" w:type="dxa"/>
            <w:tcBorders>
              <w:left w:val="single" w:color="333333" w:sz="8" w:space="0"/>
              <w:bottom w:val="single" w:color="333333" w:sz="6" w:space="0"/>
              <w:right w:val="single" w:color="333333" w:sz="8" w:space="0"/>
            </w:tcBorders>
          </w:tcPr>
          <w:p>
            <w:pPr>
              <w:pStyle w:val="24"/>
              <w:spacing w:before="49"/>
              <w:ind w:right="505"/>
              <w:jc w:val="right"/>
              <w:rPr>
                <w:rFonts w:ascii="Times New Roman"/>
                <w:b/>
                <w:sz w:val="21"/>
              </w:rPr>
            </w:pPr>
            <w:r>
              <w:rPr>
                <w:rFonts w:ascii="Times New Roman"/>
                <w:b/>
                <w:w w:val="95"/>
                <w:sz w:val="21"/>
              </w:rPr>
              <w:t>CO</w:t>
            </w:r>
          </w:p>
        </w:tc>
        <w:tc>
          <w:tcPr>
            <w:tcW w:w="1610" w:type="dxa"/>
            <w:tcBorders>
              <w:left w:val="single" w:color="333333" w:sz="8" w:space="0"/>
              <w:bottom w:val="single" w:color="333333" w:sz="6" w:space="0"/>
              <w:right w:val="nil"/>
            </w:tcBorders>
          </w:tcPr>
          <w:p>
            <w:pPr>
              <w:pStyle w:val="24"/>
              <w:spacing w:before="45"/>
              <w:ind w:right="618"/>
              <w:jc w:val="right"/>
              <w:rPr>
                <w:rFonts w:ascii="Times New Roman"/>
                <w:b/>
                <w:sz w:val="21"/>
              </w:rPr>
            </w:pPr>
            <w:r>
              <w:rPr>
                <w:rFonts w:ascii="Times New Roman"/>
                <w:b/>
                <w:position w:val="2"/>
                <w:sz w:val="21"/>
              </w:rPr>
              <w:t>O</w:t>
            </w:r>
            <w:r>
              <w:rPr>
                <w:rFonts w:ascii="Times New Roman"/>
                <w:b/>
                <w:position w:val="2"/>
                <w:sz w:val="21"/>
                <w:vertAlign w:val="subscript"/>
              </w:rPr>
              <w:t>3</w:t>
            </w:r>
          </w:p>
        </w:tc>
      </w:tr>
      <w:tr>
        <w:tblPrEx>
          <w:tblBorders>
            <w:top w:val="single" w:color="333333" w:sz="12" w:space="0"/>
            <w:left w:val="single" w:color="333333" w:sz="12" w:space="0"/>
            <w:bottom w:val="single" w:color="333333" w:sz="12" w:space="0"/>
            <w:right w:val="single" w:color="333333" w:sz="12" w:space="0"/>
            <w:insideH w:val="single" w:color="333333" w:sz="12" w:space="0"/>
            <w:insideV w:val="single" w:color="333333" w:sz="12" w:space="0"/>
          </w:tblBorders>
          <w:tblCellMar>
            <w:top w:w="0" w:type="dxa"/>
            <w:left w:w="0" w:type="dxa"/>
            <w:bottom w:w="0" w:type="dxa"/>
            <w:right w:w="0" w:type="dxa"/>
          </w:tblCellMar>
        </w:tblPrEx>
        <w:trPr>
          <w:trHeight w:val="339" w:hRule="atLeast"/>
        </w:trPr>
        <w:tc>
          <w:tcPr>
            <w:tcW w:w="1172" w:type="dxa"/>
            <w:tcBorders>
              <w:top w:val="single" w:color="333333" w:sz="6" w:space="0"/>
              <w:left w:val="nil"/>
              <w:right w:val="single" w:color="333333" w:sz="8" w:space="0"/>
            </w:tcBorders>
          </w:tcPr>
          <w:p>
            <w:pPr>
              <w:pStyle w:val="24"/>
              <w:spacing w:before="35"/>
              <w:ind w:left="260" w:right="231"/>
              <w:jc w:val="center"/>
              <w:rPr>
                <w:sz w:val="21"/>
              </w:rPr>
            </w:pPr>
            <w:r>
              <w:rPr>
                <w:sz w:val="21"/>
              </w:rPr>
              <w:t>赤壁市</w:t>
            </w:r>
          </w:p>
        </w:tc>
        <w:tc>
          <w:tcPr>
            <w:tcW w:w="1390" w:type="dxa"/>
            <w:tcBorders>
              <w:top w:val="single" w:color="333333" w:sz="6" w:space="0"/>
              <w:left w:val="single" w:color="333333" w:sz="8" w:space="0"/>
              <w:right w:val="single" w:color="333333" w:sz="8" w:space="0"/>
            </w:tcBorders>
          </w:tcPr>
          <w:p>
            <w:pPr>
              <w:pStyle w:val="24"/>
              <w:spacing w:before="49"/>
              <w:ind w:left="457" w:right="333"/>
              <w:jc w:val="center"/>
              <w:rPr>
                <w:rFonts w:ascii="Times New Roman"/>
                <w:sz w:val="21"/>
              </w:rPr>
            </w:pPr>
            <w:r>
              <w:rPr>
                <w:rFonts w:ascii="Times New Roman"/>
                <w:sz w:val="21"/>
              </w:rPr>
              <w:t>45</w:t>
            </w:r>
          </w:p>
        </w:tc>
        <w:tc>
          <w:tcPr>
            <w:tcW w:w="1392" w:type="dxa"/>
            <w:tcBorders>
              <w:top w:val="single" w:color="333333" w:sz="6" w:space="0"/>
              <w:left w:val="single" w:color="333333" w:sz="8" w:space="0"/>
              <w:right w:val="single" w:color="333333" w:sz="8" w:space="0"/>
            </w:tcBorders>
          </w:tcPr>
          <w:p>
            <w:pPr>
              <w:pStyle w:val="24"/>
              <w:spacing w:before="49"/>
              <w:ind w:left="432" w:right="306"/>
              <w:jc w:val="center"/>
              <w:rPr>
                <w:rFonts w:ascii="Times New Roman"/>
                <w:sz w:val="21"/>
              </w:rPr>
            </w:pPr>
            <w:r>
              <w:rPr>
                <w:rFonts w:ascii="Times New Roman"/>
                <w:sz w:val="21"/>
              </w:rPr>
              <w:t>25</w:t>
            </w:r>
          </w:p>
        </w:tc>
        <w:tc>
          <w:tcPr>
            <w:tcW w:w="1394" w:type="dxa"/>
            <w:tcBorders>
              <w:top w:val="single" w:color="333333" w:sz="6" w:space="0"/>
              <w:left w:val="single" w:color="333333" w:sz="8" w:space="0"/>
              <w:right w:val="single" w:color="333333" w:sz="8" w:space="0"/>
            </w:tcBorders>
          </w:tcPr>
          <w:p>
            <w:pPr>
              <w:pStyle w:val="24"/>
              <w:spacing w:before="49"/>
              <w:ind w:left="124"/>
              <w:jc w:val="center"/>
              <w:rPr>
                <w:rFonts w:ascii="Times New Roman"/>
                <w:sz w:val="21"/>
              </w:rPr>
            </w:pPr>
            <w:r>
              <w:rPr>
                <w:rFonts w:ascii="Times New Roman"/>
                <w:w w:val="99"/>
                <w:sz w:val="21"/>
              </w:rPr>
              <w:t>5</w:t>
            </w:r>
          </w:p>
        </w:tc>
        <w:tc>
          <w:tcPr>
            <w:tcW w:w="1392" w:type="dxa"/>
            <w:tcBorders>
              <w:top w:val="single" w:color="333333" w:sz="6" w:space="0"/>
              <w:left w:val="single" w:color="333333" w:sz="8" w:space="0"/>
              <w:right w:val="single" w:color="333333" w:sz="8" w:space="0"/>
            </w:tcBorders>
          </w:tcPr>
          <w:p>
            <w:pPr>
              <w:pStyle w:val="24"/>
              <w:spacing w:before="49"/>
              <w:ind w:left="432" w:right="305"/>
              <w:jc w:val="center"/>
              <w:rPr>
                <w:rFonts w:ascii="Times New Roman"/>
                <w:sz w:val="21"/>
              </w:rPr>
            </w:pPr>
            <w:r>
              <w:rPr>
                <w:rFonts w:ascii="Times New Roman"/>
                <w:sz w:val="21"/>
              </w:rPr>
              <w:t>16</w:t>
            </w:r>
          </w:p>
        </w:tc>
        <w:tc>
          <w:tcPr>
            <w:tcW w:w="1392" w:type="dxa"/>
            <w:tcBorders>
              <w:top w:val="single" w:color="333333" w:sz="6" w:space="0"/>
              <w:left w:val="single" w:color="333333" w:sz="8" w:space="0"/>
              <w:right w:val="single" w:color="333333" w:sz="8" w:space="0"/>
            </w:tcBorders>
          </w:tcPr>
          <w:p>
            <w:pPr>
              <w:pStyle w:val="24"/>
              <w:spacing w:before="49"/>
              <w:ind w:right="488"/>
              <w:jc w:val="right"/>
              <w:rPr>
                <w:rFonts w:ascii="Times New Roman"/>
                <w:sz w:val="21"/>
              </w:rPr>
            </w:pPr>
            <w:r>
              <w:rPr>
                <w:rFonts w:ascii="Times New Roman"/>
                <w:w w:val="95"/>
                <w:sz w:val="21"/>
              </w:rPr>
              <w:t>1.4</w:t>
            </w:r>
          </w:p>
        </w:tc>
        <w:tc>
          <w:tcPr>
            <w:tcW w:w="1610" w:type="dxa"/>
            <w:tcBorders>
              <w:top w:val="single" w:color="333333" w:sz="6" w:space="0"/>
              <w:left w:val="single" w:color="333333" w:sz="8" w:space="0"/>
              <w:right w:val="nil"/>
            </w:tcBorders>
          </w:tcPr>
          <w:p>
            <w:pPr>
              <w:pStyle w:val="24"/>
              <w:spacing w:before="49"/>
              <w:ind w:right="577"/>
              <w:jc w:val="right"/>
              <w:rPr>
                <w:rFonts w:ascii="Times New Roman"/>
                <w:sz w:val="21"/>
              </w:rPr>
            </w:pPr>
            <w:r>
              <w:rPr>
                <w:rFonts w:ascii="Times New Roman"/>
                <w:sz w:val="21"/>
              </w:rPr>
              <w:t>145</w:t>
            </w:r>
          </w:p>
        </w:tc>
      </w:tr>
    </w:tbl>
    <w:p>
      <w:pPr>
        <w:pStyle w:val="23"/>
        <w:numPr>
          <w:ilvl w:val="2"/>
          <w:numId w:val="6"/>
        </w:numPr>
        <w:tabs>
          <w:tab w:val="left" w:pos="941"/>
        </w:tabs>
        <w:spacing w:before="160"/>
        <w:ind w:left="940" w:hanging="701"/>
        <w:rPr>
          <w:b/>
          <w:sz w:val="28"/>
        </w:rPr>
      </w:pPr>
      <w:bookmarkStart w:id="65" w:name="_bookmark32"/>
      <w:bookmarkEnd w:id="65"/>
      <w:bookmarkStart w:id="66" w:name="2.6.2_地表水环境现状"/>
      <w:bookmarkEnd w:id="66"/>
      <w:r>
        <w:rPr>
          <w:b/>
          <w:sz w:val="28"/>
        </w:rPr>
        <w:t>地表水环境现状</w:t>
      </w:r>
    </w:p>
    <w:p>
      <w:pPr>
        <w:pStyle w:val="10"/>
        <w:spacing w:before="7"/>
        <w:rPr>
          <w:b/>
          <w:sz w:val="26"/>
        </w:rPr>
      </w:pPr>
    </w:p>
    <w:p>
      <w:pPr>
        <w:pStyle w:val="10"/>
        <w:spacing w:before="1" w:line="364" w:lineRule="auto"/>
        <w:ind w:left="240" w:right="117" w:firstLine="480"/>
      </w:pPr>
      <w:r>
        <w:rPr>
          <w:spacing w:val="-1"/>
        </w:rPr>
        <w:t>公司所在区域地表水体为</w:t>
      </w:r>
      <w:r>
        <w:rPr>
          <w:rFonts w:hint="eastAsia"/>
          <w:spacing w:val="-1"/>
        </w:rPr>
        <w:t>陆水河</w:t>
      </w:r>
      <w:r>
        <w:rPr>
          <w:spacing w:val="-8"/>
        </w:rPr>
        <w:t>，</w:t>
      </w:r>
      <w:r>
        <w:t>为</w:t>
      </w:r>
      <w:r>
        <w:rPr>
          <w:rFonts w:hint="eastAsia" w:ascii="宋体" w:hAnsi="宋体" w:eastAsia="宋体"/>
        </w:rPr>
        <w:t>Ⅲ</w:t>
      </w:r>
      <w:r>
        <w:rPr>
          <w:spacing w:val="-6"/>
        </w:rPr>
        <w:t>类水体，应执行《地</w:t>
      </w:r>
      <w:r>
        <w:rPr>
          <w:spacing w:val="-11"/>
        </w:rPr>
        <w:t>表水环境质量标准》</w:t>
      </w:r>
      <w:r>
        <w:rPr>
          <w:spacing w:val="-3"/>
        </w:rPr>
        <w:t>（</w:t>
      </w:r>
      <w:r>
        <w:rPr>
          <w:rFonts w:ascii="Times New Roman" w:hAnsi="Times New Roman" w:eastAsia="Times New Roman"/>
          <w:spacing w:val="-3"/>
        </w:rPr>
        <w:t>GB3838-2002</w:t>
      </w:r>
      <w:r>
        <w:rPr>
          <w:spacing w:val="-3"/>
        </w:rPr>
        <w:t>）</w:t>
      </w:r>
      <w:r>
        <w:t>中的</w:t>
      </w:r>
      <w:r>
        <w:rPr>
          <w:rFonts w:hint="eastAsia" w:ascii="宋体" w:hAnsi="宋体" w:eastAsia="宋体"/>
        </w:rPr>
        <w:t>Ⅲ</w:t>
      </w:r>
      <w:r>
        <w:rPr>
          <w:spacing w:val="-7"/>
        </w:rPr>
        <w:t>类标</w:t>
      </w:r>
      <w:r>
        <w:rPr>
          <w:spacing w:val="-1"/>
        </w:rPr>
        <w:t>准</w:t>
      </w:r>
      <w:r>
        <w:rPr>
          <w:rFonts w:hint="eastAsia"/>
          <w:spacing w:val="-1"/>
        </w:rPr>
        <w:t>。本次环评引用《湖北赤壁经济开发区总体规划（修编）环境影响评价》中的数据及结论对陆水河水质现状评价，监测时间为2019年8月5日至2019年8月7日</w:t>
      </w:r>
      <w:r>
        <w:rPr>
          <w:spacing w:val="-1"/>
        </w:rPr>
        <w:t>。</w:t>
      </w:r>
      <w:r>
        <w:t>水质的现场监测数据。</w:t>
      </w:r>
      <w:r>
        <w:rPr>
          <w:spacing w:val="-9"/>
        </w:rPr>
        <w:t xml:space="preserve">监测结果见表 </w:t>
      </w:r>
      <w:r>
        <w:rPr>
          <w:rFonts w:ascii="Times New Roman" w:hAnsi="Times New Roman" w:eastAsia="Times New Roman"/>
        </w:rPr>
        <w:t>2.6.2-1</w:t>
      </w:r>
      <w:r>
        <w:t>。</w:t>
      </w:r>
    </w:p>
    <w:p>
      <w:pPr>
        <w:pStyle w:val="9"/>
        <w:spacing w:line="305" w:lineRule="exact"/>
        <w:ind w:left="1250" w:firstLine="240" w:firstLineChars="100"/>
        <w:jc w:val="left"/>
      </w:pPr>
      <w:r>
        <w:rPr>
          <w:rFonts w:ascii="Times New Roman" w:eastAsia="Times New Roman"/>
        </w:rPr>
        <w:t>2.6.2-1</w:t>
      </w:r>
      <w:r>
        <w:rPr>
          <w:rFonts w:ascii="Times New Roman" w:eastAsia="Times New Roman"/>
          <w:spacing w:val="59"/>
        </w:rPr>
        <w:t xml:space="preserve"> </w:t>
      </w:r>
      <w:r>
        <w:rPr>
          <w:rFonts w:hint="eastAsia"/>
        </w:rPr>
        <w:t>陆水河</w:t>
      </w:r>
      <w:r>
        <w:t>水质监测统计结果表，单位：mg/L（pH 无量纲）</w:t>
      </w:r>
    </w:p>
    <w:p>
      <w:pPr>
        <w:rPr>
          <w:lang w:val="en-US"/>
        </w:rPr>
      </w:pPr>
      <w:r>
        <w:rPr>
          <w:rFonts w:hint="eastAsia"/>
          <w:lang w:val="en-US"/>
        </w:rPr>
        <w:t xml:space="preserve">  </w:t>
      </w:r>
    </w:p>
    <w:tbl>
      <w:tblPr>
        <w:tblStyle w:val="15"/>
        <w:tblW w:w="0" w:type="auto"/>
        <w:jc w:val="center"/>
        <w:shd w:val="clear" w:color="auto" w:fill="FFFFFF"/>
        <w:tblLayout w:type="fixed"/>
        <w:tblCellMar>
          <w:top w:w="0" w:type="dxa"/>
          <w:left w:w="108" w:type="dxa"/>
          <w:bottom w:w="0" w:type="dxa"/>
          <w:right w:w="108" w:type="dxa"/>
        </w:tblCellMar>
      </w:tblPr>
      <w:tblGrid>
        <w:gridCol w:w="413"/>
        <w:gridCol w:w="745"/>
        <w:gridCol w:w="774"/>
        <w:gridCol w:w="687"/>
        <w:gridCol w:w="1008"/>
        <w:gridCol w:w="979"/>
        <w:gridCol w:w="1166"/>
        <w:gridCol w:w="1073"/>
        <w:gridCol w:w="979"/>
        <w:gridCol w:w="1166"/>
      </w:tblGrid>
      <w:tr>
        <w:tblPrEx>
          <w:tblCellMar>
            <w:top w:w="0" w:type="dxa"/>
            <w:left w:w="108" w:type="dxa"/>
            <w:bottom w:w="0" w:type="dxa"/>
            <w:right w:w="108" w:type="dxa"/>
          </w:tblCellMar>
        </w:tblPrEx>
        <w:trPr>
          <w:trHeight w:val="340" w:hRule="atLeast"/>
          <w:jc w:val="center"/>
        </w:trPr>
        <w:tc>
          <w:tcPr>
            <w:tcW w:w="413" w:type="dxa"/>
            <w:tcBorders>
              <w:top w:val="single" w:color="000000" w:sz="12" w:space="0"/>
              <w:left w:val="nil"/>
              <w:bottom w:val="single" w:color="000000" w:sz="12"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河流</w:t>
            </w:r>
          </w:p>
        </w:tc>
        <w:tc>
          <w:tcPr>
            <w:tcW w:w="745" w:type="dxa"/>
            <w:tcBorders>
              <w:top w:val="single" w:color="000000" w:sz="12" w:space="0"/>
              <w:left w:val="single" w:color="000000" w:sz="4" w:space="0"/>
              <w:bottom w:val="single" w:color="000000" w:sz="12"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监测断面</w:t>
            </w:r>
          </w:p>
        </w:tc>
        <w:tc>
          <w:tcPr>
            <w:tcW w:w="774" w:type="dxa"/>
            <w:tcBorders>
              <w:top w:val="single" w:color="000000" w:sz="12" w:space="0"/>
              <w:left w:val="single" w:color="000000" w:sz="4" w:space="0"/>
              <w:bottom w:val="single" w:color="000000" w:sz="12"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项目</w:t>
            </w:r>
          </w:p>
        </w:tc>
        <w:tc>
          <w:tcPr>
            <w:tcW w:w="687" w:type="dxa"/>
            <w:tcBorders>
              <w:top w:val="single" w:color="000000" w:sz="12" w:space="0"/>
              <w:left w:val="single" w:color="000000" w:sz="4" w:space="0"/>
              <w:bottom w:val="single" w:color="000000" w:sz="12"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pH</w:t>
            </w:r>
          </w:p>
        </w:tc>
        <w:tc>
          <w:tcPr>
            <w:tcW w:w="1008" w:type="dxa"/>
            <w:tcBorders>
              <w:top w:val="single" w:color="000000" w:sz="12" w:space="0"/>
              <w:left w:val="single" w:color="000000" w:sz="4" w:space="0"/>
              <w:bottom w:val="single" w:color="000000" w:sz="12"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COD</w:t>
            </w:r>
          </w:p>
        </w:tc>
        <w:tc>
          <w:tcPr>
            <w:tcW w:w="979" w:type="dxa"/>
            <w:tcBorders>
              <w:top w:val="single" w:color="000000" w:sz="12" w:space="0"/>
              <w:left w:val="single" w:color="000000" w:sz="4" w:space="0"/>
              <w:bottom w:val="single" w:color="000000" w:sz="12"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DO</w:t>
            </w:r>
          </w:p>
        </w:tc>
        <w:tc>
          <w:tcPr>
            <w:tcW w:w="1166" w:type="dxa"/>
            <w:tcBorders>
              <w:top w:val="single" w:color="000000" w:sz="12" w:space="0"/>
              <w:left w:val="single" w:color="000000" w:sz="4" w:space="0"/>
              <w:bottom w:val="single" w:color="000000" w:sz="12"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BOD</w:t>
            </w:r>
            <w:r>
              <w:rPr>
                <w:rFonts w:ascii="Times New Roman" w:cs="Times New Roman"/>
                <w:bCs/>
                <w:sz w:val="18"/>
                <w:szCs w:val="18"/>
                <w:vertAlign w:val="subscript"/>
              </w:rPr>
              <w:t>5</w:t>
            </w:r>
          </w:p>
        </w:tc>
        <w:tc>
          <w:tcPr>
            <w:tcW w:w="1073" w:type="dxa"/>
            <w:tcBorders>
              <w:top w:val="single" w:color="000000" w:sz="12" w:space="0"/>
              <w:left w:val="single" w:color="000000" w:sz="4" w:space="0"/>
              <w:bottom w:val="single" w:color="000000" w:sz="12"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氨氮</w:t>
            </w:r>
          </w:p>
        </w:tc>
        <w:tc>
          <w:tcPr>
            <w:tcW w:w="979" w:type="dxa"/>
            <w:tcBorders>
              <w:top w:val="single" w:color="000000" w:sz="12" w:space="0"/>
              <w:left w:val="single" w:color="000000" w:sz="4" w:space="0"/>
              <w:bottom w:val="single" w:color="000000" w:sz="12"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总磷</w:t>
            </w:r>
          </w:p>
        </w:tc>
        <w:tc>
          <w:tcPr>
            <w:tcW w:w="1166" w:type="dxa"/>
            <w:tcBorders>
              <w:top w:val="single" w:color="000000" w:sz="12" w:space="0"/>
              <w:left w:val="single" w:color="000000" w:sz="4" w:space="0"/>
              <w:bottom w:val="single" w:color="000000" w:sz="12" w:space="0"/>
              <w:right w:val="nil"/>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总氮</w:t>
            </w:r>
          </w:p>
        </w:tc>
      </w:tr>
      <w:tr>
        <w:tblPrEx>
          <w:shd w:val="clear" w:color="auto" w:fill="FFFFFF"/>
          <w:tblCellMar>
            <w:top w:w="0" w:type="dxa"/>
            <w:left w:w="108" w:type="dxa"/>
            <w:bottom w:w="0" w:type="dxa"/>
            <w:right w:w="108" w:type="dxa"/>
          </w:tblCellMar>
        </w:tblPrEx>
        <w:trPr>
          <w:trHeight w:val="340" w:hRule="atLeast"/>
          <w:jc w:val="center"/>
        </w:trPr>
        <w:tc>
          <w:tcPr>
            <w:tcW w:w="413" w:type="dxa"/>
            <w:vMerge w:val="restart"/>
            <w:tcBorders>
              <w:top w:val="single" w:color="000000" w:sz="4" w:space="0"/>
              <w:left w:val="nil"/>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陆水河</w:t>
            </w:r>
          </w:p>
        </w:tc>
        <w:tc>
          <w:tcPr>
            <w:tcW w:w="7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赤壁市污水处理厂排放口上游500m</w:t>
            </w: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最小值</w:t>
            </w:r>
          </w:p>
        </w:tc>
        <w:tc>
          <w:tcPr>
            <w:tcW w:w="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7.5*</w:t>
            </w: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16.1*</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6*</w:t>
            </w:r>
          </w:p>
        </w:tc>
        <w:tc>
          <w:tcPr>
            <w:tcW w:w="11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3.7*</w:t>
            </w:r>
          </w:p>
        </w:tc>
        <w:tc>
          <w:tcPr>
            <w:tcW w:w="10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0.42*</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0.06*</w:t>
            </w:r>
          </w:p>
        </w:tc>
        <w:tc>
          <w:tcPr>
            <w:tcW w:w="1166" w:type="dxa"/>
            <w:tcBorders>
              <w:top w:val="single" w:color="000000" w:sz="4" w:space="0"/>
              <w:left w:val="single" w:color="000000" w:sz="4" w:space="0"/>
              <w:bottom w:val="single" w:color="000000" w:sz="4" w:space="0"/>
              <w:right w:val="nil"/>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0.461</w:t>
            </w:r>
          </w:p>
        </w:tc>
      </w:tr>
      <w:tr>
        <w:tblPrEx>
          <w:tblCellMar>
            <w:top w:w="0" w:type="dxa"/>
            <w:left w:w="108" w:type="dxa"/>
            <w:bottom w:w="0" w:type="dxa"/>
            <w:right w:w="108" w:type="dxa"/>
          </w:tblCellMar>
        </w:tblPrEx>
        <w:trPr>
          <w:trHeight w:val="340" w:hRule="atLeast"/>
          <w:jc w:val="center"/>
        </w:trPr>
        <w:tc>
          <w:tcPr>
            <w:tcW w:w="413" w:type="dxa"/>
            <w:vMerge w:val="continue"/>
            <w:tcBorders>
              <w:top w:val="single" w:color="000000" w:sz="4" w:space="0"/>
              <w:left w:val="nil"/>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最大值</w:t>
            </w:r>
          </w:p>
        </w:tc>
        <w:tc>
          <w:tcPr>
            <w:tcW w:w="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7.78*</w:t>
            </w: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17.6*</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7.6*</w:t>
            </w:r>
          </w:p>
        </w:tc>
        <w:tc>
          <w:tcPr>
            <w:tcW w:w="11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3.9*</w:t>
            </w:r>
          </w:p>
        </w:tc>
        <w:tc>
          <w:tcPr>
            <w:tcW w:w="10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0.55*</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0.08*</w:t>
            </w:r>
          </w:p>
        </w:tc>
        <w:tc>
          <w:tcPr>
            <w:tcW w:w="1166" w:type="dxa"/>
            <w:tcBorders>
              <w:top w:val="single" w:color="000000" w:sz="4" w:space="0"/>
              <w:left w:val="single" w:color="000000" w:sz="4" w:space="0"/>
              <w:bottom w:val="single" w:color="000000" w:sz="4" w:space="0"/>
              <w:right w:val="nil"/>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0.475</w:t>
            </w:r>
          </w:p>
        </w:tc>
      </w:tr>
      <w:tr>
        <w:tblPrEx>
          <w:tblCellMar>
            <w:top w:w="0" w:type="dxa"/>
            <w:left w:w="108" w:type="dxa"/>
            <w:bottom w:w="0" w:type="dxa"/>
            <w:right w:w="108" w:type="dxa"/>
          </w:tblCellMar>
        </w:tblPrEx>
        <w:trPr>
          <w:trHeight w:val="340" w:hRule="atLeast"/>
          <w:jc w:val="center"/>
        </w:trPr>
        <w:tc>
          <w:tcPr>
            <w:tcW w:w="413" w:type="dxa"/>
            <w:vMerge w:val="continue"/>
            <w:tcBorders>
              <w:top w:val="single" w:color="000000" w:sz="4" w:space="0"/>
              <w:left w:val="nil"/>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平均值</w:t>
            </w:r>
          </w:p>
        </w:tc>
        <w:tc>
          <w:tcPr>
            <w:tcW w:w="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7.68</w:t>
            </w: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16.83</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7</w:t>
            </w:r>
          </w:p>
        </w:tc>
        <w:tc>
          <w:tcPr>
            <w:tcW w:w="11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3.8</w:t>
            </w:r>
          </w:p>
        </w:tc>
        <w:tc>
          <w:tcPr>
            <w:tcW w:w="10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0.5</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0.07</w:t>
            </w:r>
          </w:p>
        </w:tc>
        <w:tc>
          <w:tcPr>
            <w:tcW w:w="1166" w:type="dxa"/>
            <w:tcBorders>
              <w:top w:val="single" w:color="000000" w:sz="4" w:space="0"/>
              <w:left w:val="single" w:color="000000" w:sz="4" w:space="0"/>
              <w:bottom w:val="single" w:color="000000" w:sz="4" w:space="0"/>
              <w:right w:val="nil"/>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0.468</w:t>
            </w:r>
          </w:p>
        </w:tc>
      </w:tr>
      <w:tr>
        <w:tblPrEx>
          <w:shd w:val="clear" w:color="auto" w:fill="FFFFFF"/>
          <w:tblCellMar>
            <w:top w:w="0" w:type="dxa"/>
            <w:left w:w="108" w:type="dxa"/>
            <w:bottom w:w="0" w:type="dxa"/>
            <w:right w:w="108" w:type="dxa"/>
          </w:tblCellMar>
        </w:tblPrEx>
        <w:trPr>
          <w:trHeight w:val="340" w:hRule="atLeast"/>
          <w:jc w:val="center"/>
        </w:trPr>
        <w:tc>
          <w:tcPr>
            <w:tcW w:w="413" w:type="dxa"/>
            <w:vMerge w:val="continue"/>
            <w:tcBorders>
              <w:top w:val="single" w:color="000000" w:sz="4" w:space="0"/>
              <w:left w:val="nil"/>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污染指数</w:t>
            </w:r>
          </w:p>
        </w:tc>
        <w:tc>
          <w:tcPr>
            <w:tcW w:w="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0.25~0.39</w:t>
            </w: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0.805~0.88</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0.2~0.69</w:t>
            </w:r>
          </w:p>
        </w:tc>
        <w:tc>
          <w:tcPr>
            <w:tcW w:w="11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0.925~0.975</w:t>
            </w:r>
          </w:p>
        </w:tc>
        <w:tc>
          <w:tcPr>
            <w:tcW w:w="10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0.42~0.55</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0.3~0.4</w:t>
            </w:r>
          </w:p>
        </w:tc>
        <w:tc>
          <w:tcPr>
            <w:tcW w:w="1166" w:type="dxa"/>
            <w:tcBorders>
              <w:top w:val="single" w:color="000000" w:sz="4" w:space="0"/>
              <w:left w:val="single" w:color="000000" w:sz="4" w:space="0"/>
              <w:bottom w:val="single" w:color="000000" w:sz="4" w:space="0"/>
              <w:right w:val="nil"/>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0.461~0.475</w:t>
            </w:r>
          </w:p>
        </w:tc>
      </w:tr>
      <w:tr>
        <w:tblPrEx>
          <w:tblCellMar>
            <w:top w:w="0" w:type="dxa"/>
            <w:left w:w="108" w:type="dxa"/>
            <w:bottom w:w="0" w:type="dxa"/>
            <w:right w:w="108" w:type="dxa"/>
          </w:tblCellMar>
        </w:tblPrEx>
        <w:trPr>
          <w:trHeight w:val="340" w:hRule="atLeast"/>
          <w:jc w:val="center"/>
        </w:trPr>
        <w:tc>
          <w:tcPr>
            <w:tcW w:w="413" w:type="dxa"/>
            <w:vMerge w:val="continue"/>
            <w:tcBorders>
              <w:top w:val="single" w:color="000000" w:sz="4" w:space="0"/>
              <w:left w:val="nil"/>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超标率</w:t>
            </w:r>
          </w:p>
        </w:tc>
        <w:tc>
          <w:tcPr>
            <w:tcW w:w="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w:t>
            </w: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w:t>
            </w:r>
          </w:p>
        </w:tc>
        <w:tc>
          <w:tcPr>
            <w:tcW w:w="11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w:t>
            </w:r>
          </w:p>
        </w:tc>
        <w:tc>
          <w:tcPr>
            <w:tcW w:w="10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w:t>
            </w:r>
          </w:p>
        </w:tc>
        <w:tc>
          <w:tcPr>
            <w:tcW w:w="1166" w:type="dxa"/>
            <w:tcBorders>
              <w:top w:val="single" w:color="000000" w:sz="4" w:space="0"/>
              <w:left w:val="single" w:color="000000" w:sz="4" w:space="0"/>
              <w:bottom w:val="single" w:color="000000" w:sz="4" w:space="0"/>
              <w:right w:val="nil"/>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w:t>
            </w:r>
          </w:p>
        </w:tc>
      </w:tr>
      <w:tr>
        <w:tblPrEx>
          <w:shd w:val="clear" w:color="auto" w:fill="FFFFFF"/>
          <w:tblCellMar>
            <w:top w:w="0" w:type="dxa"/>
            <w:left w:w="108" w:type="dxa"/>
            <w:bottom w:w="0" w:type="dxa"/>
            <w:right w:w="108" w:type="dxa"/>
          </w:tblCellMar>
        </w:tblPrEx>
        <w:trPr>
          <w:trHeight w:val="340" w:hRule="atLeast"/>
          <w:jc w:val="center"/>
        </w:trPr>
        <w:tc>
          <w:tcPr>
            <w:tcW w:w="413" w:type="dxa"/>
            <w:vMerge w:val="restart"/>
            <w:tcBorders>
              <w:top w:val="single" w:color="000000" w:sz="4" w:space="0"/>
              <w:left w:val="nil"/>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陆水河</w:t>
            </w:r>
          </w:p>
        </w:tc>
        <w:tc>
          <w:tcPr>
            <w:tcW w:w="745" w:type="dxa"/>
            <w:vMerge w:val="restart"/>
            <w:tcBorders>
              <w:top w:val="single" w:color="000000" w:sz="4" w:space="0"/>
              <w:left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赤壁市污水处理厂排放口下游500m</w:t>
            </w: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最小值</w:t>
            </w:r>
          </w:p>
        </w:tc>
        <w:tc>
          <w:tcPr>
            <w:tcW w:w="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7.86*</w:t>
            </w: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16.3*</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4.4*</w:t>
            </w:r>
          </w:p>
        </w:tc>
        <w:tc>
          <w:tcPr>
            <w:tcW w:w="11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3.7*</w:t>
            </w:r>
          </w:p>
        </w:tc>
        <w:tc>
          <w:tcPr>
            <w:tcW w:w="10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0.2*</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0.06*</w:t>
            </w:r>
          </w:p>
        </w:tc>
        <w:tc>
          <w:tcPr>
            <w:tcW w:w="1166" w:type="dxa"/>
            <w:tcBorders>
              <w:top w:val="single" w:color="000000" w:sz="4" w:space="0"/>
              <w:left w:val="single" w:color="000000" w:sz="4" w:space="0"/>
              <w:bottom w:val="single" w:color="000000" w:sz="4" w:space="0"/>
              <w:right w:val="nil"/>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0.702</w:t>
            </w:r>
          </w:p>
        </w:tc>
      </w:tr>
      <w:tr>
        <w:tblPrEx>
          <w:tblCellMar>
            <w:top w:w="0" w:type="dxa"/>
            <w:left w:w="108" w:type="dxa"/>
            <w:bottom w:w="0" w:type="dxa"/>
            <w:right w:w="108" w:type="dxa"/>
          </w:tblCellMar>
        </w:tblPrEx>
        <w:trPr>
          <w:trHeight w:val="340" w:hRule="atLeast"/>
          <w:jc w:val="center"/>
        </w:trPr>
        <w:tc>
          <w:tcPr>
            <w:tcW w:w="413" w:type="dxa"/>
            <w:vMerge w:val="continue"/>
            <w:tcBorders>
              <w:left w:val="nil"/>
              <w:right w:val="single" w:color="000000" w:sz="4" w:space="0"/>
            </w:tcBorders>
            <w:shd w:val="clear" w:color="auto" w:fill="FFFFFF"/>
            <w:vAlign w:val="center"/>
          </w:tcPr>
          <w:p>
            <w:pPr>
              <w:pStyle w:val="2"/>
              <w:jc w:val="center"/>
              <w:rPr>
                <w:rFonts w:ascii="Times New Roman" w:cs="Times New Roman"/>
                <w:bCs/>
                <w:sz w:val="18"/>
                <w:szCs w:val="18"/>
              </w:rPr>
            </w:pPr>
          </w:p>
        </w:tc>
        <w:tc>
          <w:tcPr>
            <w:tcW w:w="745" w:type="dxa"/>
            <w:vMerge w:val="continue"/>
            <w:tcBorders>
              <w:left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最大值</w:t>
            </w:r>
          </w:p>
        </w:tc>
        <w:tc>
          <w:tcPr>
            <w:tcW w:w="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8.05*</w:t>
            </w: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16.6*</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6*</w:t>
            </w:r>
          </w:p>
        </w:tc>
        <w:tc>
          <w:tcPr>
            <w:tcW w:w="11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3.8*</w:t>
            </w:r>
          </w:p>
        </w:tc>
        <w:tc>
          <w:tcPr>
            <w:tcW w:w="10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0.23*</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0.08*</w:t>
            </w:r>
          </w:p>
        </w:tc>
        <w:tc>
          <w:tcPr>
            <w:tcW w:w="1166" w:type="dxa"/>
            <w:tcBorders>
              <w:top w:val="single" w:color="000000" w:sz="4" w:space="0"/>
              <w:left w:val="single" w:color="000000" w:sz="4" w:space="0"/>
              <w:bottom w:val="single" w:color="000000" w:sz="4" w:space="0"/>
              <w:right w:val="nil"/>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0.716</w:t>
            </w:r>
          </w:p>
        </w:tc>
      </w:tr>
      <w:tr>
        <w:tblPrEx>
          <w:tblCellMar>
            <w:top w:w="0" w:type="dxa"/>
            <w:left w:w="108" w:type="dxa"/>
            <w:bottom w:w="0" w:type="dxa"/>
            <w:right w:w="108" w:type="dxa"/>
          </w:tblCellMar>
        </w:tblPrEx>
        <w:trPr>
          <w:trHeight w:val="340" w:hRule="atLeast"/>
          <w:jc w:val="center"/>
        </w:trPr>
        <w:tc>
          <w:tcPr>
            <w:tcW w:w="413" w:type="dxa"/>
            <w:vMerge w:val="continue"/>
            <w:tcBorders>
              <w:left w:val="nil"/>
              <w:right w:val="single" w:color="000000" w:sz="4" w:space="0"/>
            </w:tcBorders>
            <w:shd w:val="clear" w:color="auto" w:fill="FFFFFF"/>
            <w:vAlign w:val="center"/>
          </w:tcPr>
          <w:p>
            <w:pPr>
              <w:pStyle w:val="2"/>
              <w:jc w:val="center"/>
              <w:rPr>
                <w:rFonts w:ascii="Times New Roman" w:cs="Times New Roman"/>
                <w:bCs/>
                <w:sz w:val="18"/>
                <w:szCs w:val="18"/>
              </w:rPr>
            </w:pPr>
          </w:p>
        </w:tc>
        <w:tc>
          <w:tcPr>
            <w:tcW w:w="745" w:type="dxa"/>
            <w:vMerge w:val="continue"/>
            <w:tcBorders>
              <w:left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平均值</w:t>
            </w:r>
          </w:p>
        </w:tc>
        <w:tc>
          <w:tcPr>
            <w:tcW w:w="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7.97</w:t>
            </w: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16.4</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5.3</w:t>
            </w:r>
          </w:p>
        </w:tc>
        <w:tc>
          <w:tcPr>
            <w:tcW w:w="11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3.77</w:t>
            </w:r>
          </w:p>
        </w:tc>
        <w:tc>
          <w:tcPr>
            <w:tcW w:w="10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0.22</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0.07</w:t>
            </w:r>
          </w:p>
        </w:tc>
        <w:tc>
          <w:tcPr>
            <w:tcW w:w="1166" w:type="dxa"/>
            <w:tcBorders>
              <w:top w:val="single" w:color="000000" w:sz="4" w:space="0"/>
              <w:left w:val="single" w:color="000000" w:sz="4" w:space="0"/>
              <w:bottom w:val="single" w:color="000000" w:sz="4" w:space="0"/>
              <w:right w:val="nil"/>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0.709</w:t>
            </w:r>
          </w:p>
        </w:tc>
      </w:tr>
      <w:tr>
        <w:tblPrEx>
          <w:tblCellMar>
            <w:top w:w="0" w:type="dxa"/>
            <w:left w:w="108" w:type="dxa"/>
            <w:bottom w:w="0" w:type="dxa"/>
            <w:right w:w="108" w:type="dxa"/>
          </w:tblCellMar>
        </w:tblPrEx>
        <w:trPr>
          <w:trHeight w:val="340" w:hRule="atLeast"/>
          <w:jc w:val="center"/>
        </w:trPr>
        <w:tc>
          <w:tcPr>
            <w:tcW w:w="413" w:type="dxa"/>
            <w:vMerge w:val="continue"/>
            <w:tcBorders>
              <w:left w:val="nil"/>
              <w:right w:val="single" w:color="000000" w:sz="4" w:space="0"/>
            </w:tcBorders>
            <w:shd w:val="clear" w:color="auto" w:fill="FFFFFF"/>
            <w:vAlign w:val="center"/>
          </w:tcPr>
          <w:p>
            <w:pPr>
              <w:pStyle w:val="2"/>
              <w:jc w:val="center"/>
              <w:rPr>
                <w:rFonts w:ascii="Times New Roman" w:cs="Times New Roman"/>
                <w:bCs/>
                <w:sz w:val="18"/>
                <w:szCs w:val="18"/>
              </w:rPr>
            </w:pPr>
          </w:p>
        </w:tc>
        <w:tc>
          <w:tcPr>
            <w:tcW w:w="745" w:type="dxa"/>
            <w:vMerge w:val="continue"/>
            <w:tcBorders>
              <w:left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污染指数</w:t>
            </w:r>
          </w:p>
        </w:tc>
        <w:tc>
          <w:tcPr>
            <w:tcW w:w="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0.43~0.52</w:t>
            </w: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0.815~0.83</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0.69~0.72</w:t>
            </w:r>
          </w:p>
        </w:tc>
        <w:tc>
          <w:tcPr>
            <w:tcW w:w="11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0.925~0.95</w:t>
            </w:r>
          </w:p>
        </w:tc>
        <w:tc>
          <w:tcPr>
            <w:tcW w:w="10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0.2~0.23</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0.3~0.4</w:t>
            </w:r>
          </w:p>
        </w:tc>
        <w:tc>
          <w:tcPr>
            <w:tcW w:w="1166" w:type="dxa"/>
            <w:tcBorders>
              <w:top w:val="single" w:color="000000" w:sz="4" w:space="0"/>
              <w:left w:val="single" w:color="000000" w:sz="4" w:space="0"/>
              <w:bottom w:val="single" w:color="000000" w:sz="4" w:space="0"/>
              <w:right w:val="nil"/>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0.702~0.716</w:t>
            </w:r>
          </w:p>
        </w:tc>
      </w:tr>
      <w:tr>
        <w:tblPrEx>
          <w:shd w:val="clear" w:color="auto" w:fill="FFFFFF"/>
          <w:tblCellMar>
            <w:top w:w="0" w:type="dxa"/>
            <w:left w:w="108" w:type="dxa"/>
            <w:bottom w:w="0" w:type="dxa"/>
            <w:right w:w="108" w:type="dxa"/>
          </w:tblCellMar>
        </w:tblPrEx>
        <w:trPr>
          <w:trHeight w:val="340" w:hRule="atLeast"/>
          <w:jc w:val="center"/>
        </w:trPr>
        <w:tc>
          <w:tcPr>
            <w:tcW w:w="413" w:type="dxa"/>
            <w:vMerge w:val="continue"/>
            <w:tcBorders>
              <w:left w:val="nil"/>
              <w:bottom w:val="single" w:color="000000" w:sz="4" w:space="0"/>
              <w:right w:val="single" w:color="000000" w:sz="4" w:space="0"/>
            </w:tcBorders>
            <w:shd w:val="clear" w:color="auto" w:fill="FFFFFF"/>
            <w:vAlign w:val="center"/>
          </w:tcPr>
          <w:p>
            <w:pPr>
              <w:jc w:val="center"/>
              <w:rPr>
                <w:rFonts w:ascii="Times New Roman" w:hAnsi="Times New Roman" w:eastAsia="宋体" w:cs="Times New Roman"/>
                <w:color w:val="000000"/>
                <w:sz w:val="18"/>
                <w:szCs w:val="18"/>
              </w:rPr>
            </w:pPr>
          </w:p>
        </w:tc>
        <w:tc>
          <w:tcPr>
            <w:tcW w:w="745" w:type="dxa"/>
            <w:vMerge w:val="continue"/>
            <w:tcBorders>
              <w:left w:val="single" w:color="000000" w:sz="4" w:space="0"/>
              <w:bottom w:val="single" w:color="000000" w:sz="4" w:space="0"/>
              <w:right w:val="single" w:color="000000" w:sz="4" w:space="0"/>
            </w:tcBorders>
            <w:shd w:val="clear" w:color="auto" w:fill="FFFFFF"/>
            <w:vAlign w:val="center"/>
          </w:tcPr>
          <w:p>
            <w:pPr>
              <w:jc w:val="center"/>
              <w:rPr>
                <w:rFonts w:ascii="Times New Roman" w:hAnsi="Times New Roman" w:eastAsia="宋体" w:cs="Times New Roman"/>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18"/>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sz w:val="18"/>
                <w:szCs w:val="18"/>
              </w:rPr>
              <w:t>超标率</w:t>
            </w:r>
          </w:p>
        </w:tc>
        <w:tc>
          <w:tcPr>
            <w:tcW w:w="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ind w:right="1"/>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w:t>
            </w: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ind w:right="1"/>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w:t>
            </w:r>
          </w:p>
        </w:tc>
        <w:tc>
          <w:tcPr>
            <w:tcW w:w="11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w:t>
            </w:r>
          </w:p>
        </w:tc>
        <w:tc>
          <w:tcPr>
            <w:tcW w:w="10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ind w:right="1"/>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w:t>
            </w:r>
          </w:p>
        </w:tc>
        <w:tc>
          <w:tcPr>
            <w:tcW w:w="1166" w:type="dxa"/>
            <w:tcBorders>
              <w:top w:val="single" w:color="000000" w:sz="4" w:space="0"/>
              <w:left w:val="single" w:color="000000" w:sz="4" w:space="0"/>
              <w:bottom w:val="single" w:color="000000" w:sz="4" w:space="0"/>
              <w:right w:val="nil"/>
            </w:tcBorders>
            <w:shd w:val="clear" w:color="auto" w:fill="FFFFFF"/>
            <w:vAlign w:val="center"/>
          </w:tcPr>
          <w:p>
            <w:pPr>
              <w:pStyle w:val="24"/>
              <w:kinsoku w:val="0"/>
              <w:overflowPunct w:val="0"/>
              <w:spacing w:before="58"/>
              <w:ind w:right="5"/>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w:t>
            </w:r>
          </w:p>
        </w:tc>
      </w:tr>
      <w:tr>
        <w:tblPrEx>
          <w:shd w:val="clear" w:color="auto" w:fill="FFFFFF"/>
          <w:tblCellMar>
            <w:top w:w="0" w:type="dxa"/>
            <w:left w:w="108" w:type="dxa"/>
            <w:bottom w:w="0" w:type="dxa"/>
            <w:right w:w="108" w:type="dxa"/>
          </w:tblCellMar>
        </w:tblPrEx>
        <w:trPr>
          <w:trHeight w:val="340" w:hRule="atLeast"/>
          <w:jc w:val="center"/>
        </w:trPr>
        <w:tc>
          <w:tcPr>
            <w:tcW w:w="413" w:type="dxa"/>
            <w:vMerge w:val="restart"/>
            <w:tcBorders>
              <w:top w:val="single" w:color="000000" w:sz="4" w:space="0"/>
              <w:left w:val="nil"/>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陆水河</w:t>
            </w:r>
          </w:p>
        </w:tc>
        <w:tc>
          <w:tcPr>
            <w:tcW w:w="7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赤壁市污水处理厂排放口下游1500m</w:t>
            </w: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19"/>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sz w:val="18"/>
                <w:szCs w:val="18"/>
              </w:rPr>
              <w:t>最小值</w:t>
            </w:r>
          </w:p>
        </w:tc>
        <w:tc>
          <w:tcPr>
            <w:tcW w:w="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7.89*</w:t>
            </w: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ind w:right="1"/>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15.5*</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w:t>
            </w:r>
          </w:p>
        </w:tc>
        <w:tc>
          <w:tcPr>
            <w:tcW w:w="11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3.6*</w:t>
            </w:r>
          </w:p>
        </w:tc>
        <w:tc>
          <w:tcPr>
            <w:tcW w:w="10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ind w:left="1"/>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0.3*</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0.1*</w:t>
            </w:r>
          </w:p>
        </w:tc>
        <w:tc>
          <w:tcPr>
            <w:tcW w:w="1166" w:type="dxa"/>
            <w:tcBorders>
              <w:top w:val="single" w:color="000000" w:sz="4" w:space="0"/>
              <w:left w:val="single" w:color="000000" w:sz="4" w:space="0"/>
              <w:bottom w:val="single" w:color="000000" w:sz="4" w:space="0"/>
              <w:right w:val="nil"/>
            </w:tcBorders>
            <w:shd w:val="clear" w:color="auto" w:fill="FFFFFF"/>
            <w:vAlign w:val="center"/>
          </w:tcPr>
          <w:p>
            <w:pPr>
              <w:pStyle w:val="24"/>
              <w:kinsoku w:val="0"/>
              <w:overflowPunct w:val="0"/>
              <w:spacing w:before="58"/>
              <w:ind w:right="3"/>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0.564</w:t>
            </w:r>
          </w:p>
        </w:tc>
      </w:tr>
      <w:tr>
        <w:tblPrEx>
          <w:tblCellMar>
            <w:top w:w="0" w:type="dxa"/>
            <w:left w:w="108" w:type="dxa"/>
            <w:bottom w:w="0" w:type="dxa"/>
            <w:right w:w="108" w:type="dxa"/>
          </w:tblCellMar>
        </w:tblPrEx>
        <w:trPr>
          <w:trHeight w:val="340" w:hRule="atLeast"/>
          <w:jc w:val="center"/>
        </w:trPr>
        <w:tc>
          <w:tcPr>
            <w:tcW w:w="413" w:type="dxa"/>
            <w:vMerge w:val="continue"/>
            <w:tcBorders>
              <w:top w:val="single" w:color="000000" w:sz="4" w:space="0"/>
              <w:left w:val="nil"/>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19"/>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sz w:val="18"/>
                <w:szCs w:val="18"/>
              </w:rPr>
              <w:t>最大值</w:t>
            </w:r>
          </w:p>
        </w:tc>
        <w:tc>
          <w:tcPr>
            <w:tcW w:w="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8.08*</w:t>
            </w: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17*</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ind w:left="1"/>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5.8*</w:t>
            </w:r>
          </w:p>
        </w:tc>
        <w:tc>
          <w:tcPr>
            <w:tcW w:w="11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3.9*</w:t>
            </w:r>
          </w:p>
        </w:tc>
        <w:tc>
          <w:tcPr>
            <w:tcW w:w="10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0.41*</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ind w:right="1"/>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0.12*</w:t>
            </w:r>
          </w:p>
        </w:tc>
        <w:tc>
          <w:tcPr>
            <w:tcW w:w="1166" w:type="dxa"/>
            <w:tcBorders>
              <w:top w:val="single" w:color="000000" w:sz="4" w:space="0"/>
              <w:left w:val="single" w:color="000000" w:sz="4" w:space="0"/>
              <w:bottom w:val="single" w:color="000000" w:sz="4" w:space="0"/>
              <w:right w:val="nil"/>
            </w:tcBorders>
            <w:shd w:val="clear" w:color="auto" w:fill="FFFFFF"/>
            <w:vAlign w:val="center"/>
          </w:tcPr>
          <w:p>
            <w:pPr>
              <w:pStyle w:val="24"/>
              <w:kinsoku w:val="0"/>
              <w:overflowPunct w:val="0"/>
              <w:spacing w:before="58"/>
              <w:ind w:right="3"/>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0.586</w:t>
            </w:r>
          </w:p>
        </w:tc>
      </w:tr>
      <w:tr>
        <w:tblPrEx>
          <w:shd w:val="clear" w:color="auto" w:fill="FFFFFF"/>
          <w:tblCellMar>
            <w:top w:w="0" w:type="dxa"/>
            <w:left w:w="108" w:type="dxa"/>
            <w:bottom w:w="0" w:type="dxa"/>
            <w:right w:w="108" w:type="dxa"/>
          </w:tblCellMar>
        </w:tblPrEx>
        <w:trPr>
          <w:trHeight w:val="340" w:hRule="atLeast"/>
          <w:jc w:val="center"/>
        </w:trPr>
        <w:tc>
          <w:tcPr>
            <w:tcW w:w="413" w:type="dxa"/>
            <w:vMerge w:val="continue"/>
            <w:tcBorders>
              <w:top w:val="single" w:color="000000" w:sz="4" w:space="0"/>
              <w:left w:val="nil"/>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19"/>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sz w:val="18"/>
                <w:szCs w:val="18"/>
              </w:rPr>
              <w:t>平均值</w:t>
            </w:r>
          </w:p>
        </w:tc>
        <w:tc>
          <w:tcPr>
            <w:tcW w:w="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8.01</w:t>
            </w: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ind w:right="1"/>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16.17</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4.73</w:t>
            </w:r>
          </w:p>
        </w:tc>
        <w:tc>
          <w:tcPr>
            <w:tcW w:w="11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3.7</w:t>
            </w:r>
          </w:p>
        </w:tc>
        <w:tc>
          <w:tcPr>
            <w:tcW w:w="10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0.344</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ind w:right="1"/>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0.11</w:t>
            </w:r>
          </w:p>
        </w:tc>
        <w:tc>
          <w:tcPr>
            <w:tcW w:w="1166" w:type="dxa"/>
            <w:tcBorders>
              <w:top w:val="single" w:color="000000" w:sz="4" w:space="0"/>
              <w:left w:val="single" w:color="000000" w:sz="4" w:space="0"/>
              <w:bottom w:val="single" w:color="000000" w:sz="4" w:space="0"/>
              <w:right w:val="nil"/>
            </w:tcBorders>
            <w:shd w:val="clear" w:color="auto" w:fill="FFFFFF"/>
            <w:vAlign w:val="center"/>
          </w:tcPr>
          <w:p>
            <w:pPr>
              <w:pStyle w:val="24"/>
              <w:kinsoku w:val="0"/>
              <w:overflowPunct w:val="0"/>
              <w:spacing w:before="58"/>
              <w:ind w:right="3"/>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0.574</w:t>
            </w:r>
          </w:p>
        </w:tc>
      </w:tr>
      <w:tr>
        <w:tblPrEx>
          <w:tblCellMar>
            <w:top w:w="0" w:type="dxa"/>
            <w:left w:w="108" w:type="dxa"/>
            <w:bottom w:w="0" w:type="dxa"/>
            <w:right w:w="108" w:type="dxa"/>
          </w:tblCellMar>
        </w:tblPrEx>
        <w:trPr>
          <w:trHeight w:val="340" w:hRule="atLeast"/>
          <w:jc w:val="center"/>
        </w:trPr>
        <w:tc>
          <w:tcPr>
            <w:tcW w:w="413" w:type="dxa"/>
            <w:vMerge w:val="continue"/>
            <w:tcBorders>
              <w:top w:val="single" w:color="000000" w:sz="4" w:space="0"/>
              <w:left w:val="nil"/>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19"/>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sz w:val="18"/>
                <w:szCs w:val="18"/>
              </w:rPr>
              <w:t>污染指数</w:t>
            </w:r>
          </w:p>
        </w:tc>
        <w:tc>
          <w:tcPr>
            <w:tcW w:w="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0.44~0.54</w:t>
            </w: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0.775~0.85</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0.75~0.82</w:t>
            </w:r>
          </w:p>
        </w:tc>
        <w:tc>
          <w:tcPr>
            <w:tcW w:w="11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0.9~0.975</w:t>
            </w:r>
          </w:p>
        </w:tc>
        <w:tc>
          <w:tcPr>
            <w:tcW w:w="10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0.3~0.41</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0.5~0.55</w:t>
            </w:r>
          </w:p>
        </w:tc>
        <w:tc>
          <w:tcPr>
            <w:tcW w:w="1166" w:type="dxa"/>
            <w:tcBorders>
              <w:top w:val="single" w:color="000000" w:sz="4" w:space="0"/>
              <w:left w:val="single" w:color="000000" w:sz="4" w:space="0"/>
              <w:bottom w:val="single" w:color="000000" w:sz="4" w:space="0"/>
              <w:right w:val="nil"/>
            </w:tcBorders>
            <w:shd w:val="clear" w:color="auto" w:fill="FFFFFF"/>
            <w:vAlign w:val="center"/>
          </w:tcPr>
          <w:p>
            <w:pPr>
              <w:pStyle w:val="24"/>
              <w:kinsoku w:val="0"/>
              <w:overflowPunct w:val="0"/>
              <w:spacing w:before="58"/>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0.564~0.586</w:t>
            </w:r>
          </w:p>
        </w:tc>
      </w:tr>
      <w:tr>
        <w:tblPrEx>
          <w:shd w:val="clear" w:color="auto" w:fill="FFFFFF"/>
          <w:tblCellMar>
            <w:top w:w="0" w:type="dxa"/>
            <w:left w:w="108" w:type="dxa"/>
            <w:bottom w:w="0" w:type="dxa"/>
            <w:right w:w="108" w:type="dxa"/>
          </w:tblCellMar>
        </w:tblPrEx>
        <w:trPr>
          <w:trHeight w:val="340" w:hRule="atLeast"/>
          <w:jc w:val="center"/>
        </w:trPr>
        <w:tc>
          <w:tcPr>
            <w:tcW w:w="413" w:type="dxa"/>
            <w:vMerge w:val="continue"/>
            <w:tcBorders>
              <w:top w:val="single" w:color="000000" w:sz="4" w:space="0"/>
              <w:left w:val="nil"/>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19"/>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sz w:val="18"/>
                <w:szCs w:val="18"/>
              </w:rPr>
              <w:t>超标率</w:t>
            </w:r>
          </w:p>
        </w:tc>
        <w:tc>
          <w:tcPr>
            <w:tcW w:w="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ind w:right="1"/>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w:t>
            </w: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ind w:right="1"/>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w:t>
            </w:r>
          </w:p>
        </w:tc>
        <w:tc>
          <w:tcPr>
            <w:tcW w:w="11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w:t>
            </w:r>
          </w:p>
        </w:tc>
        <w:tc>
          <w:tcPr>
            <w:tcW w:w="10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ind w:right="1"/>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w:t>
            </w:r>
          </w:p>
        </w:tc>
        <w:tc>
          <w:tcPr>
            <w:tcW w:w="1166" w:type="dxa"/>
            <w:tcBorders>
              <w:top w:val="single" w:color="000000" w:sz="4" w:space="0"/>
              <w:left w:val="single" w:color="000000" w:sz="4" w:space="0"/>
              <w:bottom w:val="single" w:color="000000" w:sz="4" w:space="0"/>
              <w:right w:val="nil"/>
            </w:tcBorders>
            <w:shd w:val="clear" w:color="auto" w:fill="FFFFFF"/>
            <w:vAlign w:val="center"/>
          </w:tcPr>
          <w:p>
            <w:pPr>
              <w:pStyle w:val="24"/>
              <w:kinsoku w:val="0"/>
              <w:overflowPunct w:val="0"/>
              <w:spacing w:before="58"/>
              <w:ind w:right="5"/>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w:t>
            </w:r>
          </w:p>
        </w:tc>
      </w:tr>
      <w:tr>
        <w:tblPrEx>
          <w:tblCellMar>
            <w:top w:w="0" w:type="dxa"/>
            <w:left w:w="108" w:type="dxa"/>
            <w:bottom w:w="0" w:type="dxa"/>
            <w:right w:w="108" w:type="dxa"/>
          </w:tblCellMar>
        </w:tblPrEx>
        <w:trPr>
          <w:trHeight w:val="340" w:hRule="atLeast"/>
          <w:jc w:val="center"/>
        </w:trPr>
        <w:tc>
          <w:tcPr>
            <w:tcW w:w="413" w:type="dxa"/>
            <w:vMerge w:val="restart"/>
            <w:tcBorders>
              <w:top w:val="single" w:color="000000" w:sz="4" w:space="0"/>
              <w:left w:val="nil"/>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陆水河</w:t>
            </w:r>
          </w:p>
        </w:tc>
        <w:tc>
          <w:tcPr>
            <w:tcW w:w="7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
              <w:jc w:val="center"/>
              <w:rPr>
                <w:rFonts w:ascii="Times New Roman" w:cs="Times New Roman"/>
                <w:bCs/>
                <w:sz w:val="18"/>
                <w:szCs w:val="18"/>
              </w:rPr>
            </w:pPr>
            <w:r>
              <w:rPr>
                <w:rFonts w:ascii="Times New Roman" w:cs="Times New Roman"/>
                <w:bCs/>
                <w:sz w:val="18"/>
                <w:szCs w:val="18"/>
              </w:rPr>
              <w:t>赤马港与陆水河交汇口上游1500m</w:t>
            </w: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19"/>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sz w:val="18"/>
                <w:szCs w:val="18"/>
              </w:rPr>
              <w:t>最小值</w:t>
            </w:r>
          </w:p>
        </w:tc>
        <w:tc>
          <w:tcPr>
            <w:tcW w:w="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7.28</w:t>
            </w: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16.2</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ind w:right="1"/>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w:t>
            </w:r>
          </w:p>
        </w:tc>
        <w:tc>
          <w:tcPr>
            <w:tcW w:w="11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ind w:right="1"/>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w:t>
            </w:r>
          </w:p>
        </w:tc>
        <w:tc>
          <w:tcPr>
            <w:tcW w:w="10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0.42</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0.08</w:t>
            </w:r>
          </w:p>
        </w:tc>
        <w:tc>
          <w:tcPr>
            <w:tcW w:w="1166" w:type="dxa"/>
            <w:tcBorders>
              <w:top w:val="single" w:color="000000" w:sz="4" w:space="0"/>
              <w:left w:val="single" w:color="000000" w:sz="4" w:space="0"/>
              <w:bottom w:val="single" w:color="000000" w:sz="4" w:space="0"/>
              <w:right w:val="nil"/>
            </w:tcBorders>
            <w:shd w:val="clear" w:color="auto" w:fill="FFFFFF"/>
            <w:vAlign w:val="center"/>
          </w:tcPr>
          <w:p>
            <w:pPr>
              <w:pStyle w:val="24"/>
              <w:kinsoku w:val="0"/>
              <w:overflowPunct w:val="0"/>
              <w:spacing w:before="58"/>
              <w:ind w:right="3"/>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0.479</w:t>
            </w:r>
          </w:p>
        </w:tc>
      </w:tr>
      <w:tr>
        <w:tblPrEx>
          <w:shd w:val="clear" w:color="auto" w:fill="FFFFFF"/>
          <w:tblCellMar>
            <w:top w:w="0" w:type="dxa"/>
            <w:left w:w="108" w:type="dxa"/>
            <w:bottom w:w="0" w:type="dxa"/>
            <w:right w:w="108" w:type="dxa"/>
          </w:tblCellMar>
        </w:tblPrEx>
        <w:trPr>
          <w:trHeight w:val="340" w:hRule="atLeast"/>
          <w:jc w:val="center"/>
        </w:trPr>
        <w:tc>
          <w:tcPr>
            <w:tcW w:w="413" w:type="dxa"/>
            <w:vMerge w:val="continue"/>
            <w:tcBorders>
              <w:top w:val="single" w:color="000000" w:sz="4" w:space="0"/>
              <w:left w:val="nil"/>
              <w:bottom w:val="single" w:color="000000" w:sz="4" w:space="0"/>
              <w:right w:val="single" w:color="000000" w:sz="4" w:space="0"/>
            </w:tcBorders>
            <w:shd w:val="clear" w:color="auto" w:fill="FFFFFF"/>
            <w:vAlign w:val="center"/>
          </w:tcPr>
          <w:p>
            <w:pPr>
              <w:pStyle w:val="24"/>
              <w:kinsoku w:val="0"/>
              <w:overflowPunct w:val="0"/>
              <w:spacing w:before="58"/>
              <w:ind w:right="3"/>
              <w:jc w:val="center"/>
              <w:rPr>
                <w:rFonts w:ascii="Times New Roman" w:hAnsi="Times New Roman" w:eastAsia="宋体" w:cs="Times New Roman"/>
                <w:color w:val="000000"/>
                <w:sz w:val="18"/>
                <w:szCs w:val="18"/>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ind w:right="3"/>
              <w:jc w:val="center"/>
              <w:rPr>
                <w:rFonts w:ascii="Times New Roman" w:hAnsi="Times New Roman" w:eastAsia="宋体" w:cs="Times New Roman"/>
                <w:bCs/>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19"/>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sz w:val="18"/>
                <w:szCs w:val="18"/>
              </w:rPr>
              <w:t>最大值</w:t>
            </w:r>
          </w:p>
        </w:tc>
        <w:tc>
          <w:tcPr>
            <w:tcW w:w="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7.3</w:t>
            </w: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16.5</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6.3</w:t>
            </w:r>
          </w:p>
        </w:tc>
        <w:tc>
          <w:tcPr>
            <w:tcW w:w="11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ind w:right="1"/>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3.5</w:t>
            </w:r>
          </w:p>
        </w:tc>
        <w:tc>
          <w:tcPr>
            <w:tcW w:w="10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0.436</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ind w:right="1"/>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0.087</w:t>
            </w:r>
          </w:p>
        </w:tc>
        <w:tc>
          <w:tcPr>
            <w:tcW w:w="1166" w:type="dxa"/>
            <w:tcBorders>
              <w:top w:val="single" w:color="000000" w:sz="4" w:space="0"/>
              <w:left w:val="single" w:color="000000" w:sz="4" w:space="0"/>
              <w:bottom w:val="single" w:color="000000" w:sz="4" w:space="0"/>
              <w:right w:val="nil"/>
            </w:tcBorders>
            <w:shd w:val="clear" w:color="auto" w:fill="FFFFFF"/>
            <w:vAlign w:val="center"/>
          </w:tcPr>
          <w:p>
            <w:pPr>
              <w:pStyle w:val="24"/>
              <w:kinsoku w:val="0"/>
              <w:overflowPunct w:val="0"/>
              <w:spacing w:before="58"/>
              <w:ind w:right="3"/>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0.495</w:t>
            </w:r>
          </w:p>
        </w:tc>
      </w:tr>
      <w:tr>
        <w:tblPrEx>
          <w:shd w:val="clear" w:color="auto" w:fill="FFFFFF"/>
          <w:tblCellMar>
            <w:top w:w="0" w:type="dxa"/>
            <w:left w:w="108" w:type="dxa"/>
            <w:bottom w:w="0" w:type="dxa"/>
            <w:right w:w="108" w:type="dxa"/>
          </w:tblCellMar>
        </w:tblPrEx>
        <w:trPr>
          <w:trHeight w:val="340" w:hRule="atLeast"/>
          <w:jc w:val="center"/>
        </w:trPr>
        <w:tc>
          <w:tcPr>
            <w:tcW w:w="413" w:type="dxa"/>
            <w:vMerge w:val="continue"/>
            <w:tcBorders>
              <w:top w:val="single" w:color="000000" w:sz="4" w:space="0"/>
              <w:left w:val="nil"/>
              <w:bottom w:val="single" w:color="000000" w:sz="4" w:space="0"/>
              <w:right w:val="single" w:color="000000" w:sz="4" w:space="0"/>
            </w:tcBorders>
            <w:shd w:val="clear" w:color="auto" w:fill="FFFFFF"/>
            <w:vAlign w:val="center"/>
          </w:tcPr>
          <w:p>
            <w:pPr>
              <w:pStyle w:val="24"/>
              <w:kinsoku w:val="0"/>
              <w:overflowPunct w:val="0"/>
              <w:spacing w:before="58"/>
              <w:ind w:right="3"/>
              <w:jc w:val="center"/>
              <w:rPr>
                <w:rFonts w:ascii="Times New Roman" w:hAnsi="Times New Roman" w:eastAsia="宋体" w:cs="Times New Roman"/>
                <w:color w:val="000000"/>
                <w:sz w:val="18"/>
                <w:szCs w:val="18"/>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ind w:right="3"/>
              <w:jc w:val="center"/>
              <w:rPr>
                <w:rFonts w:ascii="Times New Roman" w:hAnsi="Times New Roman" w:eastAsia="宋体" w:cs="Times New Roman"/>
                <w:bCs/>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19"/>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sz w:val="18"/>
                <w:szCs w:val="18"/>
              </w:rPr>
              <w:t>平均值</w:t>
            </w:r>
          </w:p>
        </w:tc>
        <w:tc>
          <w:tcPr>
            <w:tcW w:w="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7.29</w:t>
            </w: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16.3</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6.15</w:t>
            </w:r>
          </w:p>
        </w:tc>
        <w:tc>
          <w:tcPr>
            <w:tcW w:w="11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3.42</w:t>
            </w:r>
          </w:p>
        </w:tc>
        <w:tc>
          <w:tcPr>
            <w:tcW w:w="10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0.428</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ind w:right="1"/>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0.084</w:t>
            </w:r>
          </w:p>
        </w:tc>
        <w:tc>
          <w:tcPr>
            <w:tcW w:w="1166" w:type="dxa"/>
            <w:tcBorders>
              <w:top w:val="single" w:color="000000" w:sz="4" w:space="0"/>
              <w:left w:val="single" w:color="000000" w:sz="4" w:space="0"/>
              <w:bottom w:val="single" w:color="000000" w:sz="4" w:space="0"/>
              <w:right w:val="nil"/>
            </w:tcBorders>
            <w:shd w:val="clear" w:color="auto" w:fill="FFFFFF"/>
            <w:vAlign w:val="center"/>
          </w:tcPr>
          <w:p>
            <w:pPr>
              <w:pStyle w:val="24"/>
              <w:kinsoku w:val="0"/>
              <w:overflowPunct w:val="0"/>
              <w:spacing w:before="58"/>
              <w:ind w:right="3"/>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0.488</w:t>
            </w:r>
          </w:p>
        </w:tc>
      </w:tr>
      <w:tr>
        <w:tblPrEx>
          <w:tblCellMar>
            <w:top w:w="0" w:type="dxa"/>
            <w:left w:w="108" w:type="dxa"/>
            <w:bottom w:w="0" w:type="dxa"/>
            <w:right w:w="108" w:type="dxa"/>
          </w:tblCellMar>
        </w:tblPrEx>
        <w:trPr>
          <w:trHeight w:val="340" w:hRule="atLeast"/>
          <w:jc w:val="center"/>
        </w:trPr>
        <w:tc>
          <w:tcPr>
            <w:tcW w:w="413" w:type="dxa"/>
            <w:vMerge w:val="continue"/>
            <w:tcBorders>
              <w:top w:val="single" w:color="000000" w:sz="4" w:space="0"/>
              <w:left w:val="nil"/>
              <w:bottom w:val="single" w:color="000000" w:sz="4" w:space="0"/>
              <w:right w:val="single" w:color="000000" w:sz="4" w:space="0"/>
            </w:tcBorders>
            <w:shd w:val="clear" w:color="auto" w:fill="FFFFFF"/>
            <w:vAlign w:val="center"/>
          </w:tcPr>
          <w:p>
            <w:pPr>
              <w:pStyle w:val="24"/>
              <w:kinsoku w:val="0"/>
              <w:overflowPunct w:val="0"/>
              <w:spacing w:before="58"/>
              <w:ind w:right="3"/>
              <w:jc w:val="center"/>
              <w:rPr>
                <w:rFonts w:ascii="Times New Roman" w:hAnsi="Times New Roman" w:eastAsia="宋体" w:cs="Times New Roman"/>
                <w:color w:val="000000"/>
                <w:sz w:val="18"/>
                <w:szCs w:val="18"/>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ind w:right="3"/>
              <w:jc w:val="center"/>
              <w:rPr>
                <w:rFonts w:ascii="Times New Roman" w:hAnsi="Times New Roman" w:eastAsia="宋体" w:cs="Times New Roman"/>
                <w:bCs/>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19"/>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sz w:val="18"/>
                <w:szCs w:val="18"/>
              </w:rPr>
              <w:t>污染指数</w:t>
            </w:r>
          </w:p>
        </w:tc>
        <w:tc>
          <w:tcPr>
            <w:tcW w:w="6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0.14~0.15</w:t>
            </w: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0.81~0.825</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0.6~0.69</w:t>
            </w:r>
          </w:p>
        </w:tc>
        <w:tc>
          <w:tcPr>
            <w:tcW w:w="11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0.825~0.875</w:t>
            </w:r>
          </w:p>
        </w:tc>
        <w:tc>
          <w:tcPr>
            <w:tcW w:w="10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0.42~0.436</w:t>
            </w:r>
          </w:p>
        </w:tc>
        <w:tc>
          <w:tcPr>
            <w:tcW w:w="9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0.4~0.435</w:t>
            </w:r>
          </w:p>
        </w:tc>
        <w:tc>
          <w:tcPr>
            <w:tcW w:w="1166" w:type="dxa"/>
            <w:tcBorders>
              <w:top w:val="single" w:color="000000" w:sz="4" w:space="0"/>
              <w:left w:val="single" w:color="000000" w:sz="4" w:space="0"/>
              <w:bottom w:val="single" w:color="000000" w:sz="4" w:space="0"/>
              <w:right w:val="nil"/>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0.479~0.495</w:t>
            </w:r>
          </w:p>
        </w:tc>
      </w:tr>
      <w:tr>
        <w:tblPrEx>
          <w:shd w:val="clear" w:color="auto" w:fill="FFFFFF"/>
          <w:tblCellMar>
            <w:top w:w="0" w:type="dxa"/>
            <w:left w:w="108" w:type="dxa"/>
            <w:bottom w:w="0" w:type="dxa"/>
            <w:right w:w="108" w:type="dxa"/>
          </w:tblCellMar>
        </w:tblPrEx>
        <w:trPr>
          <w:trHeight w:val="340" w:hRule="atLeast"/>
          <w:jc w:val="center"/>
        </w:trPr>
        <w:tc>
          <w:tcPr>
            <w:tcW w:w="413" w:type="dxa"/>
            <w:vMerge w:val="continue"/>
            <w:tcBorders>
              <w:top w:val="single" w:color="000000" w:sz="4" w:space="0"/>
              <w:left w:val="nil"/>
              <w:bottom w:val="single" w:color="000000" w:sz="12" w:space="0"/>
              <w:right w:val="single" w:color="000000" w:sz="4" w:space="0"/>
            </w:tcBorders>
            <w:shd w:val="clear" w:color="auto" w:fill="FFFFFF"/>
            <w:vAlign w:val="center"/>
          </w:tcPr>
          <w:p>
            <w:pPr>
              <w:pStyle w:val="24"/>
              <w:kinsoku w:val="0"/>
              <w:overflowPunct w:val="0"/>
              <w:spacing w:before="58"/>
              <w:ind w:left="238"/>
              <w:jc w:val="center"/>
              <w:rPr>
                <w:rFonts w:ascii="Times New Roman" w:hAnsi="Times New Roman" w:eastAsia="宋体" w:cs="Times New Roman"/>
                <w:color w:val="000000"/>
                <w:sz w:val="18"/>
                <w:szCs w:val="18"/>
              </w:rPr>
            </w:pPr>
          </w:p>
        </w:tc>
        <w:tc>
          <w:tcPr>
            <w:tcW w:w="745" w:type="dxa"/>
            <w:vMerge w:val="continue"/>
            <w:tcBorders>
              <w:top w:val="single" w:color="000000" w:sz="4" w:space="0"/>
              <w:left w:val="single" w:color="000000" w:sz="4" w:space="0"/>
              <w:bottom w:val="single" w:color="000000" w:sz="12" w:space="0"/>
              <w:right w:val="single" w:color="000000" w:sz="4" w:space="0"/>
            </w:tcBorders>
            <w:shd w:val="clear" w:color="auto" w:fill="FFFFFF"/>
            <w:vAlign w:val="center"/>
          </w:tcPr>
          <w:p>
            <w:pPr>
              <w:pStyle w:val="24"/>
              <w:kinsoku w:val="0"/>
              <w:overflowPunct w:val="0"/>
              <w:spacing w:before="58"/>
              <w:ind w:left="238"/>
              <w:jc w:val="center"/>
              <w:rPr>
                <w:rFonts w:ascii="Times New Roman" w:hAnsi="Times New Roman" w:eastAsia="宋体" w:cs="Times New Roman"/>
                <w:color w:val="000000"/>
                <w:sz w:val="18"/>
                <w:szCs w:val="18"/>
              </w:rPr>
            </w:pPr>
          </w:p>
        </w:tc>
        <w:tc>
          <w:tcPr>
            <w:tcW w:w="774" w:type="dxa"/>
            <w:tcBorders>
              <w:top w:val="single" w:color="000000" w:sz="4" w:space="0"/>
              <w:left w:val="single" w:color="000000" w:sz="4" w:space="0"/>
              <w:bottom w:val="single" w:color="000000" w:sz="12" w:space="0"/>
              <w:right w:val="single" w:color="000000" w:sz="4" w:space="0"/>
            </w:tcBorders>
            <w:shd w:val="clear" w:color="auto" w:fill="FFFFFF"/>
            <w:vAlign w:val="center"/>
          </w:tcPr>
          <w:p>
            <w:pPr>
              <w:pStyle w:val="24"/>
              <w:kinsoku w:val="0"/>
              <w:overflowPunct w:val="0"/>
              <w:spacing w:before="19"/>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sz w:val="18"/>
                <w:szCs w:val="18"/>
              </w:rPr>
              <w:t>超标率</w:t>
            </w:r>
          </w:p>
        </w:tc>
        <w:tc>
          <w:tcPr>
            <w:tcW w:w="687" w:type="dxa"/>
            <w:tcBorders>
              <w:top w:val="single" w:color="000000" w:sz="4" w:space="0"/>
              <w:left w:val="single" w:color="000000" w:sz="4" w:space="0"/>
              <w:bottom w:val="single" w:color="000000" w:sz="12" w:space="0"/>
              <w:right w:val="single" w:color="000000" w:sz="4" w:space="0"/>
            </w:tcBorders>
            <w:shd w:val="clear" w:color="auto" w:fill="FFFFFF"/>
            <w:vAlign w:val="center"/>
          </w:tcPr>
          <w:p>
            <w:pPr>
              <w:pStyle w:val="24"/>
              <w:kinsoku w:val="0"/>
              <w:overflowPunct w:val="0"/>
              <w:spacing w:before="58"/>
              <w:ind w:right="1"/>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w:t>
            </w:r>
          </w:p>
        </w:tc>
        <w:tc>
          <w:tcPr>
            <w:tcW w:w="1008" w:type="dxa"/>
            <w:tcBorders>
              <w:top w:val="single" w:color="000000" w:sz="4" w:space="0"/>
              <w:left w:val="single" w:color="000000" w:sz="4" w:space="0"/>
              <w:bottom w:val="single" w:color="000000" w:sz="12"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w:t>
            </w:r>
          </w:p>
        </w:tc>
        <w:tc>
          <w:tcPr>
            <w:tcW w:w="979" w:type="dxa"/>
            <w:tcBorders>
              <w:top w:val="single" w:color="000000" w:sz="4" w:space="0"/>
              <w:left w:val="single" w:color="000000" w:sz="4" w:space="0"/>
              <w:bottom w:val="single" w:color="000000" w:sz="12" w:space="0"/>
              <w:right w:val="single" w:color="000000" w:sz="4" w:space="0"/>
            </w:tcBorders>
            <w:shd w:val="clear" w:color="auto" w:fill="FFFFFF"/>
            <w:vAlign w:val="center"/>
          </w:tcPr>
          <w:p>
            <w:pPr>
              <w:pStyle w:val="24"/>
              <w:kinsoku w:val="0"/>
              <w:overflowPunct w:val="0"/>
              <w:spacing w:before="58"/>
              <w:ind w:right="1"/>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w:t>
            </w:r>
          </w:p>
        </w:tc>
        <w:tc>
          <w:tcPr>
            <w:tcW w:w="1166" w:type="dxa"/>
            <w:tcBorders>
              <w:top w:val="single" w:color="000000" w:sz="4" w:space="0"/>
              <w:left w:val="single" w:color="000000" w:sz="4" w:space="0"/>
              <w:bottom w:val="single" w:color="000000" w:sz="12"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w:t>
            </w:r>
          </w:p>
        </w:tc>
        <w:tc>
          <w:tcPr>
            <w:tcW w:w="1073" w:type="dxa"/>
            <w:tcBorders>
              <w:top w:val="single" w:color="000000" w:sz="4" w:space="0"/>
              <w:left w:val="single" w:color="000000" w:sz="4" w:space="0"/>
              <w:bottom w:val="single" w:color="000000" w:sz="12" w:space="0"/>
              <w:right w:val="single" w:color="000000" w:sz="4" w:space="0"/>
            </w:tcBorders>
            <w:shd w:val="clear" w:color="auto" w:fill="FFFFFF"/>
            <w:vAlign w:val="center"/>
          </w:tcPr>
          <w:p>
            <w:pPr>
              <w:pStyle w:val="24"/>
              <w:kinsoku w:val="0"/>
              <w:overflowPunct w:val="0"/>
              <w:spacing w:before="58"/>
              <w:ind w:right="1"/>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w:t>
            </w:r>
          </w:p>
        </w:tc>
        <w:tc>
          <w:tcPr>
            <w:tcW w:w="979" w:type="dxa"/>
            <w:tcBorders>
              <w:top w:val="single" w:color="000000" w:sz="4" w:space="0"/>
              <w:left w:val="single" w:color="000000" w:sz="4" w:space="0"/>
              <w:bottom w:val="single" w:color="000000" w:sz="12" w:space="0"/>
              <w:right w:val="single" w:color="000000" w:sz="4" w:space="0"/>
            </w:tcBorders>
            <w:shd w:val="clear" w:color="auto" w:fill="FFFFFF"/>
            <w:vAlign w:val="center"/>
          </w:tcPr>
          <w:p>
            <w:pPr>
              <w:pStyle w:val="24"/>
              <w:kinsoku w:val="0"/>
              <w:overflowPunct w:val="0"/>
              <w:spacing w:before="58"/>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w:t>
            </w:r>
          </w:p>
        </w:tc>
        <w:tc>
          <w:tcPr>
            <w:tcW w:w="1166" w:type="dxa"/>
            <w:tcBorders>
              <w:top w:val="single" w:color="000000" w:sz="4" w:space="0"/>
              <w:left w:val="single" w:color="000000" w:sz="4" w:space="0"/>
              <w:bottom w:val="single" w:color="000000" w:sz="12" w:space="0"/>
              <w:right w:val="nil"/>
            </w:tcBorders>
            <w:shd w:val="clear" w:color="auto" w:fill="FFFFFF"/>
            <w:vAlign w:val="center"/>
          </w:tcPr>
          <w:p>
            <w:pPr>
              <w:pStyle w:val="24"/>
              <w:kinsoku w:val="0"/>
              <w:overflowPunct w:val="0"/>
              <w:spacing w:before="58"/>
              <w:ind w:right="5"/>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w:t>
            </w:r>
          </w:p>
        </w:tc>
      </w:tr>
    </w:tbl>
    <w:p>
      <w:pPr>
        <w:pStyle w:val="25"/>
        <w:spacing w:line="360" w:lineRule="auto"/>
        <w:ind w:firstLine="480" w:firstLineChars="200"/>
        <w:rPr>
          <w:rFonts w:ascii="Times New Roman"/>
        </w:rPr>
      </w:pPr>
      <w:r>
        <w:rPr>
          <w:rFonts w:hint="eastAsia"/>
        </w:rPr>
        <w:t xml:space="preserve">       </w:t>
      </w:r>
      <w:r>
        <w:rPr>
          <w:rFonts w:hint="eastAsia" w:ascii="仿宋" w:hAnsi="仿宋" w:eastAsia="仿宋" w:cs="仿宋"/>
          <w:color w:val="auto"/>
          <w:spacing w:val="-4"/>
          <w:lang w:bidi="zh-CN"/>
        </w:rPr>
        <w:t xml:space="preserve"> </w:t>
      </w:r>
      <w:r>
        <w:rPr>
          <w:rFonts w:ascii="仿宋" w:hAnsi="仿宋" w:eastAsia="仿宋" w:cs="仿宋"/>
          <w:color w:val="auto"/>
          <w:spacing w:val="-4"/>
          <w:lang w:val="zh-CN" w:bidi="zh-CN"/>
        </w:rPr>
        <w:t>由上表</w:t>
      </w:r>
      <w:r>
        <w:rPr>
          <w:rFonts w:hint="eastAsia" w:ascii="仿宋" w:hAnsi="仿宋" w:eastAsia="仿宋" w:cs="仿宋"/>
          <w:color w:val="auto"/>
          <w:spacing w:val="-4"/>
          <w:lang w:val="zh-CN" w:bidi="zh-CN"/>
        </w:rPr>
        <w:t>可知</w:t>
      </w:r>
      <w:r>
        <w:rPr>
          <w:rFonts w:ascii="仿宋" w:hAnsi="仿宋" w:eastAsia="仿宋" w:cs="仿宋"/>
          <w:color w:val="auto"/>
          <w:spacing w:val="-4"/>
          <w:lang w:val="zh-CN" w:bidi="zh-CN"/>
        </w:rPr>
        <w:t>，</w:t>
      </w:r>
      <w:r>
        <w:rPr>
          <w:rFonts w:hint="eastAsia" w:ascii="仿宋" w:hAnsi="仿宋" w:eastAsia="仿宋" w:cs="仿宋"/>
          <w:color w:val="auto"/>
          <w:spacing w:val="-4"/>
          <w:lang w:val="zh-CN" w:bidi="zh-CN"/>
        </w:rPr>
        <w:t>陆水河</w:t>
      </w:r>
      <w:r>
        <w:rPr>
          <w:rFonts w:ascii="仿宋" w:hAnsi="仿宋" w:eastAsia="仿宋" w:cs="仿宋"/>
          <w:color w:val="auto"/>
          <w:spacing w:val="-4"/>
          <w:lang w:val="zh-CN" w:bidi="zh-CN"/>
        </w:rPr>
        <w:t>满足GB3838-2002《地表水环境质量标准》中III类水体标准限值要求，故该评价区的地表水体质量总体良好。</w:t>
      </w:r>
    </w:p>
    <w:p>
      <w:pPr>
        <w:rPr>
          <w:lang w:val="en-US"/>
        </w:rPr>
      </w:pPr>
    </w:p>
    <w:p/>
    <w:p>
      <w:pPr>
        <w:pStyle w:val="9"/>
        <w:spacing w:line="305" w:lineRule="exact"/>
        <w:ind w:left="1250"/>
        <w:jc w:val="left"/>
      </w:pPr>
    </w:p>
    <w:p>
      <w:pPr>
        <w:pStyle w:val="10"/>
        <w:spacing w:before="64"/>
        <w:ind w:left="240"/>
      </w:pPr>
    </w:p>
    <w:p>
      <w:pPr>
        <w:pStyle w:val="10"/>
        <w:spacing w:before="9"/>
      </w:pPr>
    </w:p>
    <w:p>
      <w:pPr>
        <w:pStyle w:val="23"/>
        <w:numPr>
          <w:ilvl w:val="2"/>
          <w:numId w:val="6"/>
        </w:numPr>
        <w:tabs>
          <w:tab w:val="left" w:pos="941"/>
        </w:tabs>
        <w:ind w:left="940" w:hanging="701"/>
        <w:rPr>
          <w:b/>
          <w:sz w:val="28"/>
        </w:rPr>
      </w:pPr>
      <w:bookmarkStart w:id="67" w:name="2.6.3_声环境质量现状"/>
      <w:bookmarkEnd w:id="67"/>
      <w:bookmarkStart w:id="68" w:name="_bookmark33"/>
      <w:bookmarkEnd w:id="68"/>
      <w:r>
        <w:rPr>
          <w:b/>
          <w:sz w:val="28"/>
        </w:rPr>
        <w:t>声环境质量现状</w:t>
      </w:r>
    </w:p>
    <w:p>
      <w:pPr>
        <w:pStyle w:val="10"/>
        <w:spacing w:before="8"/>
        <w:rPr>
          <w:b/>
          <w:sz w:val="26"/>
        </w:rPr>
      </w:pPr>
    </w:p>
    <w:p>
      <w:pPr>
        <w:pStyle w:val="10"/>
        <w:spacing w:line="364" w:lineRule="auto"/>
        <w:ind w:left="240" w:right="230" w:firstLine="480"/>
        <w:jc w:val="both"/>
      </w:pPr>
      <w:r>
        <w:rPr>
          <w:spacing w:val="-8"/>
        </w:rPr>
        <w:t xml:space="preserve">公司所在地属于 </w:t>
      </w:r>
      <w:r>
        <w:rPr>
          <w:rFonts w:ascii="Times New Roman" w:eastAsia="Times New Roman"/>
        </w:rPr>
        <w:t xml:space="preserve">2 </w:t>
      </w:r>
      <w:r>
        <w:rPr>
          <w:spacing w:val="-4"/>
        </w:rPr>
        <w:t>类区，本项目厂界噪声应执行《声环境质量标准》</w:t>
      </w:r>
      <w:r>
        <w:t>（</w:t>
      </w:r>
      <w:r>
        <w:rPr>
          <w:rFonts w:ascii="Times New Roman" w:eastAsia="Times New Roman"/>
        </w:rPr>
        <w:t>GB3096-2008</w:t>
      </w:r>
      <w:r>
        <w:t>）中</w:t>
      </w:r>
      <w:r>
        <w:rPr>
          <w:spacing w:val="-30"/>
        </w:rPr>
        <w:t xml:space="preserve">的 </w:t>
      </w:r>
      <w:r>
        <w:rPr>
          <w:rFonts w:ascii="Times New Roman" w:eastAsia="Times New Roman"/>
        </w:rPr>
        <w:t xml:space="preserve">2 </w:t>
      </w:r>
      <w:r>
        <w:t>类（</w:t>
      </w:r>
      <w:r>
        <w:rPr>
          <w:spacing w:val="-11"/>
        </w:rPr>
        <w:t xml:space="preserve">昼间不超过 </w:t>
      </w:r>
      <w:r>
        <w:rPr>
          <w:rFonts w:ascii="Times New Roman" w:eastAsia="Times New Roman"/>
        </w:rPr>
        <w:t>60dB(A)</w:t>
      </w:r>
      <w:r>
        <w:rPr>
          <w:spacing w:val="-9"/>
        </w:rPr>
        <w:t xml:space="preserve">，夜间不超过 </w:t>
      </w:r>
      <w:r>
        <w:rPr>
          <w:rFonts w:ascii="Times New Roman" w:eastAsia="Times New Roman"/>
        </w:rPr>
        <w:t>50dB(A)</w:t>
      </w:r>
      <w:r>
        <w:t>）</w:t>
      </w:r>
      <w:r>
        <w:rPr>
          <w:spacing w:val="-1"/>
        </w:rPr>
        <w:t>标准限值。为了解项目所在地区声环境</w:t>
      </w:r>
      <w:r>
        <w:rPr>
          <w:spacing w:val="-4"/>
        </w:rPr>
        <w:t>质量现状，</w:t>
      </w:r>
      <w:r>
        <w:rPr>
          <w:rFonts w:hint="eastAsia"/>
          <w:spacing w:val="-4"/>
        </w:rPr>
        <w:t>湖北恒驰检测技术有限公司</w:t>
      </w:r>
      <w:r>
        <w:rPr>
          <w:spacing w:val="-4"/>
        </w:rPr>
        <w:t xml:space="preserve">于 </w:t>
      </w:r>
      <w:r>
        <w:rPr>
          <w:rFonts w:ascii="Times New Roman" w:eastAsia="Times New Roman"/>
        </w:rPr>
        <w:t>202</w:t>
      </w:r>
      <w:r>
        <w:rPr>
          <w:rFonts w:hint="eastAsia" w:ascii="Times New Roman" w:eastAsia="宋体"/>
          <w:lang w:val="en-US"/>
        </w:rPr>
        <w:t>1</w:t>
      </w:r>
      <w:r>
        <w:rPr>
          <w:rFonts w:ascii="Times New Roman" w:eastAsia="Times New Roman"/>
        </w:rPr>
        <w:t xml:space="preserve"> </w:t>
      </w:r>
      <w:r>
        <w:rPr>
          <w:spacing w:val="-28"/>
        </w:rPr>
        <w:t xml:space="preserve">年 </w:t>
      </w:r>
      <w:r>
        <w:rPr>
          <w:rFonts w:hint="eastAsia"/>
          <w:spacing w:val="-28"/>
          <w:lang w:val="en-US"/>
        </w:rPr>
        <w:t>06</w:t>
      </w:r>
      <w:r>
        <w:rPr>
          <w:spacing w:val="-30"/>
        </w:rPr>
        <w:t xml:space="preserve">月 </w:t>
      </w:r>
      <w:r>
        <w:rPr>
          <w:rFonts w:hint="eastAsia"/>
          <w:spacing w:val="-30"/>
          <w:lang w:val="en-US"/>
        </w:rPr>
        <w:t>14</w:t>
      </w:r>
      <w:r>
        <w:rPr>
          <w:spacing w:val="-20"/>
        </w:rPr>
        <w:t xml:space="preserve">日和 </w:t>
      </w:r>
      <w:r>
        <w:rPr>
          <w:rFonts w:hint="eastAsia"/>
          <w:spacing w:val="-20"/>
          <w:lang w:val="en-US"/>
        </w:rPr>
        <w:t>06</w:t>
      </w:r>
      <w:r>
        <w:rPr>
          <w:rFonts w:ascii="Times New Roman" w:eastAsia="Times New Roman"/>
        </w:rPr>
        <w:t xml:space="preserve"> </w:t>
      </w:r>
      <w:r>
        <w:rPr>
          <w:spacing w:val="-28"/>
        </w:rPr>
        <w:t xml:space="preserve">月 </w:t>
      </w:r>
      <w:r>
        <w:rPr>
          <w:rFonts w:ascii="Times New Roman" w:eastAsia="Times New Roman"/>
        </w:rPr>
        <w:t>0</w:t>
      </w:r>
      <w:r>
        <w:rPr>
          <w:rFonts w:hint="eastAsia" w:ascii="Times New Roman" w:eastAsia="宋体"/>
          <w:lang w:val="en-US"/>
        </w:rPr>
        <w:t>15</w:t>
      </w:r>
      <w:r>
        <w:t>日对项目周边环境噪</w:t>
      </w:r>
      <w:r>
        <w:rPr>
          <w:spacing w:val="-10"/>
        </w:rPr>
        <w:t>声现状进行了监测，结果表明公司所处区域环境噪声监测点位及厂界周边环境敏感点处昼和夜</w:t>
      </w:r>
      <w:r>
        <w:t>间噪声值均符合《声环境质量标准》（</w:t>
      </w:r>
      <w:r>
        <w:rPr>
          <w:rFonts w:ascii="Times New Roman" w:eastAsia="Times New Roman"/>
        </w:rPr>
        <w:t>GB3096-2008</w:t>
      </w:r>
      <w:r>
        <w:t>）</w:t>
      </w:r>
      <w:r>
        <w:rPr>
          <w:spacing w:val="-31"/>
        </w:rPr>
        <w:t xml:space="preserve">中 </w:t>
      </w:r>
      <w:r>
        <w:rPr>
          <w:rFonts w:ascii="Times New Roman" w:eastAsia="Times New Roman"/>
        </w:rPr>
        <w:t xml:space="preserve">2 </w:t>
      </w:r>
      <w:r>
        <w:t>类标准。</w:t>
      </w:r>
    </w:p>
    <w:p>
      <w:pPr>
        <w:pStyle w:val="9"/>
        <w:spacing w:line="303" w:lineRule="exact"/>
        <w:ind w:left="969"/>
        <w:jc w:val="both"/>
      </w:pPr>
      <w:r>
        <w:rPr>
          <w:spacing w:val="-31"/>
        </w:rPr>
        <w:t xml:space="preserve">表 </w:t>
      </w:r>
      <w:r>
        <w:rPr>
          <w:rFonts w:ascii="Times New Roman" w:eastAsia="Times New Roman"/>
        </w:rPr>
        <w:t>2.6.3-1</w:t>
      </w:r>
      <w:r>
        <w:rPr>
          <w:rFonts w:ascii="Times New Roman" w:eastAsia="Times New Roman"/>
          <w:spacing w:val="59"/>
        </w:rPr>
        <w:t xml:space="preserve"> </w:t>
      </w:r>
      <w:r>
        <w:t>项目区域声环境质量现状监测及评价结果一览表（单位：</w:t>
      </w:r>
      <w:r>
        <w:rPr>
          <w:rFonts w:ascii="Times New Roman" w:eastAsia="Times New Roman"/>
        </w:rPr>
        <w:t>dB</w:t>
      </w:r>
      <w:r>
        <w:t>（</w:t>
      </w:r>
      <w:r>
        <w:rPr>
          <w:rFonts w:ascii="Times New Roman" w:eastAsia="Times New Roman"/>
        </w:rPr>
        <w:t>A</w:t>
      </w:r>
      <w:r>
        <w:t>））</w:t>
      </w:r>
    </w:p>
    <w:tbl>
      <w:tblPr>
        <w:tblStyle w:val="15"/>
        <w:tblW w:w="0" w:type="auto"/>
        <w:tblInd w:w="45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403"/>
        <w:gridCol w:w="2871"/>
        <w:gridCol w:w="1033"/>
        <w:gridCol w:w="1039"/>
        <w:gridCol w:w="993"/>
        <w:gridCol w:w="1035"/>
        <w:gridCol w:w="126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403" w:type="dxa"/>
            <w:vMerge w:val="restart"/>
            <w:tcBorders>
              <w:left w:val="nil"/>
              <w:bottom w:val="single" w:color="000000" w:sz="4" w:space="0"/>
              <w:right w:val="single" w:color="000000" w:sz="4" w:space="0"/>
            </w:tcBorders>
          </w:tcPr>
          <w:p>
            <w:pPr>
              <w:pStyle w:val="24"/>
              <w:spacing w:before="4"/>
              <w:rPr>
                <w:b/>
                <w:sz w:val="16"/>
              </w:rPr>
            </w:pPr>
            <w:bookmarkStart w:id="69" w:name="2.6.4_主要环境保护目标"/>
            <w:bookmarkEnd w:id="69"/>
            <w:bookmarkStart w:id="70" w:name="_bookmark34"/>
            <w:bookmarkEnd w:id="70"/>
          </w:p>
          <w:p>
            <w:pPr>
              <w:pStyle w:val="24"/>
              <w:ind w:left="290"/>
              <w:rPr>
                <w:b/>
                <w:sz w:val="21"/>
              </w:rPr>
            </w:pPr>
            <w:r>
              <w:rPr>
                <w:b/>
                <w:sz w:val="21"/>
              </w:rPr>
              <w:t>检测日期</w:t>
            </w:r>
          </w:p>
        </w:tc>
        <w:tc>
          <w:tcPr>
            <w:tcW w:w="2871" w:type="dxa"/>
            <w:vMerge w:val="restart"/>
            <w:tcBorders>
              <w:left w:val="single" w:color="000000" w:sz="4" w:space="0"/>
              <w:bottom w:val="single" w:color="000000" w:sz="4" w:space="0"/>
              <w:right w:val="single" w:color="000000" w:sz="4" w:space="0"/>
            </w:tcBorders>
          </w:tcPr>
          <w:p>
            <w:pPr>
              <w:pStyle w:val="24"/>
              <w:spacing w:before="4"/>
              <w:rPr>
                <w:b/>
                <w:sz w:val="16"/>
              </w:rPr>
            </w:pPr>
          </w:p>
          <w:p>
            <w:pPr>
              <w:pStyle w:val="24"/>
              <w:ind w:left="887" w:right="860"/>
              <w:rPr>
                <w:b/>
                <w:sz w:val="21"/>
              </w:rPr>
            </w:pPr>
            <w:r>
              <w:rPr>
                <w:b/>
                <w:sz w:val="21"/>
              </w:rPr>
              <w:t>检测点位</w:t>
            </w:r>
          </w:p>
        </w:tc>
        <w:tc>
          <w:tcPr>
            <w:tcW w:w="1033" w:type="dxa"/>
            <w:vMerge w:val="restart"/>
            <w:tcBorders>
              <w:left w:val="single" w:color="000000" w:sz="4" w:space="0"/>
              <w:bottom w:val="single" w:color="000000" w:sz="4" w:space="0"/>
              <w:right w:val="single" w:color="000000" w:sz="4" w:space="0"/>
            </w:tcBorders>
          </w:tcPr>
          <w:p>
            <w:pPr>
              <w:pStyle w:val="24"/>
              <w:spacing w:before="4"/>
              <w:rPr>
                <w:b/>
                <w:sz w:val="16"/>
              </w:rPr>
            </w:pPr>
          </w:p>
          <w:p>
            <w:pPr>
              <w:pStyle w:val="24"/>
              <w:ind w:left="90"/>
              <w:rPr>
                <w:b/>
                <w:sz w:val="21"/>
              </w:rPr>
            </w:pPr>
            <w:r>
              <w:rPr>
                <w:b/>
                <w:sz w:val="21"/>
              </w:rPr>
              <w:t>主要声源</w:t>
            </w:r>
          </w:p>
        </w:tc>
        <w:tc>
          <w:tcPr>
            <w:tcW w:w="4331" w:type="dxa"/>
            <w:gridSpan w:val="4"/>
            <w:tcBorders>
              <w:left w:val="single" w:color="000000" w:sz="4" w:space="0"/>
              <w:bottom w:val="single" w:color="000000" w:sz="4" w:space="0"/>
              <w:right w:val="nil"/>
            </w:tcBorders>
          </w:tcPr>
          <w:p>
            <w:pPr>
              <w:pStyle w:val="24"/>
              <w:spacing w:before="32"/>
              <w:ind w:left="1340"/>
              <w:rPr>
                <w:rFonts w:ascii="Times New Roman" w:eastAsia="Times New Roman"/>
                <w:b/>
                <w:sz w:val="21"/>
              </w:rPr>
            </w:pPr>
            <w:r>
              <w:rPr>
                <w:b/>
                <w:sz w:val="21"/>
              </w:rPr>
              <w:t xml:space="preserve">检测结果 </w:t>
            </w:r>
            <w:r>
              <w:rPr>
                <w:rFonts w:ascii="Times New Roman" w:eastAsia="Times New Roman"/>
                <w:b/>
                <w:sz w:val="21"/>
              </w:rPr>
              <w:t>L</w:t>
            </w:r>
            <w:r>
              <w:rPr>
                <w:rFonts w:ascii="Times New Roman" w:eastAsia="Times New Roman"/>
                <w:b/>
                <w:position w:val="-1"/>
                <w:sz w:val="21"/>
              </w:rPr>
              <w:t>eq</w:t>
            </w:r>
            <w:r>
              <w:rPr>
                <w:rFonts w:ascii="Times New Roman" w:eastAsia="Times New Roman"/>
                <w:b/>
                <w:sz w:val="21"/>
              </w:rPr>
              <w:t>[dB(A)]</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403" w:type="dxa"/>
            <w:vMerge w:val="continue"/>
            <w:tcBorders>
              <w:top w:val="nil"/>
              <w:left w:val="nil"/>
              <w:bottom w:val="single" w:color="000000" w:sz="4" w:space="0"/>
              <w:right w:val="single" w:color="000000" w:sz="4" w:space="0"/>
            </w:tcBorders>
          </w:tcPr>
          <w:p>
            <w:pPr>
              <w:rPr>
                <w:sz w:val="2"/>
                <w:szCs w:val="2"/>
              </w:rPr>
            </w:pPr>
          </w:p>
        </w:tc>
        <w:tc>
          <w:tcPr>
            <w:tcW w:w="2871" w:type="dxa"/>
            <w:vMerge w:val="continue"/>
            <w:tcBorders>
              <w:top w:val="nil"/>
              <w:left w:val="single" w:color="000000" w:sz="4" w:space="0"/>
              <w:bottom w:val="single" w:color="000000" w:sz="4" w:space="0"/>
              <w:right w:val="single" w:color="000000" w:sz="4" w:space="0"/>
            </w:tcBorders>
          </w:tcPr>
          <w:p>
            <w:pPr>
              <w:rPr>
                <w:sz w:val="2"/>
                <w:szCs w:val="2"/>
              </w:rPr>
            </w:pPr>
          </w:p>
        </w:tc>
        <w:tc>
          <w:tcPr>
            <w:tcW w:w="1033" w:type="dxa"/>
            <w:vMerge w:val="continue"/>
            <w:tcBorders>
              <w:top w:val="nil"/>
              <w:left w:val="single" w:color="000000" w:sz="4" w:space="0"/>
              <w:bottom w:val="single" w:color="000000" w:sz="4" w:space="0"/>
              <w:right w:val="single" w:color="000000" w:sz="4" w:space="0"/>
            </w:tcBorders>
          </w:tcPr>
          <w:p>
            <w:pPr>
              <w:rPr>
                <w:sz w:val="2"/>
                <w:szCs w:val="2"/>
              </w:rPr>
            </w:pPr>
          </w:p>
        </w:tc>
        <w:tc>
          <w:tcPr>
            <w:tcW w:w="1039" w:type="dxa"/>
            <w:tcBorders>
              <w:top w:val="single" w:color="000000" w:sz="4" w:space="0"/>
              <w:left w:val="single" w:color="000000" w:sz="4" w:space="0"/>
              <w:bottom w:val="single" w:color="000000" w:sz="4" w:space="0"/>
              <w:right w:val="single" w:color="000000" w:sz="4" w:space="0"/>
            </w:tcBorders>
          </w:tcPr>
          <w:p>
            <w:pPr>
              <w:pStyle w:val="24"/>
              <w:spacing w:before="34"/>
              <w:ind w:left="42" w:right="5"/>
              <w:rPr>
                <w:b/>
                <w:sz w:val="21"/>
              </w:rPr>
            </w:pPr>
            <w:r>
              <w:rPr>
                <w:b/>
                <w:w w:val="95"/>
                <w:sz w:val="21"/>
              </w:rPr>
              <w:t>昼间检测结果</w:t>
            </w:r>
          </w:p>
        </w:tc>
        <w:tc>
          <w:tcPr>
            <w:tcW w:w="993" w:type="dxa"/>
            <w:tcBorders>
              <w:top w:val="single" w:color="000000" w:sz="4" w:space="0"/>
              <w:left w:val="single" w:color="000000" w:sz="4" w:space="0"/>
              <w:bottom w:val="single" w:color="000000" w:sz="4" w:space="0"/>
              <w:right w:val="single" w:color="000000" w:sz="4" w:space="0"/>
            </w:tcBorders>
          </w:tcPr>
          <w:p>
            <w:pPr>
              <w:pStyle w:val="24"/>
              <w:spacing w:before="34"/>
              <w:ind w:left="62" w:right="36"/>
              <w:rPr>
                <w:b/>
                <w:sz w:val="21"/>
              </w:rPr>
            </w:pPr>
            <w:r>
              <w:rPr>
                <w:b/>
                <w:sz w:val="21"/>
              </w:rPr>
              <w:t>标准限值</w:t>
            </w:r>
          </w:p>
        </w:tc>
        <w:tc>
          <w:tcPr>
            <w:tcW w:w="1035" w:type="dxa"/>
            <w:tcBorders>
              <w:top w:val="single" w:color="000000" w:sz="4" w:space="0"/>
              <w:left w:val="single" w:color="000000" w:sz="4" w:space="0"/>
              <w:bottom w:val="single" w:color="000000" w:sz="4" w:space="0"/>
              <w:right w:val="single" w:color="000000" w:sz="4" w:space="0"/>
            </w:tcBorders>
          </w:tcPr>
          <w:p>
            <w:pPr>
              <w:pStyle w:val="24"/>
              <w:spacing w:before="34"/>
              <w:ind w:left="43" w:right="7"/>
              <w:rPr>
                <w:b/>
                <w:sz w:val="21"/>
              </w:rPr>
            </w:pPr>
            <w:r>
              <w:rPr>
                <w:b/>
                <w:spacing w:val="-1"/>
                <w:w w:val="95"/>
                <w:sz w:val="21"/>
              </w:rPr>
              <w:t>夜间检测结果</w:t>
            </w:r>
          </w:p>
        </w:tc>
        <w:tc>
          <w:tcPr>
            <w:tcW w:w="1264" w:type="dxa"/>
            <w:tcBorders>
              <w:top w:val="single" w:color="000000" w:sz="4" w:space="0"/>
              <w:left w:val="single" w:color="000000" w:sz="4" w:space="0"/>
              <w:bottom w:val="single" w:color="000000" w:sz="4" w:space="0"/>
              <w:right w:val="nil"/>
            </w:tcBorders>
          </w:tcPr>
          <w:p>
            <w:pPr>
              <w:pStyle w:val="24"/>
              <w:spacing w:before="34"/>
              <w:ind w:left="70" w:right="44"/>
              <w:rPr>
                <w:b/>
                <w:sz w:val="21"/>
              </w:rPr>
            </w:pPr>
            <w:r>
              <w:rPr>
                <w:b/>
                <w:sz w:val="21"/>
              </w:rPr>
              <w:t>标准限值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403" w:type="dxa"/>
            <w:vMerge w:val="restart"/>
            <w:tcBorders>
              <w:top w:val="single" w:color="000000" w:sz="4" w:space="0"/>
              <w:left w:val="nil"/>
              <w:bottom w:val="single" w:color="000000" w:sz="4" w:space="0"/>
              <w:right w:val="single" w:color="000000" w:sz="4" w:space="0"/>
            </w:tcBorders>
          </w:tcPr>
          <w:p>
            <w:pPr>
              <w:pStyle w:val="24"/>
              <w:rPr>
                <w:b/>
              </w:rPr>
            </w:pPr>
          </w:p>
          <w:p>
            <w:pPr>
              <w:pStyle w:val="24"/>
              <w:rPr>
                <w:b/>
              </w:rPr>
            </w:pPr>
          </w:p>
          <w:p>
            <w:pPr>
              <w:pStyle w:val="24"/>
              <w:spacing w:before="12"/>
              <w:rPr>
                <w:b/>
                <w:sz w:val="27"/>
              </w:rPr>
            </w:pPr>
          </w:p>
          <w:p>
            <w:pPr>
              <w:pStyle w:val="24"/>
              <w:ind w:left="242"/>
              <w:rPr>
                <w:rFonts w:ascii="Times New Roman"/>
                <w:sz w:val="21"/>
                <w:lang w:val="en-US"/>
              </w:rPr>
            </w:pPr>
            <w:r>
              <w:rPr>
                <w:rFonts w:ascii="Times New Roman"/>
                <w:sz w:val="21"/>
              </w:rPr>
              <w:t>202</w:t>
            </w:r>
            <w:r>
              <w:rPr>
                <w:rFonts w:hint="eastAsia" w:ascii="Times New Roman"/>
                <w:sz w:val="21"/>
                <w:lang w:val="en-US"/>
              </w:rPr>
              <w:t>1</w:t>
            </w:r>
            <w:r>
              <w:rPr>
                <w:rFonts w:ascii="Times New Roman"/>
                <w:sz w:val="21"/>
              </w:rPr>
              <w:t>.</w:t>
            </w:r>
            <w:r>
              <w:rPr>
                <w:rFonts w:hint="eastAsia" w:ascii="Times New Roman"/>
                <w:sz w:val="21"/>
                <w:lang w:val="en-US"/>
              </w:rPr>
              <w:t>06</w:t>
            </w:r>
            <w:r>
              <w:rPr>
                <w:rFonts w:ascii="Times New Roman"/>
                <w:sz w:val="21"/>
              </w:rPr>
              <w:t>.</w:t>
            </w:r>
            <w:r>
              <w:rPr>
                <w:rFonts w:hint="eastAsia" w:ascii="Times New Roman"/>
                <w:sz w:val="21"/>
                <w:lang w:val="en-US"/>
              </w:rPr>
              <w:t>14</w:t>
            </w:r>
          </w:p>
        </w:tc>
        <w:tc>
          <w:tcPr>
            <w:tcW w:w="2871" w:type="dxa"/>
            <w:tcBorders>
              <w:top w:val="single" w:color="000000" w:sz="4" w:space="0"/>
              <w:left w:val="single" w:color="000000" w:sz="4" w:space="0"/>
              <w:bottom w:val="single" w:color="000000" w:sz="4" w:space="0"/>
              <w:right w:val="single" w:color="000000" w:sz="4" w:space="0"/>
            </w:tcBorders>
          </w:tcPr>
          <w:p>
            <w:pPr>
              <w:pStyle w:val="24"/>
              <w:spacing w:before="34"/>
              <w:ind w:left="514"/>
              <w:rPr>
                <w:sz w:val="21"/>
              </w:rPr>
            </w:pPr>
            <w:r>
              <w:rPr>
                <w:rFonts w:ascii="Times New Roman" w:eastAsia="Times New Roman"/>
                <w:sz w:val="21"/>
              </w:rPr>
              <w:t>1#</w:t>
            </w:r>
            <w:r>
              <w:rPr>
                <w:sz w:val="21"/>
              </w:rPr>
              <w:t xml:space="preserve">厂界东外 </w:t>
            </w:r>
            <w:r>
              <w:rPr>
                <w:rFonts w:ascii="Times New Roman" w:eastAsia="Times New Roman"/>
                <w:sz w:val="21"/>
              </w:rPr>
              <w:t xml:space="preserve">1m </w:t>
            </w:r>
            <w:r>
              <w:rPr>
                <w:sz w:val="21"/>
              </w:rPr>
              <w:t>处</w:t>
            </w:r>
          </w:p>
        </w:tc>
        <w:tc>
          <w:tcPr>
            <w:tcW w:w="1033" w:type="dxa"/>
            <w:tcBorders>
              <w:top w:val="single" w:color="000000" w:sz="4" w:space="0"/>
              <w:left w:val="single" w:color="000000" w:sz="4" w:space="0"/>
              <w:bottom w:val="single" w:color="000000" w:sz="4" w:space="0"/>
              <w:right w:val="single" w:color="000000" w:sz="4" w:space="0"/>
            </w:tcBorders>
          </w:tcPr>
          <w:p>
            <w:pPr>
              <w:pStyle w:val="24"/>
              <w:spacing w:before="34"/>
              <w:ind w:right="61"/>
              <w:jc w:val="right"/>
              <w:rPr>
                <w:sz w:val="21"/>
              </w:rPr>
            </w:pPr>
            <w:r>
              <w:rPr>
                <w:w w:val="95"/>
                <w:sz w:val="21"/>
              </w:rPr>
              <w:t>环境噪声</w:t>
            </w:r>
          </w:p>
        </w:tc>
        <w:tc>
          <w:tcPr>
            <w:tcW w:w="1039" w:type="dxa"/>
            <w:tcBorders>
              <w:top w:val="single" w:color="000000" w:sz="4" w:space="0"/>
              <w:left w:val="single" w:color="000000" w:sz="4" w:space="0"/>
              <w:bottom w:val="single" w:color="000000" w:sz="4" w:space="0"/>
              <w:right w:val="single" w:color="000000" w:sz="4" w:space="0"/>
            </w:tcBorders>
          </w:tcPr>
          <w:p>
            <w:pPr>
              <w:pStyle w:val="24"/>
              <w:spacing w:before="48"/>
              <w:ind w:left="35" w:right="5"/>
              <w:rPr>
                <w:rFonts w:ascii="Times New Roman"/>
                <w:sz w:val="21"/>
                <w:lang w:val="en-US"/>
              </w:rPr>
            </w:pPr>
            <w:r>
              <w:rPr>
                <w:rFonts w:hint="eastAsia" w:ascii="Times New Roman"/>
                <w:sz w:val="21"/>
                <w:lang w:val="en-US"/>
              </w:rPr>
              <w:t>58.2</w:t>
            </w:r>
          </w:p>
        </w:tc>
        <w:tc>
          <w:tcPr>
            <w:tcW w:w="993" w:type="dxa"/>
            <w:tcBorders>
              <w:top w:val="single" w:color="000000" w:sz="4" w:space="0"/>
              <w:left w:val="single" w:color="000000" w:sz="4" w:space="0"/>
              <w:bottom w:val="single" w:color="000000" w:sz="4" w:space="0"/>
              <w:right w:val="single" w:color="000000" w:sz="4" w:space="0"/>
            </w:tcBorders>
          </w:tcPr>
          <w:p>
            <w:pPr>
              <w:pStyle w:val="24"/>
              <w:spacing w:before="48"/>
              <w:ind w:left="62" w:right="35"/>
              <w:rPr>
                <w:rFonts w:ascii="Times New Roman"/>
                <w:sz w:val="21"/>
                <w:lang w:val="en-US"/>
              </w:rPr>
            </w:pPr>
            <w:r>
              <w:rPr>
                <w:rFonts w:hint="eastAsia" w:ascii="Times New Roman"/>
                <w:sz w:val="21"/>
                <w:lang w:val="en-US"/>
              </w:rPr>
              <w:t>65</w:t>
            </w:r>
          </w:p>
        </w:tc>
        <w:tc>
          <w:tcPr>
            <w:tcW w:w="1035" w:type="dxa"/>
            <w:tcBorders>
              <w:top w:val="single" w:color="000000" w:sz="4" w:space="0"/>
              <w:left w:val="single" w:color="000000" w:sz="4" w:space="0"/>
              <w:bottom w:val="single" w:color="000000" w:sz="4" w:space="0"/>
              <w:right w:val="single" w:color="000000" w:sz="4" w:space="0"/>
            </w:tcBorders>
          </w:tcPr>
          <w:p>
            <w:pPr>
              <w:pStyle w:val="24"/>
              <w:spacing w:before="48"/>
              <w:ind w:left="35" w:right="7"/>
              <w:rPr>
                <w:rFonts w:ascii="Times New Roman"/>
                <w:sz w:val="21"/>
                <w:lang w:val="en-US"/>
              </w:rPr>
            </w:pPr>
            <w:r>
              <w:rPr>
                <w:rFonts w:hint="eastAsia" w:ascii="Times New Roman"/>
                <w:sz w:val="21"/>
                <w:lang w:val="en-US"/>
              </w:rPr>
              <w:t>47.5</w:t>
            </w:r>
          </w:p>
        </w:tc>
        <w:tc>
          <w:tcPr>
            <w:tcW w:w="1264" w:type="dxa"/>
            <w:tcBorders>
              <w:top w:val="single" w:color="000000" w:sz="4" w:space="0"/>
              <w:left w:val="single" w:color="000000" w:sz="4" w:space="0"/>
              <w:bottom w:val="single" w:color="000000" w:sz="4" w:space="0"/>
              <w:right w:val="nil"/>
            </w:tcBorders>
          </w:tcPr>
          <w:p>
            <w:pPr>
              <w:pStyle w:val="24"/>
              <w:spacing w:before="48"/>
              <w:ind w:left="70" w:right="42"/>
              <w:rPr>
                <w:rFonts w:ascii="Times New Roman"/>
                <w:sz w:val="21"/>
                <w:lang w:val="en-US"/>
              </w:rPr>
            </w:pPr>
            <w:r>
              <w:rPr>
                <w:rFonts w:hint="eastAsia" w:ascii="Times New Roman"/>
                <w:sz w:val="21"/>
                <w:lang w:val="en-US"/>
              </w:rPr>
              <w:t>55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403" w:type="dxa"/>
            <w:vMerge w:val="continue"/>
            <w:tcBorders>
              <w:top w:val="nil"/>
              <w:left w:val="nil"/>
              <w:bottom w:val="single" w:color="000000" w:sz="4" w:space="0"/>
              <w:right w:val="single" w:color="000000" w:sz="4" w:space="0"/>
            </w:tcBorders>
          </w:tcPr>
          <w:p>
            <w:pPr>
              <w:rPr>
                <w:sz w:val="2"/>
                <w:szCs w:val="2"/>
              </w:rPr>
            </w:pPr>
          </w:p>
        </w:tc>
        <w:tc>
          <w:tcPr>
            <w:tcW w:w="2871" w:type="dxa"/>
            <w:tcBorders>
              <w:top w:val="single" w:color="000000" w:sz="4" w:space="0"/>
              <w:left w:val="single" w:color="000000" w:sz="4" w:space="0"/>
              <w:bottom w:val="single" w:color="000000" w:sz="4" w:space="0"/>
              <w:right w:val="single" w:color="000000" w:sz="4" w:space="0"/>
            </w:tcBorders>
          </w:tcPr>
          <w:p>
            <w:pPr>
              <w:pStyle w:val="24"/>
              <w:spacing w:before="35"/>
              <w:ind w:left="514"/>
              <w:rPr>
                <w:sz w:val="21"/>
              </w:rPr>
            </w:pPr>
            <w:r>
              <w:rPr>
                <w:rFonts w:ascii="Times New Roman" w:eastAsia="Times New Roman"/>
                <w:sz w:val="21"/>
              </w:rPr>
              <w:t>2#</w:t>
            </w:r>
            <w:r>
              <w:rPr>
                <w:sz w:val="21"/>
              </w:rPr>
              <w:t xml:space="preserve">厂界南外 </w:t>
            </w:r>
            <w:r>
              <w:rPr>
                <w:rFonts w:ascii="Times New Roman" w:eastAsia="Times New Roman"/>
                <w:sz w:val="21"/>
              </w:rPr>
              <w:t xml:space="preserve">1m </w:t>
            </w:r>
            <w:r>
              <w:rPr>
                <w:sz w:val="21"/>
              </w:rPr>
              <w:t>处</w:t>
            </w:r>
          </w:p>
        </w:tc>
        <w:tc>
          <w:tcPr>
            <w:tcW w:w="1033" w:type="dxa"/>
            <w:tcBorders>
              <w:top w:val="single" w:color="000000" w:sz="4" w:space="0"/>
              <w:left w:val="single" w:color="000000" w:sz="4" w:space="0"/>
              <w:bottom w:val="single" w:color="000000" w:sz="4" w:space="0"/>
              <w:right w:val="single" w:color="000000" w:sz="4" w:space="0"/>
            </w:tcBorders>
          </w:tcPr>
          <w:p>
            <w:pPr>
              <w:pStyle w:val="24"/>
              <w:spacing w:before="35"/>
              <w:ind w:right="61"/>
              <w:jc w:val="right"/>
              <w:rPr>
                <w:sz w:val="21"/>
              </w:rPr>
            </w:pPr>
            <w:r>
              <w:rPr>
                <w:w w:val="95"/>
                <w:sz w:val="21"/>
              </w:rPr>
              <w:t>环境噪声</w:t>
            </w:r>
          </w:p>
        </w:tc>
        <w:tc>
          <w:tcPr>
            <w:tcW w:w="1039" w:type="dxa"/>
            <w:tcBorders>
              <w:top w:val="single" w:color="000000" w:sz="4" w:space="0"/>
              <w:left w:val="single" w:color="000000" w:sz="4" w:space="0"/>
              <w:bottom w:val="single" w:color="000000" w:sz="4" w:space="0"/>
              <w:right w:val="single" w:color="000000" w:sz="4" w:space="0"/>
            </w:tcBorders>
          </w:tcPr>
          <w:p>
            <w:pPr>
              <w:pStyle w:val="24"/>
              <w:spacing w:before="49"/>
              <w:ind w:left="35" w:right="5"/>
              <w:rPr>
                <w:rFonts w:ascii="Times New Roman"/>
                <w:sz w:val="21"/>
                <w:lang w:val="en-US"/>
              </w:rPr>
            </w:pPr>
            <w:r>
              <w:rPr>
                <w:rFonts w:hint="eastAsia" w:ascii="Times New Roman"/>
                <w:sz w:val="21"/>
                <w:lang w:val="en-US"/>
              </w:rPr>
              <w:t>55.6</w:t>
            </w:r>
          </w:p>
        </w:tc>
        <w:tc>
          <w:tcPr>
            <w:tcW w:w="993" w:type="dxa"/>
            <w:tcBorders>
              <w:top w:val="single" w:color="000000" w:sz="4" w:space="0"/>
              <w:left w:val="single" w:color="000000" w:sz="4" w:space="0"/>
              <w:bottom w:val="single" w:color="000000" w:sz="4" w:space="0"/>
              <w:right w:val="single" w:color="000000" w:sz="4" w:space="0"/>
            </w:tcBorders>
          </w:tcPr>
          <w:p>
            <w:pPr>
              <w:pStyle w:val="24"/>
              <w:spacing w:before="49"/>
              <w:ind w:left="62" w:right="35"/>
              <w:rPr>
                <w:rFonts w:ascii="Times New Roman"/>
                <w:sz w:val="21"/>
                <w:lang w:val="en-US"/>
              </w:rPr>
            </w:pPr>
            <w:r>
              <w:rPr>
                <w:rFonts w:hint="eastAsia" w:ascii="Times New Roman"/>
                <w:sz w:val="21"/>
                <w:lang w:val="en-US"/>
              </w:rPr>
              <w:t>65</w:t>
            </w:r>
          </w:p>
        </w:tc>
        <w:tc>
          <w:tcPr>
            <w:tcW w:w="1035" w:type="dxa"/>
            <w:tcBorders>
              <w:top w:val="single" w:color="000000" w:sz="4" w:space="0"/>
              <w:left w:val="single" w:color="000000" w:sz="4" w:space="0"/>
              <w:bottom w:val="single" w:color="000000" w:sz="4" w:space="0"/>
              <w:right w:val="single" w:color="000000" w:sz="4" w:space="0"/>
            </w:tcBorders>
          </w:tcPr>
          <w:p>
            <w:pPr>
              <w:pStyle w:val="24"/>
              <w:spacing w:before="49"/>
              <w:ind w:left="35" w:right="7"/>
              <w:rPr>
                <w:rFonts w:ascii="Times New Roman"/>
                <w:sz w:val="21"/>
                <w:lang w:val="en-US"/>
              </w:rPr>
            </w:pPr>
            <w:r>
              <w:rPr>
                <w:rFonts w:hint="eastAsia" w:ascii="Times New Roman"/>
                <w:sz w:val="21"/>
                <w:lang w:val="en-US"/>
              </w:rPr>
              <w:t>54.3</w:t>
            </w:r>
          </w:p>
        </w:tc>
        <w:tc>
          <w:tcPr>
            <w:tcW w:w="1264" w:type="dxa"/>
            <w:tcBorders>
              <w:top w:val="single" w:color="000000" w:sz="4" w:space="0"/>
              <w:left w:val="single" w:color="000000" w:sz="4" w:space="0"/>
              <w:bottom w:val="single" w:color="000000" w:sz="4" w:space="0"/>
              <w:right w:val="nil"/>
            </w:tcBorders>
          </w:tcPr>
          <w:p>
            <w:pPr>
              <w:pStyle w:val="24"/>
              <w:spacing w:before="49"/>
              <w:ind w:left="70" w:right="42"/>
              <w:rPr>
                <w:rFonts w:ascii="Times New Roman"/>
                <w:sz w:val="21"/>
                <w:lang w:val="en-US"/>
              </w:rPr>
            </w:pPr>
            <w:r>
              <w:rPr>
                <w:rFonts w:hint="eastAsia" w:ascii="Times New Roman"/>
                <w:sz w:val="21"/>
                <w:lang w:val="en-US"/>
              </w:rPr>
              <w:t>55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403" w:type="dxa"/>
            <w:vMerge w:val="continue"/>
            <w:tcBorders>
              <w:top w:val="nil"/>
              <w:left w:val="nil"/>
              <w:bottom w:val="single" w:color="000000" w:sz="4" w:space="0"/>
              <w:right w:val="single" w:color="000000" w:sz="4" w:space="0"/>
            </w:tcBorders>
          </w:tcPr>
          <w:p>
            <w:pPr>
              <w:rPr>
                <w:sz w:val="2"/>
                <w:szCs w:val="2"/>
              </w:rPr>
            </w:pPr>
          </w:p>
        </w:tc>
        <w:tc>
          <w:tcPr>
            <w:tcW w:w="2871" w:type="dxa"/>
            <w:tcBorders>
              <w:top w:val="single" w:color="000000" w:sz="4" w:space="0"/>
              <w:left w:val="single" w:color="000000" w:sz="4" w:space="0"/>
              <w:bottom w:val="single" w:color="000000" w:sz="4" w:space="0"/>
              <w:right w:val="single" w:color="000000" w:sz="4" w:space="0"/>
            </w:tcBorders>
          </w:tcPr>
          <w:p>
            <w:pPr>
              <w:pStyle w:val="24"/>
              <w:spacing w:before="33"/>
              <w:ind w:left="514"/>
              <w:rPr>
                <w:sz w:val="21"/>
              </w:rPr>
            </w:pPr>
            <w:r>
              <w:rPr>
                <w:rFonts w:ascii="Times New Roman" w:eastAsia="Times New Roman"/>
                <w:sz w:val="21"/>
              </w:rPr>
              <w:t>3#</w:t>
            </w:r>
            <w:r>
              <w:rPr>
                <w:sz w:val="21"/>
              </w:rPr>
              <w:t xml:space="preserve">厂界西外 </w:t>
            </w:r>
            <w:r>
              <w:rPr>
                <w:rFonts w:ascii="Times New Roman" w:eastAsia="Times New Roman"/>
                <w:sz w:val="21"/>
              </w:rPr>
              <w:t xml:space="preserve">1m </w:t>
            </w:r>
            <w:r>
              <w:rPr>
                <w:sz w:val="21"/>
              </w:rPr>
              <w:t>处</w:t>
            </w:r>
          </w:p>
        </w:tc>
        <w:tc>
          <w:tcPr>
            <w:tcW w:w="1033" w:type="dxa"/>
            <w:tcBorders>
              <w:top w:val="single" w:color="000000" w:sz="4" w:space="0"/>
              <w:left w:val="single" w:color="000000" w:sz="4" w:space="0"/>
              <w:bottom w:val="single" w:color="000000" w:sz="4" w:space="0"/>
              <w:right w:val="single" w:color="000000" w:sz="4" w:space="0"/>
            </w:tcBorders>
          </w:tcPr>
          <w:p>
            <w:pPr>
              <w:pStyle w:val="24"/>
              <w:spacing w:before="33"/>
              <w:ind w:right="61"/>
              <w:jc w:val="right"/>
              <w:rPr>
                <w:sz w:val="21"/>
              </w:rPr>
            </w:pPr>
            <w:r>
              <w:rPr>
                <w:w w:val="95"/>
                <w:sz w:val="21"/>
              </w:rPr>
              <w:t>环境噪声</w:t>
            </w:r>
          </w:p>
        </w:tc>
        <w:tc>
          <w:tcPr>
            <w:tcW w:w="1039" w:type="dxa"/>
            <w:tcBorders>
              <w:top w:val="single" w:color="000000" w:sz="4" w:space="0"/>
              <w:left w:val="single" w:color="000000" w:sz="4" w:space="0"/>
              <w:bottom w:val="single" w:color="000000" w:sz="4" w:space="0"/>
              <w:right w:val="single" w:color="000000" w:sz="4" w:space="0"/>
            </w:tcBorders>
          </w:tcPr>
          <w:p>
            <w:pPr>
              <w:pStyle w:val="24"/>
              <w:spacing w:before="47"/>
              <w:ind w:left="35" w:right="5"/>
              <w:rPr>
                <w:rFonts w:ascii="Times New Roman"/>
                <w:sz w:val="21"/>
                <w:lang w:val="en-US"/>
              </w:rPr>
            </w:pPr>
            <w:r>
              <w:rPr>
                <w:rFonts w:hint="eastAsia" w:ascii="Times New Roman"/>
                <w:sz w:val="21"/>
                <w:lang w:val="en-US"/>
              </w:rPr>
              <w:t>54.8</w:t>
            </w:r>
          </w:p>
        </w:tc>
        <w:tc>
          <w:tcPr>
            <w:tcW w:w="993" w:type="dxa"/>
            <w:tcBorders>
              <w:top w:val="single" w:color="000000" w:sz="4" w:space="0"/>
              <w:left w:val="single" w:color="000000" w:sz="4" w:space="0"/>
              <w:bottom w:val="single" w:color="000000" w:sz="4" w:space="0"/>
              <w:right w:val="single" w:color="000000" w:sz="4" w:space="0"/>
            </w:tcBorders>
          </w:tcPr>
          <w:p>
            <w:pPr>
              <w:pStyle w:val="24"/>
              <w:spacing w:before="47"/>
              <w:ind w:left="62" w:right="35"/>
              <w:rPr>
                <w:rFonts w:ascii="Times New Roman"/>
                <w:sz w:val="21"/>
                <w:lang w:val="en-US"/>
              </w:rPr>
            </w:pPr>
            <w:r>
              <w:rPr>
                <w:rFonts w:hint="eastAsia" w:ascii="Times New Roman"/>
                <w:sz w:val="21"/>
                <w:lang w:val="en-US"/>
              </w:rPr>
              <w:t>65</w:t>
            </w:r>
          </w:p>
        </w:tc>
        <w:tc>
          <w:tcPr>
            <w:tcW w:w="1035" w:type="dxa"/>
            <w:tcBorders>
              <w:top w:val="single" w:color="000000" w:sz="4" w:space="0"/>
              <w:left w:val="single" w:color="000000" w:sz="4" w:space="0"/>
              <w:bottom w:val="single" w:color="000000" w:sz="4" w:space="0"/>
              <w:right w:val="single" w:color="000000" w:sz="4" w:space="0"/>
            </w:tcBorders>
          </w:tcPr>
          <w:p>
            <w:pPr>
              <w:pStyle w:val="24"/>
              <w:spacing w:before="47"/>
              <w:ind w:left="35" w:right="7"/>
              <w:rPr>
                <w:rFonts w:ascii="Times New Roman"/>
                <w:sz w:val="21"/>
                <w:lang w:val="en-US"/>
              </w:rPr>
            </w:pPr>
            <w:r>
              <w:rPr>
                <w:rFonts w:hint="eastAsia" w:ascii="Times New Roman"/>
                <w:sz w:val="21"/>
                <w:lang w:val="en-US"/>
              </w:rPr>
              <w:t>53.7</w:t>
            </w:r>
          </w:p>
        </w:tc>
        <w:tc>
          <w:tcPr>
            <w:tcW w:w="1264" w:type="dxa"/>
            <w:tcBorders>
              <w:top w:val="single" w:color="000000" w:sz="4" w:space="0"/>
              <w:left w:val="single" w:color="000000" w:sz="4" w:space="0"/>
              <w:bottom w:val="single" w:color="000000" w:sz="4" w:space="0"/>
              <w:right w:val="nil"/>
            </w:tcBorders>
          </w:tcPr>
          <w:p>
            <w:pPr>
              <w:pStyle w:val="24"/>
              <w:spacing w:before="47"/>
              <w:ind w:left="70" w:right="42"/>
              <w:rPr>
                <w:rFonts w:ascii="Times New Roman"/>
                <w:sz w:val="21"/>
                <w:lang w:val="en-US"/>
              </w:rPr>
            </w:pPr>
            <w:r>
              <w:rPr>
                <w:rFonts w:hint="eastAsia" w:ascii="Times New Roman"/>
                <w:sz w:val="21"/>
                <w:lang w:val="en-US"/>
              </w:rPr>
              <w:t>55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403" w:type="dxa"/>
            <w:vMerge w:val="continue"/>
            <w:tcBorders>
              <w:top w:val="nil"/>
              <w:left w:val="nil"/>
              <w:bottom w:val="single" w:color="000000" w:sz="4" w:space="0"/>
              <w:right w:val="single" w:color="000000" w:sz="4" w:space="0"/>
            </w:tcBorders>
          </w:tcPr>
          <w:p>
            <w:pPr>
              <w:rPr>
                <w:sz w:val="2"/>
                <w:szCs w:val="2"/>
              </w:rPr>
            </w:pPr>
          </w:p>
        </w:tc>
        <w:tc>
          <w:tcPr>
            <w:tcW w:w="2871" w:type="dxa"/>
            <w:tcBorders>
              <w:top w:val="single" w:color="000000" w:sz="4" w:space="0"/>
              <w:left w:val="single" w:color="000000" w:sz="4" w:space="0"/>
              <w:bottom w:val="single" w:color="000000" w:sz="4" w:space="0"/>
              <w:right w:val="single" w:color="000000" w:sz="4" w:space="0"/>
            </w:tcBorders>
          </w:tcPr>
          <w:p>
            <w:pPr>
              <w:pStyle w:val="24"/>
              <w:spacing w:before="33"/>
              <w:ind w:left="514"/>
              <w:rPr>
                <w:sz w:val="21"/>
              </w:rPr>
            </w:pPr>
            <w:r>
              <w:rPr>
                <w:rFonts w:ascii="Times New Roman" w:eastAsia="Times New Roman"/>
                <w:sz w:val="21"/>
              </w:rPr>
              <w:t>4#</w:t>
            </w:r>
            <w:r>
              <w:rPr>
                <w:sz w:val="21"/>
              </w:rPr>
              <w:t xml:space="preserve">厂界北外 </w:t>
            </w:r>
            <w:r>
              <w:rPr>
                <w:rFonts w:ascii="Times New Roman" w:eastAsia="Times New Roman"/>
                <w:sz w:val="21"/>
              </w:rPr>
              <w:t xml:space="preserve">1m </w:t>
            </w:r>
            <w:r>
              <w:rPr>
                <w:sz w:val="21"/>
              </w:rPr>
              <w:t>处</w:t>
            </w:r>
          </w:p>
        </w:tc>
        <w:tc>
          <w:tcPr>
            <w:tcW w:w="1033" w:type="dxa"/>
            <w:tcBorders>
              <w:top w:val="single" w:color="000000" w:sz="4" w:space="0"/>
              <w:left w:val="single" w:color="000000" w:sz="4" w:space="0"/>
              <w:bottom w:val="single" w:color="000000" w:sz="4" w:space="0"/>
              <w:right w:val="single" w:color="000000" w:sz="4" w:space="0"/>
            </w:tcBorders>
          </w:tcPr>
          <w:p>
            <w:pPr>
              <w:pStyle w:val="24"/>
              <w:spacing w:before="33"/>
              <w:ind w:right="61"/>
              <w:jc w:val="right"/>
              <w:rPr>
                <w:sz w:val="21"/>
              </w:rPr>
            </w:pPr>
            <w:r>
              <w:rPr>
                <w:w w:val="95"/>
                <w:sz w:val="21"/>
              </w:rPr>
              <w:t>环境噪声</w:t>
            </w:r>
          </w:p>
        </w:tc>
        <w:tc>
          <w:tcPr>
            <w:tcW w:w="1039" w:type="dxa"/>
            <w:tcBorders>
              <w:top w:val="single" w:color="000000" w:sz="4" w:space="0"/>
              <w:left w:val="single" w:color="000000" w:sz="4" w:space="0"/>
              <w:bottom w:val="single" w:color="000000" w:sz="4" w:space="0"/>
              <w:right w:val="single" w:color="000000" w:sz="4" w:space="0"/>
            </w:tcBorders>
          </w:tcPr>
          <w:p>
            <w:pPr>
              <w:pStyle w:val="24"/>
              <w:spacing w:before="47"/>
              <w:ind w:left="35" w:right="5"/>
              <w:rPr>
                <w:rFonts w:ascii="Times New Roman"/>
                <w:sz w:val="21"/>
                <w:lang w:val="en-US"/>
              </w:rPr>
            </w:pPr>
            <w:r>
              <w:rPr>
                <w:rFonts w:hint="eastAsia" w:ascii="Times New Roman"/>
                <w:sz w:val="21"/>
                <w:lang w:val="en-US"/>
              </w:rPr>
              <w:t>56.2</w:t>
            </w:r>
          </w:p>
        </w:tc>
        <w:tc>
          <w:tcPr>
            <w:tcW w:w="993" w:type="dxa"/>
            <w:tcBorders>
              <w:top w:val="single" w:color="000000" w:sz="4" w:space="0"/>
              <w:left w:val="single" w:color="000000" w:sz="4" w:space="0"/>
              <w:bottom w:val="single" w:color="000000" w:sz="4" w:space="0"/>
              <w:right w:val="single" w:color="000000" w:sz="4" w:space="0"/>
            </w:tcBorders>
          </w:tcPr>
          <w:p>
            <w:pPr>
              <w:pStyle w:val="24"/>
              <w:spacing w:before="47"/>
              <w:ind w:left="62" w:right="35"/>
              <w:rPr>
                <w:rFonts w:ascii="Times New Roman"/>
                <w:sz w:val="21"/>
                <w:lang w:val="en-US"/>
              </w:rPr>
            </w:pPr>
            <w:r>
              <w:rPr>
                <w:rFonts w:hint="eastAsia" w:ascii="Times New Roman"/>
                <w:sz w:val="21"/>
                <w:lang w:val="en-US"/>
              </w:rPr>
              <w:t>65</w:t>
            </w:r>
          </w:p>
        </w:tc>
        <w:tc>
          <w:tcPr>
            <w:tcW w:w="1035" w:type="dxa"/>
            <w:tcBorders>
              <w:top w:val="single" w:color="000000" w:sz="4" w:space="0"/>
              <w:left w:val="single" w:color="000000" w:sz="4" w:space="0"/>
              <w:bottom w:val="single" w:color="000000" w:sz="4" w:space="0"/>
              <w:right w:val="single" w:color="000000" w:sz="4" w:space="0"/>
            </w:tcBorders>
          </w:tcPr>
          <w:p>
            <w:pPr>
              <w:pStyle w:val="24"/>
              <w:spacing w:before="47"/>
              <w:ind w:left="35" w:right="7"/>
              <w:rPr>
                <w:rFonts w:ascii="Times New Roman"/>
                <w:sz w:val="21"/>
                <w:lang w:val="en-US"/>
              </w:rPr>
            </w:pPr>
            <w:r>
              <w:rPr>
                <w:rFonts w:hint="eastAsia" w:ascii="Times New Roman"/>
                <w:sz w:val="21"/>
                <w:lang w:val="en-US"/>
              </w:rPr>
              <w:t>45.4</w:t>
            </w:r>
          </w:p>
        </w:tc>
        <w:tc>
          <w:tcPr>
            <w:tcW w:w="1264" w:type="dxa"/>
            <w:tcBorders>
              <w:top w:val="single" w:color="000000" w:sz="4" w:space="0"/>
              <w:left w:val="single" w:color="000000" w:sz="4" w:space="0"/>
              <w:bottom w:val="single" w:color="000000" w:sz="4" w:space="0"/>
              <w:right w:val="nil"/>
            </w:tcBorders>
          </w:tcPr>
          <w:p>
            <w:pPr>
              <w:pStyle w:val="24"/>
              <w:spacing w:before="47"/>
              <w:ind w:left="70" w:right="42"/>
              <w:rPr>
                <w:rFonts w:ascii="Times New Roman"/>
                <w:sz w:val="21"/>
                <w:lang w:val="en-US"/>
              </w:rPr>
            </w:pPr>
            <w:r>
              <w:rPr>
                <w:rFonts w:hint="eastAsia" w:ascii="Times New Roman"/>
                <w:sz w:val="21"/>
                <w:lang w:val="en-US"/>
              </w:rPr>
              <w:t>55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403" w:type="dxa"/>
            <w:vMerge w:val="continue"/>
            <w:tcBorders>
              <w:top w:val="nil"/>
              <w:left w:val="nil"/>
              <w:bottom w:val="single" w:color="000000" w:sz="4" w:space="0"/>
              <w:right w:val="single" w:color="000000" w:sz="4" w:space="0"/>
            </w:tcBorders>
          </w:tcPr>
          <w:p>
            <w:pPr>
              <w:rPr>
                <w:sz w:val="2"/>
                <w:szCs w:val="2"/>
              </w:rPr>
            </w:pPr>
          </w:p>
        </w:tc>
        <w:tc>
          <w:tcPr>
            <w:tcW w:w="2871" w:type="dxa"/>
            <w:tcBorders>
              <w:top w:val="single" w:color="000000" w:sz="4" w:space="0"/>
              <w:left w:val="single" w:color="000000" w:sz="4" w:space="0"/>
              <w:bottom w:val="single" w:color="000000" w:sz="4" w:space="0"/>
              <w:right w:val="single" w:color="000000" w:sz="4" w:space="0"/>
            </w:tcBorders>
          </w:tcPr>
          <w:p>
            <w:pPr>
              <w:pStyle w:val="24"/>
              <w:spacing w:before="34"/>
              <w:ind w:left="70"/>
              <w:rPr>
                <w:sz w:val="21"/>
              </w:rPr>
            </w:pPr>
            <w:r>
              <w:rPr>
                <w:rFonts w:ascii="Times New Roman" w:eastAsia="Times New Roman"/>
                <w:sz w:val="21"/>
              </w:rPr>
              <w:t>5#</w:t>
            </w:r>
            <w:r>
              <w:rPr>
                <w:sz w:val="21"/>
              </w:rPr>
              <w:t>厂界</w:t>
            </w:r>
            <w:r>
              <w:rPr>
                <w:rFonts w:hint="eastAsia"/>
                <w:sz w:val="21"/>
              </w:rPr>
              <w:t>东</w:t>
            </w:r>
            <w:r>
              <w:rPr>
                <w:sz w:val="21"/>
              </w:rPr>
              <w:t>侧（</w:t>
            </w:r>
            <w:r>
              <w:rPr>
                <w:rFonts w:hint="eastAsia"/>
                <w:sz w:val="21"/>
              </w:rPr>
              <w:t>锁石岭居民点</w:t>
            </w:r>
            <w:r>
              <w:rPr>
                <w:sz w:val="21"/>
              </w:rPr>
              <w:t>）</w:t>
            </w:r>
          </w:p>
        </w:tc>
        <w:tc>
          <w:tcPr>
            <w:tcW w:w="1033" w:type="dxa"/>
            <w:tcBorders>
              <w:top w:val="single" w:color="000000" w:sz="4" w:space="0"/>
              <w:left w:val="single" w:color="000000" w:sz="4" w:space="0"/>
              <w:bottom w:val="single" w:color="000000" w:sz="4" w:space="0"/>
              <w:right w:val="single" w:color="000000" w:sz="4" w:space="0"/>
            </w:tcBorders>
          </w:tcPr>
          <w:p>
            <w:pPr>
              <w:pStyle w:val="24"/>
              <w:spacing w:before="34"/>
              <w:ind w:right="61"/>
              <w:jc w:val="right"/>
              <w:rPr>
                <w:sz w:val="21"/>
              </w:rPr>
            </w:pPr>
            <w:r>
              <w:rPr>
                <w:w w:val="95"/>
                <w:sz w:val="21"/>
              </w:rPr>
              <w:t>环境噪声</w:t>
            </w:r>
          </w:p>
        </w:tc>
        <w:tc>
          <w:tcPr>
            <w:tcW w:w="1039" w:type="dxa"/>
            <w:tcBorders>
              <w:top w:val="single" w:color="000000" w:sz="4" w:space="0"/>
              <w:left w:val="single" w:color="000000" w:sz="4" w:space="0"/>
              <w:bottom w:val="single" w:color="000000" w:sz="4" w:space="0"/>
              <w:right w:val="single" w:color="000000" w:sz="4" w:space="0"/>
            </w:tcBorders>
          </w:tcPr>
          <w:p>
            <w:pPr>
              <w:pStyle w:val="24"/>
              <w:spacing w:before="48"/>
              <w:ind w:left="35" w:right="5"/>
              <w:rPr>
                <w:rFonts w:ascii="Times New Roman"/>
                <w:sz w:val="21"/>
                <w:lang w:val="en-US"/>
              </w:rPr>
            </w:pPr>
            <w:r>
              <w:rPr>
                <w:rFonts w:hint="eastAsia" w:ascii="Times New Roman"/>
                <w:sz w:val="21"/>
                <w:lang w:val="en-US"/>
              </w:rPr>
              <w:t>55.8</w:t>
            </w:r>
          </w:p>
        </w:tc>
        <w:tc>
          <w:tcPr>
            <w:tcW w:w="993" w:type="dxa"/>
            <w:tcBorders>
              <w:top w:val="single" w:color="000000" w:sz="4" w:space="0"/>
              <w:left w:val="single" w:color="000000" w:sz="4" w:space="0"/>
              <w:bottom w:val="single" w:color="000000" w:sz="4" w:space="0"/>
              <w:right w:val="single" w:color="000000" w:sz="4" w:space="0"/>
            </w:tcBorders>
          </w:tcPr>
          <w:p>
            <w:pPr>
              <w:pStyle w:val="24"/>
              <w:spacing w:before="48"/>
              <w:ind w:left="62" w:right="35"/>
              <w:rPr>
                <w:rFonts w:ascii="Times New Roman"/>
                <w:sz w:val="21"/>
                <w:lang w:val="en-US"/>
              </w:rPr>
            </w:pPr>
            <w:r>
              <w:rPr>
                <w:rFonts w:hint="eastAsia" w:ascii="Times New Roman"/>
                <w:sz w:val="21"/>
                <w:lang w:val="en-US"/>
              </w:rPr>
              <w:t>60</w:t>
            </w:r>
          </w:p>
        </w:tc>
        <w:tc>
          <w:tcPr>
            <w:tcW w:w="1035" w:type="dxa"/>
            <w:tcBorders>
              <w:top w:val="single" w:color="000000" w:sz="4" w:space="0"/>
              <w:left w:val="single" w:color="000000" w:sz="4" w:space="0"/>
              <w:bottom w:val="single" w:color="000000" w:sz="4" w:space="0"/>
              <w:right w:val="single" w:color="000000" w:sz="4" w:space="0"/>
            </w:tcBorders>
          </w:tcPr>
          <w:p>
            <w:pPr>
              <w:pStyle w:val="24"/>
              <w:spacing w:before="48"/>
              <w:ind w:left="35" w:right="7"/>
              <w:rPr>
                <w:rFonts w:ascii="Times New Roman"/>
                <w:sz w:val="21"/>
                <w:lang w:val="en-US"/>
              </w:rPr>
            </w:pPr>
            <w:r>
              <w:rPr>
                <w:rFonts w:hint="eastAsia" w:ascii="Times New Roman"/>
                <w:sz w:val="21"/>
                <w:lang w:val="en-US"/>
              </w:rPr>
              <w:t>46.5</w:t>
            </w:r>
          </w:p>
        </w:tc>
        <w:tc>
          <w:tcPr>
            <w:tcW w:w="1264" w:type="dxa"/>
            <w:tcBorders>
              <w:top w:val="single" w:color="000000" w:sz="4" w:space="0"/>
              <w:left w:val="single" w:color="000000" w:sz="4" w:space="0"/>
              <w:bottom w:val="single" w:color="000000" w:sz="4" w:space="0"/>
              <w:right w:val="nil"/>
            </w:tcBorders>
          </w:tcPr>
          <w:p>
            <w:pPr>
              <w:pStyle w:val="24"/>
              <w:spacing w:before="48"/>
              <w:ind w:left="70" w:right="42"/>
              <w:rPr>
                <w:rFonts w:ascii="Times New Roman"/>
                <w:sz w:val="21"/>
                <w:lang w:val="en-US"/>
              </w:rPr>
            </w:pPr>
            <w:r>
              <w:rPr>
                <w:rFonts w:hint="eastAsia" w:ascii="Times New Roman"/>
                <w:sz w:val="21"/>
                <w:lang w:val="en-US"/>
              </w:rPr>
              <w:t>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403" w:type="dxa"/>
            <w:vMerge w:val="continue"/>
            <w:tcBorders>
              <w:top w:val="nil"/>
              <w:left w:val="nil"/>
              <w:bottom w:val="single" w:color="000000" w:sz="4" w:space="0"/>
              <w:right w:val="single" w:color="000000" w:sz="4" w:space="0"/>
            </w:tcBorders>
          </w:tcPr>
          <w:p>
            <w:pPr>
              <w:rPr>
                <w:sz w:val="2"/>
                <w:szCs w:val="2"/>
              </w:rPr>
            </w:pPr>
          </w:p>
        </w:tc>
        <w:tc>
          <w:tcPr>
            <w:tcW w:w="2871" w:type="dxa"/>
            <w:tcBorders>
              <w:top w:val="single" w:color="000000" w:sz="4" w:space="0"/>
              <w:left w:val="single" w:color="000000" w:sz="4" w:space="0"/>
              <w:bottom w:val="single" w:color="000000" w:sz="4" w:space="0"/>
              <w:right w:val="single" w:color="000000" w:sz="4" w:space="0"/>
            </w:tcBorders>
          </w:tcPr>
          <w:p>
            <w:pPr>
              <w:pStyle w:val="24"/>
              <w:spacing w:before="34"/>
              <w:ind w:left="15"/>
              <w:rPr>
                <w:sz w:val="21"/>
              </w:rPr>
            </w:pPr>
            <w:r>
              <w:rPr>
                <w:rFonts w:hint="eastAsia"/>
                <w:sz w:val="21"/>
                <w:lang w:val="en-US"/>
              </w:rPr>
              <w:t>6</w:t>
            </w:r>
            <w:r>
              <w:rPr>
                <w:rFonts w:ascii="Times New Roman" w:eastAsia="Times New Roman"/>
                <w:sz w:val="21"/>
              </w:rPr>
              <w:t>#</w:t>
            </w:r>
            <w:r>
              <w:rPr>
                <w:sz w:val="21"/>
              </w:rPr>
              <w:t>厂界南侧居民点</w:t>
            </w:r>
          </w:p>
        </w:tc>
        <w:tc>
          <w:tcPr>
            <w:tcW w:w="1033" w:type="dxa"/>
            <w:tcBorders>
              <w:top w:val="single" w:color="000000" w:sz="4" w:space="0"/>
              <w:left w:val="single" w:color="000000" w:sz="4" w:space="0"/>
              <w:bottom w:val="single" w:color="000000" w:sz="4" w:space="0"/>
              <w:right w:val="single" w:color="000000" w:sz="4" w:space="0"/>
            </w:tcBorders>
          </w:tcPr>
          <w:p>
            <w:pPr>
              <w:pStyle w:val="24"/>
              <w:spacing w:before="34"/>
              <w:ind w:left="-58" w:right="61"/>
              <w:jc w:val="right"/>
              <w:rPr>
                <w:sz w:val="21"/>
              </w:rPr>
            </w:pPr>
            <w:r>
              <w:rPr>
                <w:spacing w:val="-4"/>
                <w:w w:val="95"/>
                <w:sz w:val="21"/>
              </w:rPr>
              <w:t>环境噪声</w:t>
            </w:r>
          </w:p>
        </w:tc>
        <w:tc>
          <w:tcPr>
            <w:tcW w:w="1039" w:type="dxa"/>
            <w:tcBorders>
              <w:top w:val="single" w:color="000000" w:sz="4" w:space="0"/>
              <w:left w:val="single" w:color="000000" w:sz="4" w:space="0"/>
              <w:bottom w:val="single" w:color="000000" w:sz="4" w:space="0"/>
              <w:right w:val="single" w:color="000000" w:sz="4" w:space="0"/>
            </w:tcBorders>
          </w:tcPr>
          <w:p>
            <w:pPr>
              <w:pStyle w:val="24"/>
              <w:spacing w:before="48"/>
              <w:ind w:left="35" w:right="5"/>
              <w:rPr>
                <w:rFonts w:ascii="Times New Roman"/>
                <w:sz w:val="21"/>
                <w:lang w:val="en-US"/>
              </w:rPr>
            </w:pPr>
            <w:r>
              <w:rPr>
                <w:rFonts w:hint="eastAsia" w:ascii="Times New Roman"/>
                <w:sz w:val="21"/>
                <w:lang w:val="en-US"/>
              </w:rPr>
              <w:t>57.6</w:t>
            </w:r>
          </w:p>
        </w:tc>
        <w:tc>
          <w:tcPr>
            <w:tcW w:w="993" w:type="dxa"/>
            <w:tcBorders>
              <w:top w:val="single" w:color="000000" w:sz="4" w:space="0"/>
              <w:left w:val="single" w:color="000000" w:sz="4" w:space="0"/>
              <w:bottom w:val="single" w:color="000000" w:sz="4" w:space="0"/>
              <w:right w:val="single" w:color="000000" w:sz="4" w:space="0"/>
            </w:tcBorders>
          </w:tcPr>
          <w:p>
            <w:pPr>
              <w:pStyle w:val="24"/>
              <w:spacing w:before="48"/>
              <w:ind w:left="62" w:right="35"/>
              <w:rPr>
                <w:rFonts w:ascii="Times New Roman"/>
                <w:sz w:val="21"/>
                <w:lang w:val="en-US"/>
              </w:rPr>
            </w:pPr>
            <w:r>
              <w:rPr>
                <w:rFonts w:hint="eastAsia" w:ascii="Times New Roman"/>
                <w:sz w:val="21"/>
                <w:lang w:val="en-US"/>
              </w:rPr>
              <w:t>60</w:t>
            </w:r>
          </w:p>
        </w:tc>
        <w:tc>
          <w:tcPr>
            <w:tcW w:w="1035" w:type="dxa"/>
            <w:tcBorders>
              <w:top w:val="single" w:color="000000" w:sz="4" w:space="0"/>
              <w:left w:val="single" w:color="000000" w:sz="4" w:space="0"/>
              <w:bottom w:val="single" w:color="000000" w:sz="4" w:space="0"/>
              <w:right w:val="single" w:color="000000" w:sz="4" w:space="0"/>
            </w:tcBorders>
          </w:tcPr>
          <w:p>
            <w:pPr>
              <w:pStyle w:val="24"/>
              <w:spacing w:before="48"/>
              <w:ind w:left="35" w:right="7"/>
              <w:rPr>
                <w:rFonts w:ascii="Times New Roman"/>
                <w:sz w:val="21"/>
                <w:lang w:val="en-US"/>
              </w:rPr>
            </w:pPr>
            <w:r>
              <w:rPr>
                <w:rFonts w:hint="eastAsia" w:ascii="Times New Roman"/>
                <w:sz w:val="21"/>
                <w:lang w:val="en-US"/>
              </w:rPr>
              <w:t>48.4</w:t>
            </w:r>
          </w:p>
        </w:tc>
        <w:tc>
          <w:tcPr>
            <w:tcW w:w="1264" w:type="dxa"/>
            <w:tcBorders>
              <w:top w:val="single" w:color="000000" w:sz="4" w:space="0"/>
              <w:left w:val="single" w:color="000000" w:sz="4" w:space="0"/>
              <w:bottom w:val="single" w:color="000000" w:sz="4" w:space="0"/>
              <w:right w:val="nil"/>
            </w:tcBorders>
          </w:tcPr>
          <w:p>
            <w:pPr>
              <w:pStyle w:val="24"/>
              <w:spacing w:before="48"/>
              <w:ind w:left="70" w:right="42"/>
              <w:rPr>
                <w:rFonts w:ascii="Times New Roman"/>
                <w:sz w:val="21"/>
                <w:lang w:val="en-US"/>
              </w:rPr>
            </w:pPr>
            <w:r>
              <w:rPr>
                <w:rFonts w:hint="eastAsia" w:ascii="Times New Roman"/>
                <w:sz w:val="21"/>
                <w:lang w:val="en-US"/>
              </w:rPr>
              <w:t>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1403" w:type="dxa"/>
            <w:vMerge w:val="restart"/>
            <w:tcBorders>
              <w:top w:val="single" w:color="000000" w:sz="4" w:space="0"/>
              <w:left w:val="nil"/>
              <w:right w:val="single" w:color="000000" w:sz="4" w:space="0"/>
            </w:tcBorders>
          </w:tcPr>
          <w:p>
            <w:pPr>
              <w:pStyle w:val="24"/>
              <w:rPr>
                <w:b/>
              </w:rPr>
            </w:pPr>
          </w:p>
          <w:p>
            <w:pPr>
              <w:pStyle w:val="24"/>
              <w:rPr>
                <w:b/>
              </w:rPr>
            </w:pPr>
          </w:p>
          <w:p>
            <w:pPr>
              <w:pStyle w:val="24"/>
              <w:spacing w:before="12"/>
              <w:rPr>
                <w:b/>
                <w:sz w:val="27"/>
              </w:rPr>
            </w:pPr>
          </w:p>
          <w:p>
            <w:pPr>
              <w:pStyle w:val="24"/>
              <w:ind w:left="242"/>
              <w:rPr>
                <w:rFonts w:ascii="Times New Roman"/>
                <w:sz w:val="21"/>
                <w:lang w:val="en-US"/>
              </w:rPr>
            </w:pPr>
            <w:r>
              <w:rPr>
                <w:rFonts w:ascii="Times New Roman"/>
                <w:sz w:val="21"/>
              </w:rPr>
              <w:t>202</w:t>
            </w:r>
            <w:r>
              <w:rPr>
                <w:rFonts w:hint="eastAsia" w:ascii="Times New Roman"/>
                <w:sz w:val="21"/>
                <w:lang w:val="en-US"/>
              </w:rPr>
              <w:t>1</w:t>
            </w:r>
            <w:r>
              <w:rPr>
                <w:rFonts w:ascii="Times New Roman"/>
                <w:sz w:val="21"/>
              </w:rPr>
              <w:t>.</w:t>
            </w:r>
            <w:r>
              <w:rPr>
                <w:rFonts w:hint="eastAsia" w:ascii="Times New Roman"/>
                <w:sz w:val="21"/>
                <w:lang w:val="en-US"/>
              </w:rPr>
              <w:t>06</w:t>
            </w:r>
            <w:r>
              <w:rPr>
                <w:rFonts w:ascii="Times New Roman"/>
                <w:sz w:val="21"/>
              </w:rPr>
              <w:t>.</w:t>
            </w:r>
            <w:r>
              <w:rPr>
                <w:rFonts w:hint="eastAsia" w:ascii="Times New Roman"/>
                <w:sz w:val="21"/>
                <w:lang w:val="en-US"/>
              </w:rPr>
              <w:t>15</w:t>
            </w:r>
          </w:p>
        </w:tc>
        <w:tc>
          <w:tcPr>
            <w:tcW w:w="2871" w:type="dxa"/>
            <w:tcBorders>
              <w:top w:val="single" w:color="000000" w:sz="4" w:space="0"/>
              <w:left w:val="single" w:color="000000" w:sz="4" w:space="0"/>
              <w:bottom w:val="single" w:color="000000" w:sz="4" w:space="0"/>
              <w:right w:val="single" w:color="000000" w:sz="4" w:space="0"/>
            </w:tcBorders>
          </w:tcPr>
          <w:p>
            <w:pPr>
              <w:pStyle w:val="24"/>
              <w:spacing w:before="34"/>
              <w:ind w:left="514"/>
              <w:rPr>
                <w:sz w:val="21"/>
              </w:rPr>
            </w:pPr>
            <w:r>
              <w:rPr>
                <w:rFonts w:ascii="Times New Roman" w:eastAsia="Times New Roman"/>
                <w:sz w:val="21"/>
              </w:rPr>
              <w:t>1#</w:t>
            </w:r>
            <w:r>
              <w:rPr>
                <w:sz w:val="21"/>
              </w:rPr>
              <w:t xml:space="preserve">厂界东外 </w:t>
            </w:r>
            <w:r>
              <w:rPr>
                <w:rFonts w:ascii="Times New Roman" w:eastAsia="Times New Roman"/>
                <w:sz w:val="21"/>
              </w:rPr>
              <w:t xml:space="preserve">1m </w:t>
            </w:r>
            <w:r>
              <w:rPr>
                <w:sz w:val="21"/>
              </w:rPr>
              <w:t>处</w:t>
            </w:r>
          </w:p>
        </w:tc>
        <w:tc>
          <w:tcPr>
            <w:tcW w:w="1033" w:type="dxa"/>
            <w:tcBorders>
              <w:top w:val="single" w:color="000000" w:sz="4" w:space="0"/>
              <w:left w:val="single" w:color="000000" w:sz="4" w:space="0"/>
              <w:bottom w:val="single" w:color="000000" w:sz="4" w:space="0"/>
              <w:right w:val="single" w:color="000000" w:sz="4" w:space="0"/>
            </w:tcBorders>
          </w:tcPr>
          <w:p>
            <w:pPr>
              <w:pStyle w:val="24"/>
              <w:spacing w:before="34"/>
              <w:ind w:right="61"/>
              <w:jc w:val="right"/>
              <w:rPr>
                <w:sz w:val="21"/>
              </w:rPr>
            </w:pPr>
            <w:r>
              <w:rPr>
                <w:w w:val="95"/>
                <w:sz w:val="21"/>
              </w:rPr>
              <w:t>环境噪声</w:t>
            </w:r>
          </w:p>
        </w:tc>
        <w:tc>
          <w:tcPr>
            <w:tcW w:w="1039" w:type="dxa"/>
            <w:tcBorders>
              <w:top w:val="single" w:color="000000" w:sz="4" w:space="0"/>
              <w:left w:val="single" w:color="000000" w:sz="4" w:space="0"/>
              <w:bottom w:val="single" w:color="000000" w:sz="4" w:space="0"/>
              <w:right w:val="single" w:color="000000" w:sz="4" w:space="0"/>
            </w:tcBorders>
          </w:tcPr>
          <w:p>
            <w:pPr>
              <w:pStyle w:val="24"/>
              <w:spacing w:before="48"/>
              <w:ind w:left="35" w:right="5"/>
              <w:rPr>
                <w:rFonts w:ascii="Times New Roman"/>
                <w:sz w:val="21"/>
                <w:lang w:val="en-US"/>
              </w:rPr>
            </w:pPr>
            <w:r>
              <w:rPr>
                <w:rFonts w:hint="eastAsia" w:ascii="Times New Roman"/>
                <w:sz w:val="21"/>
                <w:lang w:val="en-US"/>
              </w:rPr>
              <w:t>58.2</w:t>
            </w:r>
          </w:p>
        </w:tc>
        <w:tc>
          <w:tcPr>
            <w:tcW w:w="993" w:type="dxa"/>
            <w:tcBorders>
              <w:top w:val="single" w:color="000000" w:sz="4" w:space="0"/>
              <w:left w:val="single" w:color="000000" w:sz="4" w:space="0"/>
              <w:bottom w:val="single" w:color="000000" w:sz="4" w:space="0"/>
              <w:right w:val="single" w:color="000000" w:sz="4" w:space="0"/>
            </w:tcBorders>
          </w:tcPr>
          <w:p>
            <w:pPr>
              <w:pStyle w:val="24"/>
              <w:spacing w:before="48"/>
              <w:ind w:left="62" w:right="35"/>
              <w:rPr>
                <w:rFonts w:ascii="Times New Roman"/>
                <w:sz w:val="21"/>
                <w:lang w:val="en-US"/>
              </w:rPr>
            </w:pPr>
            <w:r>
              <w:rPr>
                <w:rFonts w:hint="eastAsia" w:ascii="Times New Roman"/>
                <w:sz w:val="21"/>
                <w:lang w:val="en-US"/>
              </w:rPr>
              <w:t>65</w:t>
            </w:r>
          </w:p>
        </w:tc>
        <w:tc>
          <w:tcPr>
            <w:tcW w:w="1035" w:type="dxa"/>
            <w:tcBorders>
              <w:top w:val="single" w:color="000000" w:sz="4" w:space="0"/>
              <w:left w:val="single" w:color="000000" w:sz="4" w:space="0"/>
              <w:bottom w:val="single" w:color="000000" w:sz="4" w:space="0"/>
              <w:right w:val="single" w:color="000000" w:sz="4" w:space="0"/>
            </w:tcBorders>
          </w:tcPr>
          <w:p>
            <w:pPr>
              <w:pStyle w:val="24"/>
              <w:spacing w:before="48"/>
              <w:ind w:left="35" w:right="7"/>
              <w:rPr>
                <w:rFonts w:ascii="Times New Roman"/>
                <w:sz w:val="21"/>
              </w:rPr>
            </w:pPr>
            <w:r>
              <w:rPr>
                <w:rFonts w:hint="eastAsia" w:ascii="Times New Roman"/>
                <w:sz w:val="21"/>
                <w:lang w:val="en-US"/>
              </w:rPr>
              <w:t>47.5</w:t>
            </w:r>
          </w:p>
        </w:tc>
        <w:tc>
          <w:tcPr>
            <w:tcW w:w="1264" w:type="dxa"/>
            <w:tcBorders>
              <w:top w:val="single" w:color="000000" w:sz="4" w:space="0"/>
              <w:left w:val="single" w:color="000000" w:sz="4" w:space="0"/>
              <w:bottom w:val="single" w:color="000000" w:sz="4" w:space="0"/>
              <w:right w:val="nil"/>
            </w:tcBorders>
          </w:tcPr>
          <w:p>
            <w:pPr>
              <w:pStyle w:val="24"/>
              <w:spacing w:before="48"/>
              <w:ind w:left="70" w:right="42"/>
              <w:rPr>
                <w:rFonts w:ascii="Times New Roman"/>
                <w:sz w:val="21"/>
                <w:lang w:val="en-US"/>
              </w:rPr>
            </w:pPr>
            <w:r>
              <w:rPr>
                <w:rFonts w:hint="eastAsia" w:ascii="Times New Roman"/>
                <w:sz w:val="21"/>
                <w:lang w:val="en-US"/>
              </w:rPr>
              <w:t>55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1403" w:type="dxa"/>
            <w:vMerge w:val="continue"/>
            <w:tcBorders>
              <w:top w:val="nil"/>
              <w:left w:val="nil"/>
              <w:right w:val="single" w:color="000000" w:sz="4" w:space="0"/>
            </w:tcBorders>
          </w:tcPr>
          <w:p>
            <w:pPr>
              <w:rPr>
                <w:sz w:val="2"/>
                <w:szCs w:val="2"/>
              </w:rPr>
            </w:pPr>
          </w:p>
        </w:tc>
        <w:tc>
          <w:tcPr>
            <w:tcW w:w="2871" w:type="dxa"/>
            <w:tcBorders>
              <w:top w:val="single" w:color="000000" w:sz="4" w:space="0"/>
              <w:left w:val="single" w:color="000000" w:sz="4" w:space="0"/>
              <w:bottom w:val="single" w:color="000000" w:sz="4" w:space="0"/>
              <w:right w:val="single" w:color="000000" w:sz="4" w:space="0"/>
            </w:tcBorders>
          </w:tcPr>
          <w:p>
            <w:pPr>
              <w:pStyle w:val="24"/>
              <w:spacing w:before="35"/>
              <w:ind w:left="514"/>
              <w:rPr>
                <w:sz w:val="21"/>
              </w:rPr>
            </w:pPr>
            <w:r>
              <w:rPr>
                <w:rFonts w:ascii="Times New Roman" w:eastAsia="Times New Roman"/>
                <w:sz w:val="21"/>
              </w:rPr>
              <w:t>2#</w:t>
            </w:r>
            <w:r>
              <w:rPr>
                <w:sz w:val="21"/>
              </w:rPr>
              <w:t xml:space="preserve">厂界南外 </w:t>
            </w:r>
            <w:r>
              <w:rPr>
                <w:rFonts w:ascii="Times New Roman" w:eastAsia="Times New Roman"/>
                <w:sz w:val="21"/>
              </w:rPr>
              <w:t xml:space="preserve">1m </w:t>
            </w:r>
            <w:r>
              <w:rPr>
                <w:sz w:val="21"/>
              </w:rPr>
              <w:t>处</w:t>
            </w:r>
          </w:p>
        </w:tc>
        <w:tc>
          <w:tcPr>
            <w:tcW w:w="1033" w:type="dxa"/>
            <w:tcBorders>
              <w:top w:val="single" w:color="000000" w:sz="4" w:space="0"/>
              <w:left w:val="single" w:color="000000" w:sz="4" w:space="0"/>
              <w:bottom w:val="single" w:color="000000" w:sz="4" w:space="0"/>
              <w:right w:val="single" w:color="000000" w:sz="4" w:space="0"/>
            </w:tcBorders>
          </w:tcPr>
          <w:p>
            <w:pPr>
              <w:pStyle w:val="24"/>
              <w:spacing w:before="25"/>
              <w:ind w:right="61"/>
              <w:jc w:val="right"/>
              <w:rPr>
                <w:sz w:val="21"/>
              </w:rPr>
            </w:pPr>
            <w:r>
              <w:rPr>
                <w:w w:val="95"/>
                <w:sz w:val="21"/>
              </w:rPr>
              <w:t>环境噪声</w:t>
            </w:r>
          </w:p>
        </w:tc>
        <w:tc>
          <w:tcPr>
            <w:tcW w:w="1039" w:type="dxa"/>
            <w:tcBorders>
              <w:top w:val="single" w:color="000000" w:sz="4" w:space="0"/>
              <w:left w:val="single" w:color="000000" w:sz="4" w:space="0"/>
              <w:bottom w:val="single" w:color="000000" w:sz="4" w:space="0"/>
              <w:right w:val="single" w:color="000000" w:sz="4" w:space="0"/>
            </w:tcBorders>
          </w:tcPr>
          <w:p>
            <w:pPr>
              <w:pStyle w:val="24"/>
              <w:spacing w:before="49"/>
              <w:ind w:left="35" w:right="5"/>
              <w:rPr>
                <w:rFonts w:ascii="Times New Roman"/>
                <w:sz w:val="21"/>
                <w:lang w:val="en-US"/>
              </w:rPr>
            </w:pPr>
            <w:r>
              <w:rPr>
                <w:rFonts w:hint="eastAsia" w:ascii="Times New Roman"/>
                <w:sz w:val="21"/>
                <w:lang w:val="en-US"/>
              </w:rPr>
              <w:t>55.6</w:t>
            </w:r>
          </w:p>
        </w:tc>
        <w:tc>
          <w:tcPr>
            <w:tcW w:w="993" w:type="dxa"/>
            <w:tcBorders>
              <w:top w:val="single" w:color="000000" w:sz="4" w:space="0"/>
              <w:left w:val="single" w:color="000000" w:sz="4" w:space="0"/>
              <w:bottom w:val="single" w:color="000000" w:sz="4" w:space="0"/>
              <w:right w:val="single" w:color="000000" w:sz="4" w:space="0"/>
            </w:tcBorders>
          </w:tcPr>
          <w:p>
            <w:pPr>
              <w:pStyle w:val="24"/>
              <w:spacing w:before="49"/>
              <w:ind w:left="62" w:right="35"/>
              <w:rPr>
                <w:rFonts w:ascii="Times New Roman"/>
                <w:sz w:val="21"/>
                <w:lang w:val="en-US"/>
              </w:rPr>
            </w:pPr>
            <w:r>
              <w:rPr>
                <w:rFonts w:hint="eastAsia" w:ascii="Times New Roman"/>
                <w:sz w:val="21"/>
                <w:lang w:val="en-US"/>
              </w:rPr>
              <w:t>65</w:t>
            </w:r>
          </w:p>
        </w:tc>
        <w:tc>
          <w:tcPr>
            <w:tcW w:w="1035" w:type="dxa"/>
            <w:tcBorders>
              <w:top w:val="single" w:color="000000" w:sz="4" w:space="0"/>
              <w:left w:val="single" w:color="000000" w:sz="4" w:space="0"/>
              <w:bottom w:val="single" w:color="000000" w:sz="4" w:space="0"/>
              <w:right w:val="single" w:color="000000" w:sz="4" w:space="0"/>
            </w:tcBorders>
          </w:tcPr>
          <w:p>
            <w:pPr>
              <w:pStyle w:val="24"/>
              <w:spacing w:before="49"/>
              <w:ind w:left="35" w:right="7"/>
              <w:rPr>
                <w:rFonts w:ascii="Times New Roman"/>
                <w:sz w:val="21"/>
              </w:rPr>
            </w:pPr>
            <w:r>
              <w:rPr>
                <w:rFonts w:hint="eastAsia" w:ascii="Times New Roman"/>
                <w:sz w:val="21"/>
                <w:lang w:val="en-US"/>
              </w:rPr>
              <w:t>54.3</w:t>
            </w:r>
          </w:p>
        </w:tc>
        <w:tc>
          <w:tcPr>
            <w:tcW w:w="1264" w:type="dxa"/>
            <w:tcBorders>
              <w:top w:val="single" w:color="000000" w:sz="4" w:space="0"/>
              <w:left w:val="single" w:color="000000" w:sz="4" w:space="0"/>
              <w:bottom w:val="single" w:color="000000" w:sz="4" w:space="0"/>
              <w:right w:val="nil"/>
            </w:tcBorders>
          </w:tcPr>
          <w:p>
            <w:pPr>
              <w:pStyle w:val="24"/>
              <w:spacing w:before="49"/>
              <w:ind w:left="70" w:right="42"/>
              <w:rPr>
                <w:rFonts w:ascii="Times New Roman"/>
                <w:sz w:val="21"/>
                <w:lang w:val="en-US"/>
              </w:rPr>
            </w:pPr>
            <w:r>
              <w:rPr>
                <w:rFonts w:hint="eastAsia" w:ascii="Times New Roman"/>
                <w:sz w:val="21"/>
                <w:lang w:val="en-US"/>
              </w:rPr>
              <w:t>55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1403" w:type="dxa"/>
            <w:vMerge w:val="continue"/>
            <w:tcBorders>
              <w:top w:val="nil"/>
              <w:left w:val="nil"/>
              <w:right w:val="single" w:color="000000" w:sz="4" w:space="0"/>
            </w:tcBorders>
          </w:tcPr>
          <w:p>
            <w:pPr>
              <w:rPr>
                <w:sz w:val="2"/>
                <w:szCs w:val="2"/>
              </w:rPr>
            </w:pPr>
          </w:p>
        </w:tc>
        <w:tc>
          <w:tcPr>
            <w:tcW w:w="2871" w:type="dxa"/>
            <w:tcBorders>
              <w:top w:val="single" w:color="000000" w:sz="4" w:space="0"/>
              <w:left w:val="single" w:color="000000" w:sz="4" w:space="0"/>
              <w:bottom w:val="single" w:color="000000" w:sz="4" w:space="0"/>
              <w:right w:val="single" w:color="000000" w:sz="4" w:space="0"/>
            </w:tcBorders>
          </w:tcPr>
          <w:p>
            <w:pPr>
              <w:pStyle w:val="24"/>
              <w:spacing w:before="33"/>
              <w:ind w:left="514"/>
              <w:rPr>
                <w:sz w:val="21"/>
              </w:rPr>
            </w:pPr>
            <w:r>
              <w:rPr>
                <w:rFonts w:ascii="Times New Roman" w:eastAsia="Times New Roman"/>
                <w:sz w:val="21"/>
              </w:rPr>
              <w:t>3#</w:t>
            </w:r>
            <w:r>
              <w:rPr>
                <w:sz w:val="21"/>
              </w:rPr>
              <w:t xml:space="preserve">厂界西外 </w:t>
            </w:r>
            <w:r>
              <w:rPr>
                <w:rFonts w:ascii="Times New Roman" w:eastAsia="Times New Roman"/>
                <w:sz w:val="21"/>
              </w:rPr>
              <w:t xml:space="preserve">1m </w:t>
            </w:r>
            <w:r>
              <w:rPr>
                <w:sz w:val="21"/>
              </w:rPr>
              <w:t>处</w:t>
            </w:r>
          </w:p>
        </w:tc>
        <w:tc>
          <w:tcPr>
            <w:tcW w:w="1033" w:type="dxa"/>
            <w:tcBorders>
              <w:top w:val="single" w:color="000000" w:sz="4" w:space="0"/>
              <w:left w:val="single" w:color="000000" w:sz="4" w:space="0"/>
              <w:bottom w:val="single" w:color="000000" w:sz="4" w:space="0"/>
              <w:right w:val="single" w:color="000000" w:sz="4" w:space="0"/>
            </w:tcBorders>
          </w:tcPr>
          <w:p>
            <w:pPr>
              <w:pStyle w:val="24"/>
              <w:spacing w:before="23"/>
              <w:ind w:right="61"/>
              <w:jc w:val="right"/>
              <w:rPr>
                <w:sz w:val="21"/>
              </w:rPr>
            </w:pPr>
            <w:r>
              <w:rPr>
                <w:w w:val="95"/>
                <w:sz w:val="21"/>
              </w:rPr>
              <w:t>环境噪声</w:t>
            </w:r>
          </w:p>
        </w:tc>
        <w:tc>
          <w:tcPr>
            <w:tcW w:w="1039" w:type="dxa"/>
            <w:tcBorders>
              <w:top w:val="single" w:color="000000" w:sz="4" w:space="0"/>
              <w:left w:val="single" w:color="000000" w:sz="4" w:space="0"/>
              <w:bottom w:val="single" w:color="000000" w:sz="4" w:space="0"/>
              <w:right w:val="single" w:color="000000" w:sz="4" w:space="0"/>
            </w:tcBorders>
          </w:tcPr>
          <w:p>
            <w:pPr>
              <w:pStyle w:val="24"/>
              <w:spacing w:before="47"/>
              <w:ind w:left="35" w:right="5"/>
              <w:rPr>
                <w:rFonts w:ascii="Times New Roman"/>
                <w:sz w:val="21"/>
                <w:lang w:val="en-US"/>
              </w:rPr>
            </w:pPr>
            <w:r>
              <w:rPr>
                <w:rFonts w:hint="eastAsia" w:ascii="Times New Roman"/>
                <w:sz w:val="21"/>
                <w:lang w:val="en-US"/>
              </w:rPr>
              <w:t>54.8</w:t>
            </w:r>
          </w:p>
        </w:tc>
        <w:tc>
          <w:tcPr>
            <w:tcW w:w="993" w:type="dxa"/>
            <w:tcBorders>
              <w:top w:val="single" w:color="000000" w:sz="4" w:space="0"/>
              <w:left w:val="single" w:color="000000" w:sz="4" w:space="0"/>
              <w:bottom w:val="single" w:color="000000" w:sz="4" w:space="0"/>
              <w:right w:val="single" w:color="000000" w:sz="4" w:space="0"/>
            </w:tcBorders>
          </w:tcPr>
          <w:p>
            <w:pPr>
              <w:pStyle w:val="24"/>
              <w:spacing w:before="47"/>
              <w:ind w:left="62" w:right="35"/>
              <w:rPr>
                <w:rFonts w:ascii="Times New Roman"/>
                <w:sz w:val="21"/>
                <w:lang w:val="en-US"/>
              </w:rPr>
            </w:pPr>
            <w:r>
              <w:rPr>
                <w:rFonts w:hint="eastAsia" w:ascii="Times New Roman"/>
                <w:sz w:val="21"/>
                <w:lang w:val="en-US"/>
              </w:rPr>
              <w:t>65</w:t>
            </w:r>
          </w:p>
        </w:tc>
        <w:tc>
          <w:tcPr>
            <w:tcW w:w="1035" w:type="dxa"/>
            <w:tcBorders>
              <w:top w:val="single" w:color="000000" w:sz="4" w:space="0"/>
              <w:left w:val="single" w:color="000000" w:sz="4" w:space="0"/>
              <w:bottom w:val="single" w:color="000000" w:sz="4" w:space="0"/>
              <w:right w:val="single" w:color="000000" w:sz="4" w:space="0"/>
            </w:tcBorders>
          </w:tcPr>
          <w:p>
            <w:pPr>
              <w:pStyle w:val="24"/>
              <w:spacing w:before="47"/>
              <w:ind w:left="35" w:right="7"/>
              <w:rPr>
                <w:rFonts w:ascii="Times New Roman"/>
                <w:sz w:val="21"/>
              </w:rPr>
            </w:pPr>
            <w:r>
              <w:rPr>
                <w:rFonts w:hint="eastAsia" w:ascii="Times New Roman"/>
                <w:sz w:val="21"/>
                <w:lang w:val="en-US"/>
              </w:rPr>
              <w:t>53.7</w:t>
            </w:r>
          </w:p>
        </w:tc>
        <w:tc>
          <w:tcPr>
            <w:tcW w:w="1264" w:type="dxa"/>
            <w:tcBorders>
              <w:top w:val="single" w:color="000000" w:sz="4" w:space="0"/>
              <w:left w:val="single" w:color="000000" w:sz="4" w:space="0"/>
              <w:bottom w:val="single" w:color="000000" w:sz="4" w:space="0"/>
              <w:right w:val="nil"/>
            </w:tcBorders>
          </w:tcPr>
          <w:p>
            <w:pPr>
              <w:pStyle w:val="24"/>
              <w:spacing w:before="47"/>
              <w:ind w:left="70" w:right="42"/>
              <w:rPr>
                <w:rFonts w:ascii="Times New Roman"/>
                <w:sz w:val="21"/>
                <w:lang w:val="en-US"/>
              </w:rPr>
            </w:pPr>
            <w:r>
              <w:rPr>
                <w:rFonts w:hint="eastAsia" w:ascii="Times New Roman"/>
                <w:sz w:val="21"/>
                <w:lang w:val="en-US"/>
              </w:rPr>
              <w:t>55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1403" w:type="dxa"/>
            <w:vMerge w:val="continue"/>
            <w:tcBorders>
              <w:top w:val="nil"/>
              <w:left w:val="nil"/>
              <w:right w:val="single" w:color="000000" w:sz="4" w:space="0"/>
            </w:tcBorders>
          </w:tcPr>
          <w:p>
            <w:pPr>
              <w:rPr>
                <w:sz w:val="2"/>
                <w:szCs w:val="2"/>
              </w:rPr>
            </w:pPr>
          </w:p>
        </w:tc>
        <w:tc>
          <w:tcPr>
            <w:tcW w:w="2871" w:type="dxa"/>
            <w:tcBorders>
              <w:top w:val="single" w:color="000000" w:sz="4" w:space="0"/>
              <w:left w:val="single" w:color="000000" w:sz="4" w:space="0"/>
              <w:bottom w:val="single" w:color="000000" w:sz="4" w:space="0"/>
              <w:right w:val="single" w:color="000000" w:sz="4" w:space="0"/>
            </w:tcBorders>
          </w:tcPr>
          <w:p>
            <w:pPr>
              <w:pStyle w:val="24"/>
              <w:spacing w:before="33"/>
              <w:ind w:left="514"/>
              <w:rPr>
                <w:sz w:val="21"/>
              </w:rPr>
            </w:pPr>
            <w:r>
              <w:rPr>
                <w:rFonts w:ascii="Times New Roman" w:eastAsia="Times New Roman"/>
                <w:sz w:val="21"/>
              </w:rPr>
              <w:t>4#</w:t>
            </w:r>
            <w:r>
              <w:rPr>
                <w:sz w:val="21"/>
              </w:rPr>
              <w:t xml:space="preserve">厂界北外 </w:t>
            </w:r>
            <w:r>
              <w:rPr>
                <w:rFonts w:ascii="Times New Roman" w:eastAsia="Times New Roman"/>
                <w:sz w:val="21"/>
              </w:rPr>
              <w:t xml:space="preserve">1m </w:t>
            </w:r>
            <w:r>
              <w:rPr>
                <w:sz w:val="21"/>
              </w:rPr>
              <w:t>处</w:t>
            </w:r>
          </w:p>
        </w:tc>
        <w:tc>
          <w:tcPr>
            <w:tcW w:w="1033" w:type="dxa"/>
            <w:tcBorders>
              <w:top w:val="single" w:color="000000" w:sz="4" w:space="0"/>
              <w:left w:val="single" w:color="000000" w:sz="4" w:space="0"/>
              <w:bottom w:val="single" w:color="000000" w:sz="4" w:space="0"/>
              <w:right w:val="single" w:color="000000" w:sz="4" w:space="0"/>
            </w:tcBorders>
          </w:tcPr>
          <w:p>
            <w:pPr>
              <w:pStyle w:val="24"/>
              <w:spacing w:before="23"/>
              <w:ind w:right="61"/>
              <w:jc w:val="right"/>
              <w:rPr>
                <w:sz w:val="21"/>
              </w:rPr>
            </w:pPr>
            <w:r>
              <w:rPr>
                <w:w w:val="95"/>
                <w:sz w:val="21"/>
              </w:rPr>
              <w:t>环境噪声</w:t>
            </w:r>
          </w:p>
        </w:tc>
        <w:tc>
          <w:tcPr>
            <w:tcW w:w="1039" w:type="dxa"/>
            <w:tcBorders>
              <w:top w:val="single" w:color="000000" w:sz="4" w:space="0"/>
              <w:left w:val="single" w:color="000000" w:sz="4" w:space="0"/>
              <w:bottom w:val="single" w:color="000000" w:sz="4" w:space="0"/>
              <w:right w:val="single" w:color="000000" w:sz="4" w:space="0"/>
            </w:tcBorders>
          </w:tcPr>
          <w:p>
            <w:pPr>
              <w:pStyle w:val="24"/>
              <w:spacing w:before="47"/>
              <w:ind w:left="35" w:right="5"/>
              <w:rPr>
                <w:rFonts w:ascii="Times New Roman"/>
                <w:sz w:val="21"/>
                <w:lang w:val="en-US"/>
              </w:rPr>
            </w:pPr>
            <w:r>
              <w:rPr>
                <w:rFonts w:hint="eastAsia" w:ascii="Times New Roman"/>
                <w:sz w:val="21"/>
                <w:lang w:val="en-US"/>
              </w:rPr>
              <w:t>56.2</w:t>
            </w:r>
          </w:p>
        </w:tc>
        <w:tc>
          <w:tcPr>
            <w:tcW w:w="993" w:type="dxa"/>
            <w:tcBorders>
              <w:top w:val="single" w:color="000000" w:sz="4" w:space="0"/>
              <w:left w:val="single" w:color="000000" w:sz="4" w:space="0"/>
              <w:bottom w:val="single" w:color="000000" w:sz="4" w:space="0"/>
              <w:right w:val="single" w:color="000000" w:sz="4" w:space="0"/>
            </w:tcBorders>
          </w:tcPr>
          <w:p>
            <w:pPr>
              <w:pStyle w:val="24"/>
              <w:spacing w:before="47"/>
              <w:ind w:left="62" w:right="35"/>
              <w:rPr>
                <w:rFonts w:ascii="Times New Roman"/>
                <w:sz w:val="21"/>
                <w:lang w:val="en-US"/>
              </w:rPr>
            </w:pPr>
            <w:r>
              <w:rPr>
                <w:rFonts w:hint="eastAsia" w:ascii="Times New Roman"/>
                <w:sz w:val="21"/>
                <w:lang w:val="en-US"/>
              </w:rPr>
              <w:t>65</w:t>
            </w:r>
          </w:p>
        </w:tc>
        <w:tc>
          <w:tcPr>
            <w:tcW w:w="1035" w:type="dxa"/>
            <w:tcBorders>
              <w:top w:val="single" w:color="000000" w:sz="4" w:space="0"/>
              <w:left w:val="single" w:color="000000" w:sz="4" w:space="0"/>
              <w:bottom w:val="single" w:color="000000" w:sz="4" w:space="0"/>
              <w:right w:val="single" w:color="000000" w:sz="4" w:space="0"/>
            </w:tcBorders>
          </w:tcPr>
          <w:p>
            <w:pPr>
              <w:pStyle w:val="24"/>
              <w:spacing w:before="47"/>
              <w:ind w:left="35" w:right="7"/>
              <w:rPr>
                <w:rFonts w:ascii="Times New Roman"/>
                <w:sz w:val="21"/>
              </w:rPr>
            </w:pPr>
            <w:r>
              <w:rPr>
                <w:rFonts w:hint="eastAsia" w:ascii="Times New Roman"/>
                <w:sz w:val="21"/>
                <w:lang w:val="en-US"/>
              </w:rPr>
              <w:t>45.4</w:t>
            </w:r>
          </w:p>
        </w:tc>
        <w:tc>
          <w:tcPr>
            <w:tcW w:w="1264" w:type="dxa"/>
            <w:tcBorders>
              <w:top w:val="single" w:color="000000" w:sz="4" w:space="0"/>
              <w:left w:val="single" w:color="000000" w:sz="4" w:space="0"/>
              <w:bottom w:val="single" w:color="000000" w:sz="4" w:space="0"/>
              <w:right w:val="nil"/>
            </w:tcBorders>
          </w:tcPr>
          <w:p>
            <w:pPr>
              <w:pStyle w:val="24"/>
              <w:spacing w:before="47"/>
              <w:ind w:left="70" w:right="42"/>
              <w:rPr>
                <w:rFonts w:ascii="Times New Roman"/>
                <w:sz w:val="21"/>
                <w:lang w:val="en-US"/>
              </w:rPr>
            </w:pPr>
            <w:r>
              <w:rPr>
                <w:rFonts w:hint="eastAsia" w:ascii="Times New Roman"/>
                <w:sz w:val="21"/>
                <w:lang w:val="en-US"/>
              </w:rPr>
              <w:t>55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1403" w:type="dxa"/>
            <w:vMerge w:val="continue"/>
            <w:tcBorders>
              <w:top w:val="nil"/>
              <w:left w:val="nil"/>
              <w:right w:val="single" w:color="000000" w:sz="4" w:space="0"/>
            </w:tcBorders>
          </w:tcPr>
          <w:p>
            <w:pPr>
              <w:rPr>
                <w:sz w:val="2"/>
                <w:szCs w:val="2"/>
              </w:rPr>
            </w:pPr>
          </w:p>
        </w:tc>
        <w:tc>
          <w:tcPr>
            <w:tcW w:w="2871" w:type="dxa"/>
            <w:tcBorders>
              <w:top w:val="single" w:color="000000" w:sz="4" w:space="0"/>
              <w:left w:val="single" w:color="000000" w:sz="4" w:space="0"/>
              <w:bottom w:val="single" w:color="000000" w:sz="4" w:space="0"/>
              <w:right w:val="single" w:color="000000" w:sz="4" w:space="0"/>
            </w:tcBorders>
          </w:tcPr>
          <w:p>
            <w:pPr>
              <w:pStyle w:val="24"/>
              <w:spacing w:before="34"/>
              <w:ind w:left="70"/>
              <w:rPr>
                <w:sz w:val="21"/>
              </w:rPr>
            </w:pPr>
            <w:r>
              <w:rPr>
                <w:rFonts w:ascii="Times New Roman" w:eastAsia="Times New Roman"/>
                <w:sz w:val="21"/>
              </w:rPr>
              <w:t>5#</w:t>
            </w:r>
            <w:r>
              <w:rPr>
                <w:sz w:val="21"/>
              </w:rPr>
              <w:t>厂界</w:t>
            </w:r>
            <w:r>
              <w:rPr>
                <w:rFonts w:hint="eastAsia"/>
                <w:sz w:val="21"/>
              </w:rPr>
              <w:t>东</w:t>
            </w:r>
            <w:r>
              <w:rPr>
                <w:sz w:val="21"/>
              </w:rPr>
              <w:t>侧（</w:t>
            </w:r>
            <w:r>
              <w:rPr>
                <w:rFonts w:hint="eastAsia"/>
                <w:sz w:val="21"/>
              </w:rPr>
              <w:t>锁石岭居民点</w:t>
            </w:r>
            <w:r>
              <w:rPr>
                <w:sz w:val="21"/>
              </w:rPr>
              <w:t>）</w:t>
            </w:r>
          </w:p>
        </w:tc>
        <w:tc>
          <w:tcPr>
            <w:tcW w:w="1033" w:type="dxa"/>
            <w:tcBorders>
              <w:top w:val="single" w:color="000000" w:sz="4" w:space="0"/>
              <w:left w:val="single" w:color="000000" w:sz="4" w:space="0"/>
              <w:bottom w:val="single" w:color="000000" w:sz="4" w:space="0"/>
              <w:right w:val="single" w:color="000000" w:sz="4" w:space="0"/>
            </w:tcBorders>
          </w:tcPr>
          <w:p>
            <w:pPr>
              <w:pStyle w:val="24"/>
              <w:spacing w:before="24"/>
              <w:ind w:right="61"/>
              <w:jc w:val="right"/>
              <w:rPr>
                <w:sz w:val="21"/>
              </w:rPr>
            </w:pPr>
            <w:r>
              <w:rPr>
                <w:w w:val="95"/>
                <w:sz w:val="21"/>
              </w:rPr>
              <w:t>环境噪声</w:t>
            </w:r>
          </w:p>
        </w:tc>
        <w:tc>
          <w:tcPr>
            <w:tcW w:w="1039" w:type="dxa"/>
            <w:tcBorders>
              <w:top w:val="single" w:color="000000" w:sz="4" w:space="0"/>
              <w:left w:val="single" w:color="000000" w:sz="4" w:space="0"/>
              <w:bottom w:val="single" w:color="000000" w:sz="4" w:space="0"/>
              <w:right w:val="single" w:color="000000" w:sz="4" w:space="0"/>
            </w:tcBorders>
          </w:tcPr>
          <w:p>
            <w:pPr>
              <w:pStyle w:val="24"/>
              <w:spacing w:before="48"/>
              <w:ind w:left="35" w:right="5"/>
              <w:rPr>
                <w:rFonts w:ascii="Times New Roman"/>
                <w:sz w:val="21"/>
                <w:lang w:val="en-US"/>
              </w:rPr>
            </w:pPr>
            <w:r>
              <w:rPr>
                <w:rFonts w:hint="eastAsia" w:ascii="Times New Roman"/>
                <w:sz w:val="21"/>
                <w:lang w:val="en-US"/>
              </w:rPr>
              <w:t>55.8</w:t>
            </w:r>
          </w:p>
        </w:tc>
        <w:tc>
          <w:tcPr>
            <w:tcW w:w="993" w:type="dxa"/>
            <w:tcBorders>
              <w:top w:val="single" w:color="000000" w:sz="4" w:space="0"/>
              <w:left w:val="single" w:color="000000" w:sz="4" w:space="0"/>
              <w:bottom w:val="single" w:color="000000" w:sz="4" w:space="0"/>
              <w:right w:val="single" w:color="000000" w:sz="4" w:space="0"/>
            </w:tcBorders>
          </w:tcPr>
          <w:p>
            <w:pPr>
              <w:pStyle w:val="24"/>
              <w:spacing w:before="48"/>
              <w:ind w:left="62" w:right="35"/>
              <w:rPr>
                <w:rFonts w:ascii="Times New Roman"/>
                <w:sz w:val="21"/>
                <w:lang w:val="en-US"/>
              </w:rPr>
            </w:pPr>
            <w:r>
              <w:rPr>
                <w:rFonts w:hint="eastAsia" w:ascii="Times New Roman"/>
                <w:sz w:val="21"/>
                <w:lang w:val="en-US"/>
              </w:rPr>
              <w:t>60</w:t>
            </w:r>
          </w:p>
        </w:tc>
        <w:tc>
          <w:tcPr>
            <w:tcW w:w="1035" w:type="dxa"/>
            <w:tcBorders>
              <w:top w:val="single" w:color="000000" w:sz="4" w:space="0"/>
              <w:left w:val="single" w:color="000000" w:sz="4" w:space="0"/>
              <w:bottom w:val="single" w:color="000000" w:sz="4" w:space="0"/>
              <w:right w:val="single" w:color="000000" w:sz="4" w:space="0"/>
            </w:tcBorders>
          </w:tcPr>
          <w:p>
            <w:pPr>
              <w:pStyle w:val="24"/>
              <w:spacing w:before="48"/>
              <w:ind w:left="35" w:right="7"/>
              <w:rPr>
                <w:rFonts w:ascii="Times New Roman"/>
                <w:sz w:val="21"/>
              </w:rPr>
            </w:pPr>
            <w:r>
              <w:rPr>
                <w:rFonts w:hint="eastAsia" w:ascii="Times New Roman"/>
                <w:sz w:val="21"/>
                <w:lang w:val="en-US"/>
              </w:rPr>
              <w:t>46.5</w:t>
            </w:r>
          </w:p>
        </w:tc>
        <w:tc>
          <w:tcPr>
            <w:tcW w:w="1264" w:type="dxa"/>
            <w:tcBorders>
              <w:top w:val="single" w:color="000000" w:sz="4" w:space="0"/>
              <w:left w:val="single" w:color="000000" w:sz="4" w:space="0"/>
              <w:bottom w:val="single" w:color="000000" w:sz="4" w:space="0"/>
              <w:right w:val="nil"/>
            </w:tcBorders>
          </w:tcPr>
          <w:p>
            <w:pPr>
              <w:pStyle w:val="24"/>
              <w:spacing w:before="48"/>
              <w:ind w:left="70" w:right="42"/>
              <w:rPr>
                <w:rFonts w:ascii="Times New Roman"/>
                <w:sz w:val="21"/>
                <w:lang w:val="en-US"/>
              </w:rPr>
            </w:pPr>
            <w:r>
              <w:rPr>
                <w:rFonts w:hint="eastAsia" w:ascii="Times New Roman"/>
                <w:sz w:val="21"/>
                <w:lang w:val="en-US"/>
              </w:rPr>
              <w:t>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1403" w:type="dxa"/>
            <w:vMerge w:val="continue"/>
            <w:tcBorders>
              <w:top w:val="nil"/>
              <w:left w:val="nil"/>
              <w:right w:val="single" w:color="000000" w:sz="4" w:space="0"/>
            </w:tcBorders>
          </w:tcPr>
          <w:p>
            <w:pPr>
              <w:rPr>
                <w:sz w:val="2"/>
                <w:szCs w:val="2"/>
              </w:rPr>
            </w:pPr>
          </w:p>
        </w:tc>
        <w:tc>
          <w:tcPr>
            <w:tcW w:w="2871" w:type="dxa"/>
            <w:tcBorders>
              <w:top w:val="single" w:color="000000" w:sz="4" w:space="0"/>
              <w:left w:val="single" w:color="000000" w:sz="4" w:space="0"/>
              <w:right w:val="single" w:color="000000" w:sz="4" w:space="0"/>
            </w:tcBorders>
          </w:tcPr>
          <w:p>
            <w:pPr>
              <w:pStyle w:val="24"/>
              <w:spacing w:before="34"/>
              <w:ind w:left="15"/>
              <w:rPr>
                <w:sz w:val="21"/>
              </w:rPr>
            </w:pPr>
            <w:r>
              <w:rPr>
                <w:rFonts w:hint="eastAsia"/>
                <w:sz w:val="21"/>
                <w:lang w:val="en-US"/>
              </w:rPr>
              <w:t>6</w:t>
            </w:r>
            <w:r>
              <w:rPr>
                <w:rFonts w:ascii="Times New Roman" w:eastAsia="Times New Roman"/>
                <w:sz w:val="21"/>
              </w:rPr>
              <w:t>#</w:t>
            </w:r>
            <w:r>
              <w:rPr>
                <w:sz w:val="21"/>
              </w:rPr>
              <w:t>厂界南侧居民点</w:t>
            </w:r>
          </w:p>
        </w:tc>
        <w:tc>
          <w:tcPr>
            <w:tcW w:w="1033" w:type="dxa"/>
            <w:tcBorders>
              <w:top w:val="single" w:color="000000" w:sz="4" w:space="0"/>
              <w:left w:val="single" w:color="000000" w:sz="4" w:space="0"/>
              <w:right w:val="single" w:color="000000" w:sz="4" w:space="0"/>
            </w:tcBorders>
          </w:tcPr>
          <w:p>
            <w:pPr>
              <w:pStyle w:val="24"/>
              <w:spacing w:before="24"/>
              <w:ind w:left="-58" w:right="61"/>
              <w:jc w:val="right"/>
              <w:rPr>
                <w:sz w:val="21"/>
              </w:rPr>
            </w:pPr>
            <w:r>
              <w:rPr>
                <w:spacing w:val="-4"/>
                <w:w w:val="95"/>
                <w:sz w:val="21"/>
              </w:rPr>
              <w:t>环境噪声</w:t>
            </w:r>
          </w:p>
        </w:tc>
        <w:tc>
          <w:tcPr>
            <w:tcW w:w="1039" w:type="dxa"/>
            <w:tcBorders>
              <w:top w:val="single" w:color="000000" w:sz="4" w:space="0"/>
              <w:left w:val="single" w:color="000000" w:sz="4" w:space="0"/>
              <w:right w:val="single" w:color="000000" w:sz="4" w:space="0"/>
            </w:tcBorders>
          </w:tcPr>
          <w:p>
            <w:pPr>
              <w:pStyle w:val="24"/>
              <w:spacing w:before="48"/>
              <w:ind w:left="35" w:right="5"/>
              <w:rPr>
                <w:rFonts w:ascii="Times New Roman"/>
                <w:sz w:val="21"/>
                <w:lang w:val="en-US"/>
              </w:rPr>
            </w:pPr>
            <w:r>
              <w:rPr>
                <w:rFonts w:hint="eastAsia" w:ascii="Times New Roman"/>
                <w:sz w:val="21"/>
                <w:lang w:val="en-US"/>
              </w:rPr>
              <w:t>57.6</w:t>
            </w:r>
          </w:p>
        </w:tc>
        <w:tc>
          <w:tcPr>
            <w:tcW w:w="993" w:type="dxa"/>
            <w:tcBorders>
              <w:top w:val="single" w:color="000000" w:sz="4" w:space="0"/>
              <w:left w:val="single" w:color="000000" w:sz="4" w:space="0"/>
              <w:right w:val="single" w:color="000000" w:sz="4" w:space="0"/>
            </w:tcBorders>
          </w:tcPr>
          <w:p>
            <w:pPr>
              <w:pStyle w:val="24"/>
              <w:spacing w:before="48"/>
              <w:ind w:left="62" w:right="35"/>
              <w:rPr>
                <w:rFonts w:ascii="Times New Roman"/>
                <w:sz w:val="21"/>
                <w:lang w:val="en-US"/>
              </w:rPr>
            </w:pPr>
            <w:r>
              <w:rPr>
                <w:rFonts w:hint="eastAsia" w:ascii="Times New Roman"/>
                <w:sz w:val="21"/>
                <w:lang w:val="en-US"/>
              </w:rPr>
              <w:t>60</w:t>
            </w:r>
          </w:p>
        </w:tc>
        <w:tc>
          <w:tcPr>
            <w:tcW w:w="1035" w:type="dxa"/>
            <w:tcBorders>
              <w:top w:val="single" w:color="000000" w:sz="4" w:space="0"/>
              <w:left w:val="single" w:color="000000" w:sz="4" w:space="0"/>
              <w:right w:val="single" w:color="000000" w:sz="4" w:space="0"/>
            </w:tcBorders>
          </w:tcPr>
          <w:p>
            <w:pPr>
              <w:pStyle w:val="24"/>
              <w:spacing w:before="48"/>
              <w:ind w:left="35" w:right="7"/>
              <w:rPr>
                <w:rFonts w:ascii="Times New Roman"/>
                <w:sz w:val="21"/>
              </w:rPr>
            </w:pPr>
            <w:r>
              <w:rPr>
                <w:rFonts w:hint="eastAsia" w:ascii="Times New Roman"/>
                <w:sz w:val="21"/>
                <w:lang w:val="en-US"/>
              </w:rPr>
              <w:t>48.4</w:t>
            </w:r>
          </w:p>
        </w:tc>
        <w:tc>
          <w:tcPr>
            <w:tcW w:w="1264" w:type="dxa"/>
            <w:tcBorders>
              <w:top w:val="single" w:color="000000" w:sz="4" w:space="0"/>
              <w:left w:val="single" w:color="000000" w:sz="4" w:space="0"/>
              <w:right w:val="nil"/>
            </w:tcBorders>
          </w:tcPr>
          <w:p>
            <w:pPr>
              <w:pStyle w:val="24"/>
              <w:spacing w:before="48"/>
              <w:ind w:left="70" w:right="42"/>
              <w:rPr>
                <w:rFonts w:ascii="Times New Roman"/>
                <w:sz w:val="21"/>
                <w:lang w:val="en-US"/>
              </w:rPr>
            </w:pPr>
            <w:r>
              <w:rPr>
                <w:rFonts w:hint="eastAsia" w:ascii="Times New Roman"/>
                <w:sz w:val="21"/>
                <w:lang w:val="en-US"/>
              </w:rPr>
              <w:t>50</w:t>
            </w:r>
          </w:p>
        </w:tc>
      </w:tr>
    </w:tbl>
    <w:p>
      <w:pPr>
        <w:pStyle w:val="23"/>
        <w:numPr>
          <w:ilvl w:val="2"/>
          <w:numId w:val="6"/>
        </w:numPr>
        <w:tabs>
          <w:tab w:val="left" w:pos="941"/>
        </w:tabs>
        <w:spacing w:before="158"/>
        <w:ind w:left="940" w:hanging="701"/>
        <w:rPr>
          <w:b/>
          <w:sz w:val="28"/>
        </w:rPr>
      </w:pPr>
      <w:r>
        <w:rPr>
          <w:b/>
          <w:sz w:val="28"/>
        </w:rPr>
        <w:t>主要环境保护目标</w:t>
      </w:r>
    </w:p>
    <w:p>
      <w:pPr>
        <w:pStyle w:val="10"/>
        <w:spacing w:before="8"/>
        <w:rPr>
          <w:b/>
          <w:sz w:val="26"/>
        </w:rPr>
      </w:pPr>
    </w:p>
    <w:p>
      <w:pPr>
        <w:pStyle w:val="9"/>
        <w:ind w:right="1"/>
      </w:pPr>
      <w:r>
        <w:t xml:space="preserve">表 </w:t>
      </w:r>
      <w:r>
        <w:rPr>
          <w:rFonts w:ascii="Times New Roman" w:eastAsia="Times New Roman"/>
        </w:rPr>
        <w:t xml:space="preserve">2.6.4-1 </w:t>
      </w:r>
      <w:r>
        <w:t>主要环境保护目标</w:t>
      </w:r>
    </w:p>
    <w:p>
      <w:pPr>
        <w:pStyle w:val="10"/>
        <w:spacing w:before="5"/>
        <w:rPr>
          <w:b/>
          <w:sz w:val="12"/>
        </w:rPr>
      </w:pPr>
    </w:p>
    <w:tbl>
      <w:tblPr>
        <w:tblStyle w:val="15"/>
        <w:tblW w:w="0" w:type="auto"/>
        <w:tblInd w:w="34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79"/>
        <w:gridCol w:w="2103"/>
        <w:gridCol w:w="1647"/>
        <w:gridCol w:w="973"/>
        <w:gridCol w:w="1459"/>
        <w:gridCol w:w="280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79" w:type="dxa"/>
            <w:tcBorders>
              <w:left w:val="nil"/>
              <w:bottom w:val="single" w:color="000000" w:sz="4" w:space="0"/>
              <w:right w:val="single" w:color="000000" w:sz="4" w:space="0"/>
            </w:tcBorders>
          </w:tcPr>
          <w:p>
            <w:pPr>
              <w:pStyle w:val="24"/>
              <w:spacing w:before="35"/>
              <w:ind w:left="63" w:right="27"/>
              <w:jc w:val="center"/>
              <w:rPr>
                <w:b/>
                <w:sz w:val="21"/>
              </w:rPr>
            </w:pPr>
            <w:r>
              <w:rPr>
                <w:b/>
                <w:sz w:val="21"/>
              </w:rPr>
              <w:t>环境要素</w:t>
            </w:r>
          </w:p>
        </w:tc>
        <w:tc>
          <w:tcPr>
            <w:tcW w:w="2103" w:type="dxa"/>
            <w:tcBorders>
              <w:left w:val="single" w:color="000000" w:sz="4" w:space="0"/>
              <w:bottom w:val="single" w:color="000000" w:sz="4" w:space="0"/>
              <w:right w:val="single" w:color="000000" w:sz="4" w:space="0"/>
            </w:tcBorders>
          </w:tcPr>
          <w:p>
            <w:pPr>
              <w:pStyle w:val="24"/>
              <w:spacing w:before="35"/>
              <w:ind w:left="551"/>
              <w:jc w:val="center"/>
              <w:rPr>
                <w:b/>
                <w:sz w:val="21"/>
              </w:rPr>
            </w:pPr>
            <w:r>
              <w:rPr>
                <w:b/>
                <w:sz w:val="21"/>
              </w:rPr>
              <w:t>保护目标</w:t>
            </w:r>
          </w:p>
        </w:tc>
        <w:tc>
          <w:tcPr>
            <w:tcW w:w="1647" w:type="dxa"/>
            <w:tcBorders>
              <w:left w:val="single" w:color="000000" w:sz="4" w:space="0"/>
              <w:bottom w:val="single" w:color="000000" w:sz="4" w:space="0"/>
              <w:right w:val="single" w:color="000000" w:sz="4" w:space="0"/>
            </w:tcBorders>
          </w:tcPr>
          <w:p>
            <w:pPr>
              <w:pStyle w:val="24"/>
              <w:spacing w:before="35"/>
              <w:ind w:left="690" w:right="664"/>
              <w:jc w:val="center"/>
              <w:rPr>
                <w:b/>
                <w:sz w:val="21"/>
              </w:rPr>
            </w:pPr>
            <w:r>
              <w:rPr>
                <w:b/>
                <w:sz w:val="21"/>
              </w:rPr>
              <w:t>规模</w:t>
            </w:r>
          </w:p>
        </w:tc>
        <w:tc>
          <w:tcPr>
            <w:tcW w:w="973" w:type="dxa"/>
            <w:tcBorders>
              <w:left w:val="single" w:color="000000" w:sz="4" w:space="0"/>
              <w:bottom w:val="single" w:color="000000" w:sz="4" w:space="0"/>
              <w:right w:val="single" w:color="000000" w:sz="4" w:space="0"/>
            </w:tcBorders>
          </w:tcPr>
          <w:p>
            <w:pPr>
              <w:pStyle w:val="24"/>
              <w:spacing w:before="35"/>
              <w:ind w:left="263" w:right="214"/>
              <w:jc w:val="center"/>
              <w:rPr>
                <w:b/>
                <w:sz w:val="21"/>
              </w:rPr>
            </w:pPr>
            <w:r>
              <w:rPr>
                <w:b/>
                <w:sz w:val="21"/>
              </w:rPr>
              <w:t>方位</w:t>
            </w:r>
          </w:p>
        </w:tc>
        <w:tc>
          <w:tcPr>
            <w:tcW w:w="1459" w:type="dxa"/>
            <w:tcBorders>
              <w:left w:val="single" w:color="000000" w:sz="4" w:space="0"/>
              <w:bottom w:val="single" w:color="000000" w:sz="4" w:space="0"/>
              <w:right w:val="single" w:color="000000" w:sz="4" w:space="0"/>
            </w:tcBorders>
          </w:tcPr>
          <w:p>
            <w:pPr>
              <w:pStyle w:val="24"/>
              <w:spacing w:before="35"/>
              <w:ind w:right="198"/>
              <w:jc w:val="center"/>
              <w:rPr>
                <w:b/>
                <w:sz w:val="21"/>
              </w:rPr>
            </w:pPr>
            <w:r>
              <w:rPr>
                <w:b/>
                <w:w w:val="95"/>
                <w:sz w:val="21"/>
              </w:rPr>
              <w:t>距离（</w:t>
            </w:r>
            <w:r>
              <w:rPr>
                <w:rFonts w:ascii="Times New Roman" w:eastAsia="Times New Roman"/>
                <w:b/>
                <w:w w:val="95"/>
                <w:sz w:val="21"/>
              </w:rPr>
              <w:t>m</w:t>
            </w:r>
            <w:r>
              <w:rPr>
                <w:b/>
                <w:w w:val="95"/>
                <w:sz w:val="21"/>
              </w:rPr>
              <w:t>）</w:t>
            </w:r>
          </w:p>
        </w:tc>
        <w:tc>
          <w:tcPr>
            <w:tcW w:w="2801" w:type="dxa"/>
            <w:tcBorders>
              <w:left w:val="single" w:color="000000" w:sz="4" w:space="0"/>
              <w:bottom w:val="single" w:color="000000" w:sz="4" w:space="0"/>
              <w:right w:val="nil"/>
            </w:tcBorders>
          </w:tcPr>
          <w:p>
            <w:pPr>
              <w:pStyle w:val="24"/>
              <w:spacing w:before="35"/>
              <w:ind w:left="115" w:right="91"/>
              <w:jc w:val="center"/>
              <w:rPr>
                <w:b/>
                <w:sz w:val="21"/>
              </w:rPr>
            </w:pPr>
            <w:r>
              <w:rPr>
                <w:b/>
                <w:sz w:val="21"/>
              </w:rPr>
              <w:t>保护级别</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79" w:type="dxa"/>
            <w:vMerge w:val="restart"/>
            <w:tcBorders>
              <w:top w:val="single" w:color="000000" w:sz="4" w:space="0"/>
              <w:left w:val="nil"/>
              <w:bottom w:val="single" w:color="000000" w:sz="4" w:space="0"/>
              <w:right w:val="single" w:color="000000" w:sz="4" w:space="0"/>
            </w:tcBorders>
          </w:tcPr>
          <w:p>
            <w:pPr>
              <w:pStyle w:val="24"/>
              <w:jc w:val="center"/>
              <w:rPr>
                <w:b/>
                <w:sz w:val="20"/>
              </w:rPr>
            </w:pPr>
          </w:p>
          <w:p>
            <w:pPr>
              <w:pStyle w:val="24"/>
              <w:spacing w:before="5"/>
              <w:jc w:val="center"/>
              <w:rPr>
                <w:b/>
              </w:rPr>
            </w:pPr>
          </w:p>
          <w:p>
            <w:pPr>
              <w:pStyle w:val="24"/>
              <w:spacing w:before="1" w:line="278" w:lineRule="auto"/>
              <w:ind w:left="398" w:right="155" w:hanging="212"/>
              <w:jc w:val="center"/>
              <w:rPr>
                <w:sz w:val="21"/>
              </w:rPr>
            </w:pPr>
            <w:r>
              <w:rPr>
                <w:sz w:val="21"/>
              </w:rPr>
              <w:t>大气环境</w:t>
            </w:r>
          </w:p>
        </w:tc>
        <w:tc>
          <w:tcPr>
            <w:tcW w:w="2103" w:type="dxa"/>
            <w:tcBorders>
              <w:top w:val="single" w:color="000000" w:sz="4" w:space="0"/>
              <w:left w:val="single" w:color="000000" w:sz="4" w:space="0"/>
              <w:bottom w:val="single" w:color="000000" w:sz="4" w:space="0"/>
              <w:right w:val="single" w:color="000000" w:sz="4" w:space="0"/>
            </w:tcBorders>
          </w:tcPr>
          <w:p>
            <w:pPr>
              <w:pStyle w:val="24"/>
              <w:spacing w:before="35"/>
              <w:ind w:right="398"/>
              <w:jc w:val="center"/>
              <w:rPr>
                <w:sz w:val="21"/>
              </w:rPr>
            </w:pPr>
            <w:r>
              <w:rPr>
                <w:rFonts w:hint="eastAsia"/>
                <w:sz w:val="21"/>
              </w:rPr>
              <w:t>锁石岭社区居民点</w:t>
            </w:r>
          </w:p>
        </w:tc>
        <w:tc>
          <w:tcPr>
            <w:tcW w:w="1647" w:type="dxa"/>
            <w:tcBorders>
              <w:top w:val="single" w:color="000000" w:sz="4" w:space="0"/>
              <w:left w:val="single" w:color="000000" w:sz="4" w:space="0"/>
              <w:bottom w:val="single" w:color="000000" w:sz="4" w:space="0"/>
              <w:right w:val="single" w:color="000000" w:sz="4" w:space="0"/>
            </w:tcBorders>
          </w:tcPr>
          <w:p>
            <w:pPr>
              <w:pStyle w:val="24"/>
              <w:spacing w:before="35"/>
              <w:jc w:val="center"/>
              <w:rPr>
                <w:sz w:val="21"/>
                <w:lang w:val="en-US"/>
              </w:rPr>
            </w:pPr>
            <w:r>
              <w:rPr>
                <w:rFonts w:hint="eastAsia"/>
                <w:sz w:val="21"/>
              </w:rPr>
              <w:t>约</w:t>
            </w:r>
            <w:r>
              <w:rPr>
                <w:rFonts w:hint="eastAsia"/>
                <w:sz w:val="21"/>
                <w:lang w:val="en-US"/>
              </w:rPr>
              <w:t>80户240人</w:t>
            </w:r>
          </w:p>
        </w:tc>
        <w:tc>
          <w:tcPr>
            <w:tcW w:w="973" w:type="dxa"/>
            <w:tcBorders>
              <w:top w:val="single" w:color="000000" w:sz="4" w:space="0"/>
              <w:left w:val="single" w:color="000000" w:sz="4" w:space="0"/>
              <w:bottom w:val="single" w:color="000000" w:sz="4" w:space="0"/>
              <w:right w:val="single" w:color="000000" w:sz="4" w:space="0"/>
            </w:tcBorders>
          </w:tcPr>
          <w:p>
            <w:pPr>
              <w:pStyle w:val="24"/>
              <w:spacing w:before="35"/>
              <w:ind w:left="26"/>
              <w:jc w:val="center"/>
              <w:rPr>
                <w:sz w:val="21"/>
              </w:rPr>
            </w:pPr>
            <w:r>
              <w:rPr>
                <w:rFonts w:hint="eastAsia"/>
                <w:sz w:val="21"/>
              </w:rPr>
              <w:t>东</w:t>
            </w:r>
          </w:p>
        </w:tc>
        <w:tc>
          <w:tcPr>
            <w:tcW w:w="1459" w:type="dxa"/>
            <w:tcBorders>
              <w:top w:val="single" w:color="000000" w:sz="4" w:space="0"/>
              <w:left w:val="single" w:color="000000" w:sz="4" w:space="0"/>
              <w:bottom w:val="single" w:color="000000" w:sz="4" w:space="0"/>
              <w:right w:val="single" w:color="000000" w:sz="4" w:space="0"/>
            </w:tcBorders>
          </w:tcPr>
          <w:p>
            <w:pPr>
              <w:pStyle w:val="24"/>
              <w:spacing w:before="35"/>
              <w:ind w:right="175"/>
              <w:jc w:val="center"/>
              <w:rPr>
                <w:rFonts w:ascii="Times New Roman"/>
                <w:sz w:val="21"/>
                <w:lang w:val="en-US"/>
              </w:rPr>
            </w:pPr>
            <w:r>
              <w:rPr>
                <w:sz w:val="21"/>
              </w:rPr>
              <w:t>约</w:t>
            </w:r>
            <w:r>
              <w:rPr>
                <w:rFonts w:hint="eastAsia"/>
                <w:sz w:val="21"/>
                <w:lang w:val="en-US"/>
              </w:rPr>
              <w:t>45</w:t>
            </w:r>
            <w:r>
              <w:rPr>
                <w:rFonts w:ascii="Times New Roman" w:eastAsia="Times New Roman"/>
                <w:sz w:val="21"/>
              </w:rPr>
              <w:t>~</w:t>
            </w:r>
            <w:r>
              <w:rPr>
                <w:rFonts w:hint="eastAsia"/>
                <w:sz w:val="21"/>
                <w:lang w:val="en-US"/>
              </w:rPr>
              <w:t>581</w:t>
            </w:r>
            <w:r>
              <w:rPr>
                <w:rFonts w:ascii="Times New Roman" w:eastAsia="Times New Roman"/>
                <w:b/>
                <w:w w:val="95"/>
                <w:sz w:val="21"/>
              </w:rPr>
              <w:t>m</w:t>
            </w:r>
          </w:p>
        </w:tc>
        <w:tc>
          <w:tcPr>
            <w:tcW w:w="2801" w:type="dxa"/>
            <w:vMerge w:val="restart"/>
            <w:tcBorders>
              <w:top w:val="single" w:color="000000" w:sz="4" w:space="0"/>
              <w:left w:val="single" w:color="000000" w:sz="4" w:space="0"/>
              <w:bottom w:val="single" w:color="000000" w:sz="4" w:space="0"/>
              <w:right w:val="nil"/>
            </w:tcBorders>
          </w:tcPr>
          <w:p>
            <w:pPr>
              <w:pStyle w:val="24"/>
              <w:jc w:val="center"/>
              <w:rPr>
                <w:b/>
                <w:sz w:val="20"/>
              </w:rPr>
            </w:pPr>
          </w:p>
          <w:p>
            <w:pPr>
              <w:pStyle w:val="24"/>
              <w:spacing w:before="131"/>
              <w:ind w:left="113" w:right="91"/>
              <w:jc w:val="center"/>
              <w:rPr>
                <w:sz w:val="21"/>
              </w:rPr>
            </w:pPr>
            <w:r>
              <w:rPr>
                <w:sz w:val="21"/>
              </w:rPr>
              <w:t>《环境空气质量标准》</w:t>
            </w:r>
          </w:p>
          <w:p>
            <w:pPr>
              <w:pStyle w:val="24"/>
              <w:spacing w:before="43" w:line="278" w:lineRule="auto"/>
              <w:ind w:left="118" w:right="91"/>
              <w:jc w:val="center"/>
              <w:rPr>
                <w:sz w:val="21"/>
              </w:rPr>
            </w:pPr>
            <w:r>
              <w:rPr>
                <w:spacing w:val="2"/>
                <w:w w:val="99"/>
                <w:sz w:val="21"/>
              </w:rPr>
              <w:t>（</w:t>
            </w:r>
            <w:r>
              <w:rPr>
                <w:rFonts w:ascii="Times New Roman" w:eastAsia="Times New Roman"/>
                <w:w w:val="99"/>
                <w:sz w:val="21"/>
              </w:rPr>
              <w:t>G</w:t>
            </w:r>
            <w:r>
              <w:rPr>
                <w:rFonts w:ascii="Times New Roman" w:eastAsia="Times New Roman"/>
                <w:spacing w:val="-1"/>
                <w:w w:val="99"/>
                <w:sz w:val="21"/>
              </w:rPr>
              <w:t>B</w:t>
            </w:r>
            <w:r>
              <w:rPr>
                <w:rFonts w:ascii="Times New Roman" w:eastAsia="Times New Roman"/>
                <w:spacing w:val="1"/>
                <w:w w:val="99"/>
                <w:sz w:val="21"/>
              </w:rPr>
              <w:t>3095</w:t>
            </w:r>
            <w:r>
              <w:rPr>
                <w:rFonts w:ascii="Times New Roman" w:eastAsia="Times New Roman"/>
                <w:spacing w:val="-3"/>
                <w:w w:val="99"/>
                <w:sz w:val="21"/>
              </w:rPr>
              <w:t>-</w:t>
            </w:r>
            <w:r>
              <w:rPr>
                <w:rFonts w:ascii="Times New Roman" w:eastAsia="Times New Roman"/>
                <w:spacing w:val="1"/>
                <w:w w:val="99"/>
                <w:sz w:val="21"/>
              </w:rPr>
              <w:t>201</w:t>
            </w:r>
            <w:r>
              <w:rPr>
                <w:rFonts w:ascii="Times New Roman" w:eastAsia="Times New Roman"/>
                <w:spacing w:val="-2"/>
                <w:w w:val="99"/>
                <w:sz w:val="21"/>
              </w:rPr>
              <w:t>2</w:t>
            </w:r>
            <w:r>
              <w:rPr>
                <w:spacing w:val="-85"/>
                <w:w w:val="99"/>
                <w:sz w:val="21"/>
              </w:rPr>
              <w:t>）</w:t>
            </w:r>
            <w:r>
              <w:rPr>
                <w:spacing w:val="-4"/>
                <w:w w:val="99"/>
                <w:sz w:val="21"/>
              </w:rPr>
              <w:t>中的二级标</w:t>
            </w:r>
            <w:r>
              <w:rPr>
                <w:sz w:val="21"/>
              </w:rPr>
              <w:t>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79" w:type="dxa"/>
            <w:vMerge w:val="continue"/>
            <w:tcBorders>
              <w:top w:val="nil"/>
              <w:left w:val="nil"/>
              <w:bottom w:val="single" w:color="000000" w:sz="4" w:space="0"/>
              <w:right w:val="single" w:color="000000" w:sz="4" w:space="0"/>
            </w:tcBorders>
          </w:tcPr>
          <w:p>
            <w:pPr>
              <w:jc w:val="center"/>
              <w:rPr>
                <w:sz w:val="2"/>
                <w:szCs w:val="2"/>
              </w:rPr>
            </w:pPr>
          </w:p>
        </w:tc>
        <w:tc>
          <w:tcPr>
            <w:tcW w:w="2103" w:type="dxa"/>
            <w:tcBorders>
              <w:top w:val="single" w:color="000000" w:sz="4" w:space="0"/>
              <w:left w:val="single" w:color="000000" w:sz="4" w:space="0"/>
              <w:bottom w:val="single" w:color="000000" w:sz="4" w:space="0"/>
              <w:right w:val="single" w:color="000000" w:sz="4" w:space="0"/>
            </w:tcBorders>
          </w:tcPr>
          <w:p>
            <w:pPr>
              <w:pStyle w:val="24"/>
              <w:spacing w:before="33"/>
              <w:jc w:val="center"/>
              <w:rPr>
                <w:sz w:val="21"/>
                <w:lang w:val="en-US"/>
              </w:rPr>
            </w:pPr>
            <w:r>
              <w:rPr>
                <w:rFonts w:hint="eastAsia"/>
                <w:sz w:val="21"/>
              </w:rPr>
              <w:t>立新镇居民点</w:t>
            </w:r>
          </w:p>
        </w:tc>
        <w:tc>
          <w:tcPr>
            <w:tcW w:w="1647" w:type="dxa"/>
            <w:tcBorders>
              <w:top w:val="single" w:color="000000" w:sz="4" w:space="0"/>
              <w:left w:val="single" w:color="000000" w:sz="4" w:space="0"/>
              <w:bottom w:val="single" w:color="000000" w:sz="4" w:space="0"/>
              <w:right w:val="single" w:color="000000" w:sz="4" w:space="0"/>
            </w:tcBorders>
          </w:tcPr>
          <w:p>
            <w:pPr>
              <w:pStyle w:val="24"/>
              <w:spacing w:before="33"/>
              <w:jc w:val="center"/>
              <w:rPr>
                <w:sz w:val="21"/>
              </w:rPr>
            </w:pPr>
            <w:r>
              <w:rPr>
                <w:sz w:val="21"/>
              </w:rPr>
              <w:t>约</w:t>
            </w:r>
            <w:r>
              <w:rPr>
                <w:rFonts w:ascii="Times New Roman" w:eastAsia="Times New Roman"/>
                <w:sz w:val="21"/>
              </w:rPr>
              <w:t>1</w:t>
            </w:r>
            <w:r>
              <w:rPr>
                <w:rFonts w:hint="eastAsia" w:ascii="Times New Roman" w:eastAsia="宋体"/>
                <w:sz w:val="21"/>
                <w:lang w:val="en-US"/>
              </w:rPr>
              <w:t>5</w:t>
            </w:r>
            <w:r>
              <w:rPr>
                <w:sz w:val="21"/>
              </w:rPr>
              <w:t xml:space="preserve">户 </w:t>
            </w:r>
            <w:r>
              <w:rPr>
                <w:rFonts w:ascii="Times New Roman" w:eastAsia="Times New Roman"/>
                <w:sz w:val="21"/>
              </w:rPr>
              <w:t>9</w:t>
            </w:r>
            <w:r>
              <w:rPr>
                <w:rFonts w:hint="eastAsia" w:ascii="Times New Roman" w:eastAsia="宋体"/>
                <w:sz w:val="21"/>
                <w:lang w:val="en-US"/>
              </w:rPr>
              <w:t>75</w:t>
            </w:r>
            <w:r>
              <w:rPr>
                <w:sz w:val="21"/>
              </w:rPr>
              <w:t>人</w:t>
            </w:r>
          </w:p>
        </w:tc>
        <w:tc>
          <w:tcPr>
            <w:tcW w:w="973" w:type="dxa"/>
            <w:tcBorders>
              <w:top w:val="single" w:color="000000" w:sz="4" w:space="0"/>
              <w:left w:val="single" w:color="000000" w:sz="4" w:space="0"/>
              <w:bottom w:val="single" w:color="000000" w:sz="4" w:space="0"/>
              <w:right w:val="single" w:color="000000" w:sz="4" w:space="0"/>
            </w:tcBorders>
          </w:tcPr>
          <w:p>
            <w:pPr>
              <w:pStyle w:val="24"/>
              <w:spacing w:before="33"/>
              <w:ind w:left="249" w:right="226"/>
              <w:jc w:val="center"/>
              <w:rPr>
                <w:sz w:val="21"/>
              </w:rPr>
            </w:pPr>
            <w:r>
              <w:rPr>
                <w:rFonts w:hint="eastAsia"/>
                <w:sz w:val="21"/>
              </w:rPr>
              <w:t>东北</w:t>
            </w:r>
          </w:p>
        </w:tc>
        <w:tc>
          <w:tcPr>
            <w:tcW w:w="1459" w:type="dxa"/>
            <w:tcBorders>
              <w:top w:val="single" w:color="000000" w:sz="4" w:space="0"/>
              <w:left w:val="single" w:color="000000" w:sz="4" w:space="0"/>
              <w:bottom w:val="single" w:color="000000" w:sz="4" w:space="0"/>
              <w:right w:val="single" w:color="000000" w:sz="4" w:space="0"/>
            </w:tcBorders>
          </w:tcPr>
          <w:p>
            <w:pPr>
              <w:pStyle w:val="24"/>
              <w:spacing w:before="33"/>
              <w:ind w:right="125"/>
              <w:jc w:val="center"/>
              <w:rPr>
                <w:rFonts w:ascii="Times New Roman" w:eastAsia="Times New Roman"/>
                <w:sz w:val="21"/>
              </w:rPr>
            </w:pPr>
            <w:r>
              <w:rPr>
                <w:sz w:val="21"/>
              </w:rPr>
              <w:t xml:space="preserve">约 </w:t>
            </w:r>
            <w:r>
              <w:rPr>
                <w:rFonts w:hint="eastAsia"/>
                <w:sz w:val="21"/>
                <w:lang w:val="en-US"/>
              </w:rPr>
              <w:t>105</w:t>
            </w:r>
            <w:r>
              <w:rPr>
                <w:rFonts w:ascii="Times New Roman" w:eastAsia="Times New Roman"/>
                <w:sz w:val="21"/>
              </w:rPr>
              <w:t>~</w:t>
            </w:r>
            <w:r>
              <w:rPr>
                <w:rFonts w:hint="eastAsia" w:ascii="Times New Roman" w:eastAsia="宋体"/>
                <w:sz w:val="21"/>
                <w:lang w:val="en-US"/>
              </w:rPr>
              <w:t>253</w:t>
            </w:r>
            <w:r>
              <w:rPr>
                <w:rFonts w:ascii="Times New Roman" w:eastAsia="Times New Roman"/>
                <w:sz w:val="21"/>
              </w:rPr>
              <w:t>m</w:t>
            </w:r>
          </w:p>
        </w:tc>
        <w:tc>
          <w:tcPr>
            <w:tcW w:w="2801" w:type="dxa"/>
            <w:vMerge w:val="continue"/>
            <w:tcBorders>
              <w:top w:val="nil"/>
              <w:left w:val="single" w:color="000000" w:sz="4" w:space="0"/>
              <w:bottom w:val="single" w:color="000000" w:sz="4" w:space="0"/>
              <w:right w:val="nil"/>
            </w:tcBorders>
          </w:tcPr>
          <w:p>
            <w:pPr>
              <w:jc w:val="cente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79" w:type="dxa"/>
            <w:vMerge w:val="continue"/>
            <w:tcBorders>
              <w:top w:val="nil"/>
              <w:left w:val="nil"/>
              <w:bottom w:val="single" w:color="000000" w:sz="4" w:space="0"/>
              <w:right w:val="single" w:color="000000" w:sz="4" w:space="0"/>
            </w:tcBorders>
          </w:tcPr>
          <w:p>
            <w:pPr>
              <w:jc w:val="center"/>
              <w:rPr>
                <w:sz w:val="2"/>
                <w:szCs w:val="2"/>
              </w:rPr>
            </w:pPr>
          </w:p>
        </w:tc>
        <w:tc>
          <w:tcPr>
            <w:tcW w:w="2103" w:type="dxa"/>
            <w:tcBorders>
              <w:top w:val="single" w:color="000000" w:sz="4" w:space="0"/>
              <w:left w:val="single" w:color="000000" w:sz="4" w:space="0"/>
              <w:bottom w:val="single" w:color="000000" w:sz="4" w:space="0"/>
              <w:right w:val="single" w:color="000000" w:sz="4" w:space="0"/>
            </w:tcBorders>
          </w:tcPr>
          <w:p>
            <w:pPr>
              <w:pStyle w:val="24"/>
              <w:spacing w:before="33"/>
              <w:jc w:val="center"/>
              <w:rPr>
                <w:sz w:val="21"/>
              </w:rPr>
            </w:pPr>
            <w:r>
              <w:rPr>
                <w:rFonts w:hint="eastAsia"/>
                <w:sz w:val="21"/>
              </w:rPr>
              <w:t>蒲圻高级中学</w:t>
            </w:r>
          </w:p>
        </w:tc>
        <w:tc>
          <w:tcPr>
            <w:tcW w:w="1647" w:type="dxa"/>
            <w:tcBorders>
              <w:top w:val="single" w:color="000000" w:sz="4" w:space="0"/>
              <w:left w:val="single" w:color="000000" w:sz="4" w:space="0"/>
              <w:bottom w:val="single" w:color="000000" w:sz="4" w:space="0"/>
              <w:right w:val="single" w:color="000000" w:sz="4" w:space="0"/>
            </w:tcBorders>
          </w:tcPr>
          <w:p>
            <w:pPr>
              <w:pStyle w:val="24"/>
              <w:spacing w:before="33"/>
              <w:jc w:val="center"/>
              <w:rPr>
                <w:sz w:val="21"/>
              </w:rPr>
            </w:pPr>
            <w:r>
              <w:rPr>
                <w:sz w:val="21"/>
              </w:rPr>
              <w:t xml:space="preserve">师生共约 </w:t>
            </w:r>
            <w:r>
              <w:rPr>
                <w:rFonts w:hint="eastAsia" w:ascii="Times New Roman" w:eastAsia="宋体"/>
                <w:sz w:val="21"/>
                <w:lang w:val="en-US"/>
              </w:rPr>
              <w:t>800</w:t>
            </w:r>
            <w:r>
              <w:rPr>
                <w:sz w:val="21"/>
              </w:rPr>
              <w:t>人</w:t>
            </w:r>
          </w:p>
        </w:tc>
        <w:tc>
          <w:tcPr>
            <w:tcW w:w="973" w:type="dxa"/>
            <w:tcBorders>
              <w:top w:val="single" w:color="000000" w:sz="4" w:space="0"/>
              <w:left w:val="single" w:color="000000" w:sz="4" w:space="0"/>
              <w:bottom w:val="single" w:color="000000" w:sz="4" w:space="0"/>
              <w:right w:val="single" w:color="000000" w:sz="4" w:space="0"/>
            </w:tcBorders>
          </w:tcPr>
          <w:p>
            <w:pPr>
              <w:pStyle w:val="24"/>
              <w:spacing w:before="33"/>
              <w:ind w:left="249" w:right="226"/>
              <w:jc w:val="center"/>
              <w:rPr>
                <w:sz w:val="21"/>
              </w:rPr>
            </w:pPr>
            <w:r>
              <w:rPr>
                <w:rFonts w:hint="eastAsia"/>
                <w:sz w:val="21"/>
              </w:rPr>
              <w:t>南</w:t>
            </w:r>
          </w:p>
        </w:tc>
        <w:tc>
          <w:tcPr>
            <w:tcW w:w="1459" w:type="dxa"/>
            <w:tcBorders>
              <w:top w:val="single" w:color="000000" w:sz="4" w:space="0"/>
              <w:left w:val="single" w:color="000000" w:sz="4" w:space="0"/>
              <w:bottom w:val="single" w:color="000000" w:sz="4" w:space="0"/>
              <w:right w:val="single" w:color="000000" w:sz="4" w:space="0"/>
            </w:tcBorders>
          </w:tcPr>
          <w:p>
            <w:pPr>
              <w:pStyle w:val="24"/>
              <w:spacing w:before="33"/>
              <w:jc w:val="center"/>
              <w:rPr>
                <w:rFonts w:ascii="Times New Roman" w:eastAsia="Times New Roman"/>
                <w:sz w:val="21"/>
              </w:rPr>
            </w:pPr>
            <w:r>
              <w:rPr>
                <w:sz w:val="21"/>
              </w:rPr>
              <w:t>约</w:t>
            </w:r>
            <w:r>
              <w:rPr>
                <w:rFonts w:hint="eastAsia"/>
                <w:sz w:val="21"/>
                <w:lang w:val="en-US"/>
              </w:rPr>
              <w:t>475</w:t>
            </w:r>
            <w:r>
              <w:rPr>
                <w:rFonts w:ascii="Times New Roman" w:eastAsia="Times New Roman"/>
                <w:sz w:val="21"/>
              </w:rPr>
              <w:t>~</w:t>
            </w:r>
            <w:r>
              <w:rPr>
                <w:rFonts w:hint="eastAsia" w:ascii="Times New Roman" w:eastAsia="宋体"/>
                <w:sz w:val="21"/>
                <w:lang w:val="en-US"/>
              </w:rPr>
              <w:t>758</w:t>
            </w:r>
            <w:r>
              <w:rPr>
                <w:rFonts w:ascii="Times New Roman" w:eastAsia="Times New Roman"/>
                <w:sz w:val="21"/>
              </w:rPr>
              <w:t>m</w:t>
            </w:r>
          </w:p>
        </w:tc>
        <w:tc>
          <w:tcPr>
            <w:tcW w:w="2801" w:type="dxa"/>
            <w:vMerge w:val="continue"/>
            <w:tcBorders>
              <w:top w:val="nil"/>
              <w:left w:val="single" w:color="000000" w:sz="4" w:space="0"/>
              <w:bottom w:val="single" w:color="000000" w:sz="4" w:space="0"/>
              <w:right w:val="nil"/>
            </w:tcBorders>
          </w:tcPr>
          <w:p>
            <w:pPr>
              <w:jc w:val="cente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979" w:type="dxa"/>
            <w:vMerge w:val="restart"/>
            <w:tcBorders>
              <w:top w:val="single" w:color="000000" w:sz="4" w:space="0"/>
              <w:left w:val="nil"/>
              <w:right w:val="single" w:color="000000" w:sz="4" w:space="0"/>
            </w:tcBorders>
          </w:tcPr>
          <w:p>
            <w:pPr>
              <w:pStyle w:val="24"/>
              <w:spacing w:before="175"/>
              <w:ind w:left="56" w:right="27"/>
              <w:jc w:val="center"/>
              <w:rPr>
                <w:sz w:val="21"/>
              </w:rPr>
            </w:pPr>
          </w:p>
          <w:p>
            <w:pPr>
              <w:pStyle w:val="24"/>
              <w:spacing w:before="175"/>
              <w:ind w:left="56" w:right="27"/>
              <w:jc w:val="center"/>
              <w:rPr>
                <w:sz w:val="21"/>
              </w:rPr>
            </w:pPr>
            <w:r>
              <w:rPr>
                <w:sz w:val="21"/>
              </w:rPr>
              <w:t>地表水</w:t>
            </w:r>
          </w:p>
        </w:tc>
        <w:tc>
          <w:tcPr>
            <w:tcW w:w="2103" w:type="dxa"/>
            <w:tcBorders>
              <w:top w:val="single" w:color="000000" w:sz="4" w:space="0"/>
              <w:left w:val="single" w:color="000000" w:sz="4" w:space="0"/>
              <w:bottom w:val="single" w:color="000000" w:sz="4" w:space="0"/>
              <w:right w:val="single" w:color="000000" w:sz="4" w:space="0"/>
            </w:tcBorders>
          </w:tcPr>
          <w:p>
            <w:pPr>
              <w:pStyle w:val="24"/>
              <w:spacing w:before="175"/>
              <w:ind w:right="-29"/>
              <w:jc w:val="center"/>
              <w:rPr>
                <w:sz w:val="21"/>
              </w:rPr>
            </w:pPr>
            <w:r>
              <w:rPr>
                <w:rFonts w:hint="eastAsia"/>
                <w:sz w:val="21"/>
              </w:rPr>
              <w:t>陆水湖</w:t>
            </w:r>
          </w:p>
        </w:tc>
        <w:tc>
          <w:tcPr>
            <w:tcW w:w="1647" w:type="dxa"/>
            <w:tcBorders>
              <w:top w:val="single" w:color="000000" w:sz="4" w:space="0"/>
              <w:left w:val="single" w:color="000000" w:sz="4" w:space="0"/>
              <w:bottom w:val="single" w:color="000000" w:sz="4" w:space="0"/>
              <w:right w:val="single" w:color="000000" w:sz="4" w:space="0"/>
            </w:tcBorders>
          </w:tcPr>
          <w:p>
            <w:pPr>
              <w:pStyle w:val="24"/>
              <w:spacing w:before="175"/>
              <w:ind w:right="664" w:firstLine="210" w:firstLineChars="100"/>
              <w:jc w:val="center"/>
              <w:rPr>
                <w:sz w:val="21"/>
              </w:rPr>
            </w:pPr>
            <w:r>
              <w:rPr>
                <w:rFonts w:hint="eastAsia"/>
                <w:sz w:val="21"/>
              </w:rPr>
              <w:t>小河</w:t>
            </w:r>
          </w:p>
        </w:tc>
        <w:tc>
          <w:tcPr>
            <w:tcW w:w="973" w:type="dxa"/>
            <w:tcBorders>
              <w:top w:val="single" w:color="000000" w:sz="4" w:space="0"/>
              <w:left w:val="single" w:color="000000" w:sz="4" w:space="0"/>
              <w:bottom w:val="single" w:color="000000" w:sz="4" w:space="0"/>
              <w:right w:val="single" w:color="000000" w:sz="4" w:space="0"/>
            </w:tcBorders>
          </w:tcPr>
          <w:p>
            <w:pPr>
              <w:pStyle w:val="24"/>
              <w:spacing w:before="175"/>
              <w:ind w:left="26"/>
              <w:jc w:val="center"/>
              <w:rPr>
                <w:sz w:val="21"/>
              </w:rPr>
            </w:pPr>
            <w:r>
              <w:rPr>
                <w:rFonts w:hint="eastAsia"/>
                <w:sz w:val="21"/>
              </w:rPr>
              <w:t>北</w:t>
            </w:r>
          </w:p>
        </w:tc>
        <w:tc>
          <w:tcPr>
            <w:tcW w:w="1459" w:type="dxa"/>
            <w:tcBorders>
              <w:top w:val="single" w:color="000000" w:sz="4" w:space="0"/>
              <w:left w:val="single" w:color="000000" w:sz="4" w:space="0"/>
              <w:bottom w:val="single" w:color="000000" w:sz="4" w:space="0"/>
              <w:right w:val="single" w:color="000000" w:sz="4" w:space="0"/>
            </w:tcBorders>
          </w:tcPr>
          <w:p>
            <w:pPr>
              <w:pStyle w:val="24"/>
              <w:spacing w:before="175"/>
              <w:jc w:val="center"/>
              <w:rPr>
                <w:rFonts w:ascii="Times New Roman" w:eastAsia="Times New Roman"/>
                <w:sz w:val="21"/>
              </w:rPr>
            </w:pPr>
            <w:r>
              <w:rPr>
                <w:sz w:val="21"/>
              </w:rPr>
              <w:t xml:space="preserve">约 </w:t>
            </w:r>
            <w:r>
              <w:rPr>
                <w:rFonts w:hint="eastAsia"/>
                <w:sz w:val="21"/>
                <w:lang w:val="en-US"/>
              </w:rPr>
              <w:t>1100</w:t>
            </w:r>
            <w:r>
              <w:rPr>
                <w:rFonts w:ascii="Times New Roman" w:eastAsia="Times New Roman"/>
                <w:sz w:val="21"/>
              </w:rPr>
              <w:t>m</w:t>
            </w:r>
          </w:p>
        </w:tc>
        <w:tc>
          <w:tcPr>
            <w:tcW w:w="2801" w:type="dxa"/>
            <w:tcBorders>
              <w:top w:val="single" w:color="000000" w:sz="4" w:space="0"/>
              <w:left w:val="single" w:color="000000" w:sz="4" w:space="0"/>
              <w:bottom w:val="single" w:color="000000" w:sz="4" w:space="0"/>
              <w:right w:val="nil"/>
            </w:tcBorders>
          </w:tcPr>
          <w:p>
            <w:pPr>
              <w:pStyle w:val="24"/>
              <w:spacing w:before="19"/>
              <w:ind w:left="113" w:right="91"/>
              <w:jc w:val="center"/>
              <w:rPr>
                <w:sz w:val="21"/>
              </w:rPr>
            </w:pPr>
            <w:r>
              <w:rPr>
                <w:sz w:val="21"/>
              </w:rPr>
              <w:t>《地表水环境质量标准》</w:t>
            </w:r>
          </w:p>
          <w:p>
            <w:pPr>
              <w:pStyle w:val="24"/>
              <w:spacing w:before="43"/>
              <w:ind w:left="101" w:right="77"/>
              <w:jc w:val="center"/>
              <w:rPr>
                <w:sz w:val="21"/>
              </w:rPr>
            </w:pPr>
            <w:r>
              <w:rPr>
                <w:spacing w:val="2"/>
                <w:w w:val="99"/>
                <w:sz w:val="21"/>
              </w:rPr>
              <w:t>（</w:t>
            </w:r>
            <w:r>
              <w:rPr>
                <w:rFonts w:ascii="Times New Roman" w:hAnsi="Times New Roman" w:eastAsia="Times New Roman"/>
                <w:w w:val="99"/>
                <w:sz w:val="21"/>
              </w:rPr>
              <w:t>G</w:t>
            </w:r>
            <w:r>
              <w:rPr>
                <w:rFonts w:ascii="Times New Roman" w:hAnsi="Times New Roman" w:eastAsia="Times New Roman"/>
                <w:spacing w:val="-1"/>
                <w:w w:val="99"/>
                <w:sz w:val="21"/>
              </w:rPr>
              <w:t>B</w:t>
            </w:r>
            <w:r>
              <w:rPr>
                <w:rFonts w:ascii="Times New Roman" w:hAnsi="Times New Roman" w:eastAsia="Times New Roman"/>
                <w:spacing w:val="1"/>
                <w:w w:val="99"/>
                <w:sz w:val="21"/>
              </w:rPr>
              <w:t>3838</w:t>
            </w:r>
            <w:r>
              <w:rPr>
                <w:rFonts w:ascii="Times New Roman" w:hAnsi="Times New Roman" w:eastAsia="Times New Roman"/>
                <w:spacing w:val="-3"/>
                <w:w w:val="99"/>
                <w:sz w:val="21"/>
              </w:rPr>
              <w:t>-</w:t>
            </w:r>
            <w:r>
              <w:rPr>
                <w:rFonts w:ascii="Times New Roman" w:hAnsi="Times New Roman" w:eastAsia="Times New Roman"/>
                <w:spacing w:val="1"/>
                <w:w w:val="99"/>
                <w:sz w:val="21"/>
              </w:rPr>
              <w:t>200</w:t>
            </w:r>
            <w:r>
              <w:rPr>
                <w:rFonts w:ascii="Times New Roman" w:hAnsi="Times New Roman" w:eastAsia="Times New Roman"/>
                <w:spacing w:val="-2"/>
                <w:w w:val="99"/>
                <w:sz w:val="21"/>
              </w:rPr>
              <w:t>2</w:t>
            </w:r>
            <w:r>
              <w:rPr>
                <w:spacing w:val="-85"/>
                <w:w w:val="99"/>
                <w:sz w:val="21"/>
              </w:rPr>
              <w:t>）</w:t>
            </w:r>
            <w:r>
              <w:rPr>
                <w:spacing w:val="-1"/>
                <w:w w:val="99"/>
                <w:sz w:val="21"/>
              </w:rPr>
              <w:t>中</w:t>
            </w:r>
            <w:r>
              <w:rPr>
                <w:rFonts w:hint="eastAsia" w:ascii="宋体" w:hAnsi="宋体" w:eastAsia="宋体"/>
                <w:spacing w:val="2"/>
                <w:w w:val="99"/>
                <w:sz w:val="21"/>
              </w:rPr>
              <w:t>Ⅱ</w:t>
            </w:r>
            <w:r>
              <w:rPr>
                <w:w w:val="99"/>
                <w:sz w:val="21"/>
              </w:rPr>
              <w:t>类标准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979" w:type="dxa"/>
            <w:vMerge w:val="continue"/>
            <w:tcBorders>
              <w:left w:val="nil"/>
              <w:bottom w:val="single" w:color="000000" w:sz="4" w:space="0"/>
              <w:right w:val="single" w:color="000000" w:sz="4" w:space="0"/>
            </w:tcBorders>
          </w:tcPr>
          <w:p>
            <w:pPr>
              <w:pStyle w:val="24"/>
              <w:spacing w:before="175"/>
              <w:ind w:left="56" w:right="27"/>
              <w:jc w:val="center"/>
              <w:rPr>
                <w:sz w:val="21"/>
              </w:rPr>
            </w:pPr>
          </w:p>
        </w:tc>
        <w:tc>
          <w:tcPr>
            <w:tcW w:w="2103" w:type="dxa"/>
            <w:tcBorders>
              <w:top w:val="single" w:color="000000" w:sz="4" w:space="0"/>
              <w:left w:val="single" w:color="000000" w:sz="4" w:space="0"/>
              <w:bottom w:val="single" w:color="000000" w:sz="4" w:space="0"/>
              <w:right w:val="single" w:color="000000" w:sz="4" w:space="0"/>
            </w:tcBorders>
          </w:tcPr>
          <w:p>
            <w:pPr>
              <w:pStyle w:val="24"/>
              <w:spacing w:before="175"/>
              <w:ind w:right="-29"/>
              <w:jc w:val="center"/>
              <w:rPr>
                <w:sz w:val="21"/>
              </w:rPr>
            </w:pPr>
            <w:r>
              <w:rPr>
                <w:rFonts w:hint="eastAsia"/>
                <w:sz w:val="21"/>
              </w:rPr>
              <w:t>陆水水库</w:t>
            </w:r>
          </w:p>
        </w:tc>
        <w:tc>
          <w:tcPr>
            <w:tcW w:w="1647" w:type="dxa"/>
            <w:tcBorders>
              <w:top w:val="single" w:color="000000" w:sz="4" w:space="0"/>
              <w:left w:val="single" w:color="000000" w:sz="4" w:space="0"/>
              <w:bottom w:val="single" w:color="000000" w:sz="4" w:space="0"/>
              <w:right w:val="single" w:color="000000" w:sz="4" w:space="0"/>
            </w:tcBorders>
          </w:tcPr>
          <w:p>
            <w:pPr>
              <w:pStyle w:val="24"/>
              <w:spacing w:before="175"/>
              <w:ind w:right="664"/>
              <w:jc w:val="center"/>
              <w:rPr>
                <w:sz w:val="21"/>
              </w:rPr>
            </w:pPr>
            <w:r>
              <w:rPr>
                <w:rFonts w:hint="eastAsia"/>
                <w:sz w:val="21"/>
              </w:rPr>
              <w:t>大型湖库</w:t>
            </w:r>
          </w:p>
        </w:tc>
        <w:tc>
          <w:tcPr>
            <w:tcW w:w="973" w:type="dxa"/>
            <w:tcBorders>
              <w:top w:val="single" w:color="000000" w:sz="4" w:space="0"/>
              <w:left w:val="single" w:color="000000" w:sz="4" w:space="0"/>
              <w:bottom w:val="single" w:color="000000" w:sz="4" w:space="0"/>
              <w:right w:val="single" w:color="000000" w:sz="4" w:space="0"/>
            </w:tcBorders>
          </w:tcPr>
          <w:p>
            <w:pPr>
              <w:pStyle w:val="24"/>
              <w:spacing w:before="175"/>
              <w:ind w:left="26"/>
              <w:jc w:val="center"/>
              <w:rPr>
                <w:w w:val="99"/>
                <w:sz w:val="21"/>
              </w:rPr>
            </w:pPr>
            <w:r>
              <w:rPr>
                <w:rFonts w:hint="eastAsia"/>
                <w:w w:val="99"/>
                <w:sz w:val="21"/>
              </w:rPr>
              <w:t>东南</w:t>
            </w:r>
          </w:p>
        </w:tc>
        <w:tc>
          <w:tcPr>
            <w:tcW w:w="1459" w:type="dxa"/>
            <w:tcBorders>
              <w:top w:val="single" w:color="000000" w:sz="4" w:space="0"/>
              <w:left w:val="single" w:color="000000" w:sz="4" w:space="0"/>
              <w:bottom w:val="single" w:color="000000" w:sz="4" w:space="0"/>
              <w:right w:val="single" w:color="000000" w:sz="4" w:space="0"/>
            </w:tcBorders>
          </w:tcPr>
          <w:p>
            <w:pPr>
              <w:pStyle w:val="24"/>
              <w:spacing w:before="175"/>
              <w:jc w:val="center"/>
              <w:rPr>
                <w:sz w:val="21"/>
                <w:lang w:val="en-US"/>
              </w:rPr>
            </w:pPr>
            <w:r>
              <w:rPr>
                <w:sz w:val="21"/>
              </w:rPr>
              <w:t>约</w:t>
            </w:r>
            <w:r>
              <w:rPr>
                <w:rFonts w:hint="eastAsia"/>
                <w:sz w:val="21"/>
                <w:lang w:val="en-US"/>
              </w:rPr>
              <w:t>800</w:t>
            </w:r>
            <w:r>
              <w:rPr>
                <w:rFonts w:ascii="Times New Roman" w:eastAsia="Times New Roman"/>
                <w:sz w:val="21"/>
              </w:rPr>
              <w:t>m</w:t>
            </w:r>
          </w:p>
        </w:tc>
        <w:tc>
          <w:tcPr>
            <w:tcW w:w="2801" w:type="dxa"/>
            <w:tcBorders>
              <w:top w:val="single" w:color="000000" w:sz="4" w:space="0"/>
              <w:left w:val="single" w:color="000000" w:sz="4" w:space="0"/>
              <w:bottom w:val="single" w:color="000000" w:sz="4" w:space="0"/>
              <w:right w:val="nil"/>
            </w:tcBorders>
          </w:tcPr>
          <w:p>
            <w:pPr>
              <w:pStyle w:val="24"/>
              <w:spacing w:before="43"/>
              <w:ind w:left="101" w:right="77"/>
              <w:jc w:val="center"/>
              <w:rPr>
                <w:spacing w:val="2"/>
                <w:w w:val="99"/>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trPr>
        <w:tc>
          <w:tcPr>
            <w:tcW w:w="979" w:type="dxa"/>
            <w:tcBorders>
              <w:top w:val="single" w:color="000000" w:sz="4" w:space="0"/>
              <w:left w:val="nil"/>
              <w:bottom w:val="single" w:color="000000" w:sz="4" w:space="0"/>
              <w:right w:val="single" w:color="000000" w:sz="4" w:space="0"/>
            </w:tcBorders>
          </w:tcPr>
          <w:p>
            <w:pPr>
              <w:pStyle w:val="24"/>
              <w:spacing w:before="33"/>
              <w:ind w:left="56" w:right="27"/>
              <w:jc w:val="center"/>
              <w:rPr>
                <w:sz w:val="21"/>
              </w:rPr>
            </w:pPr>
            <w:r>
              <w:rPr>
                <w:sz w:val="21"/>
              </w:rPr>
              <w:t>声环境</w:t>
            </w:r>
          </w:p>
        </w:tc>
        <w:tc>
          <w:tcPr>
            <w:tcW w:w="2103" w:type="dxa"/>
            <w:tcBorders>
              <w:top w:val="single" w:color="000000" w:sz="4" w:space="0"/>
              <w:left w:val="single" w:color="000000" w:sz="4" w:space="0"/>
              <w:bottom w:val="single" w:color="000000" w:sz="4" w:space="0"/>
              <w:right w:val="single" w:color="000000" w:sz="4" w:space="0"/>
            </w:tcBorders>
          </w:tcPr>
          <w:p>
            <w:pPr>
              <w:pStyle w:val="24"/>
              <w:spacing w:before="35"/>
              <w:ind w:right="398"/>
              <w:jc w:val="center"/>
              <w:rPr>
                <w:sz w:val="21"/>
              </w:rPr>
            </w:pPr>
            <w:r>
              <w:rPr>
                <w:rFonts w:hint="eastAsia"/>
                <w:sz w:val="21"/>
              </w:rPr>
              <w:t>锁石岭社区居民点</w:t>
            </w:r>
          </w:p>
        </w:tc>
        <w:tc>
          <w:tcPr>
            <w:tcW w:w="1647" w:type="dxa"/>
            <w:tcBorders>
              <w:top w:val="single" w:color="000000" w:sz="4" w:space="0"/>
              <w:left w:val="single" w:color="000000" w:sz="4" w:space="0"/>
              <w:bottom w:val="single" w:color="000000" w:sz="4" w:space="0"/>
              <w:right w:val="single" w:color="000000" w:sz="4" w:space="0"/>
            </w:tcBorders>
          </w:tcPr>
          <w:p>
            <w:pPr>
              <w:pStyle w:val="24"/>
              <w:spacing w:before="35"/>
              <w:jc w:val="center"/>
              <w:rPr>
                <w:sz w:val="21"/>
              </w:rPr>
            </w:pPr>
            <w:r>
              <w:rPr>
                <w:rFonts w:hint="eastAsia"/>
                <w:sz w:val="21"/>
              </w:rPr>
              <w:t>约</w:t>
            </w:r>
            <w:r>
              <w:rPr>
                <w:rFonts w:hint="eastAsia"/>
                <w:sz w:val="21"/>
                <w:lang w:val="en-US"/>
              </w:rPr>
              <w:t>80户240人</w:t>
            </w:r>
          </w:p>
        </w:tc>
        <w:tc>
          <w:tcPr>
            <w:tcW w:w="973" w:type="dxa"/>
            <w:tcBorders>
              <w:top w:val="single" w:color="000000" w:sz="4" w:space="0"/>
              <w:left w:val="single" w:color="000000" w:sz="4" w:space="0"/>
              <w:bottom w:val="single" w:color="000000" w:sz="4" w:space="0"/>
              <w:right w:val="single" w:color="000000" w:sz="4" w:space="0"/>
            </w:tcBorders>
          </w:tcPr>
          <w:p>
            <w:pPr>
              <w:pStyle w:val="24"/>
              <w:spacing w:before="35"/>
              <w:ind w:left="26"/>
              <w:jc w:val="center"/>
              <w:rPr>
                <w:sz w:val="21"/>
              </w:rPr>
            </w:pPr>
            <w:r>
              <w:rPr>
                <w:rFonts w:hint="eastAsia"/>
                <w:sz w:val="21"/>
              </w:rPr>
              <w:t>东</w:t>
            </w:r>
          </w:p>
        </w:tc>
        <w:tc>
          <w:tcPr>
            <w:tcW w:w="1459" w:type="dxa"/>
            <w:tcBorders>
              <w:top w:val="single" w:color="000000" w:sz="4" w:space="0"/>
              <w:left w:val="single" w:color="000000" w:sz="4" w:space="0"/>
              <w:bottom w:val="single" w:color="000000" w:sz="4" w:space="0"/>
              <w:right w:val="single" w:color="000000" w:sz="4" w:space="0"/>
            </w:tcBorders>
          </w:tcPr>
          <w:p>
            <w:pPr>
              <w:pStyle w:val="24"/>
              <w:spacing w:before="35"/>
              <w:ind w:right="175"/>
              <w:jc w:val="center"/>
              <w:rPr>
                <w:rFonts w:ascii="Times New Roman" w:eastAsia="Times New Roman"/>
                <w:sz w:val="21"/>
              </w:rPr>
            </w:pPr>
            <w:r>
              <w:rPr>
                <w:sz w:val="21"/>
              </w:rPr>
              <w:t>约</w:t>
            </w:r>
            <w:r>
              <w:rPr>
                <w:rFonts w:hint="eastAsia"/>
                <w:sz w:val="21"/>
                <w:lang w:val="en-US"/>
              </w:rPr>
              <w:t>45</w:t>
            </w:r>
            <w:r>
              <w:rPr>
                <w:rFonts w:ascii="Times New Roman" w:eastAsia="Times New Roman"/>
                <w:sz w:val="21"/>
              </w:rPr>
              <w:t>~</w:t>
            </w:r>
            <w:r>
              <w:rPr>
                <w:rFonts w:hint="eastAsia"/>
                <w:sz w:val="21"/>
                <w:lang w:val="en-US"/>
              </w:rPr>
              <w:t>581</w:t>
            </w:r>
            <w:r>
              <w:rPr>
                <w:rFonts w:ascii="Times New Roman" w:eastAsia="Times New Roman"/>
                <w:b/>
                <w:w w:val="95"/>
                <w:sz w:val="21"/>
              </w:rPr>
              <w:t>m</w:t>
            </w:r>
          </w:p>
        </w:tc>
        <w:tc>
          <w:tcPr>
            <w:tcW w:w="2801" w:type="dxa"/>
            <w:vMerge w:val="restart"/>
            <w:tcBorders>
              <w:top w:val="single" w:color="000000" w:sz="4" w:space="0"/>
              <w:left w:val="single" w:color="000000" w:sz="4" w:space="0"/>
              <w:right w:val="nil"/>
            </w:tcBorders>
          </w:tcPr>
          <w:p>
            <w:pPr>
              <w:pStyle w:val="24"/>
              <w:spacing w:before="33"/>
              <w:ind w:left="111" w:right="91"/>
              <w:jc w:val="center"/>
              <w:rPr>
                <w:sz w:val="21"/>
                <w:lang w:val="en-US"/>
              </w:rPr>
            </w:pPr>
            <w:r>
              <w:rPr>
                <w:sz w:val="21"/>
              </w:rPr>
              <w:t>《声环境质量标准》</w:t>
            </w:r>
            <w:r>
              <w:rPr>
                <w:rFonts w:hint="eastAsia"/>
                <w:sz w:val="21"/>
              </w:rPr>
              <w:t>（</w:t>
            </w:r>
            <w:r>
              <w:rPr>
                <w:rFonts w:hint="eastAsia"/>
                <w:sz w:val="21"/>
                <w:lang w:val="en-US"/>
              </w:rPr>
              <w:t>GB3096-2008</w:t>
            </w:r>
            <w:r>
              <w:rPr>
                <w:rFonts w:hint="eastAsia"/>
                <w:sz w:val="21"/>
              </w:rPr>
              <w:t>）中的</w:t>
            </w:r>
            <w:r>
              <w:rPr>
                <w:rFonts w:hint="eastAsia"/>
                <w:sz w:val="21"/>
                <w:lang w:val="en-US"/>
              </w:rPr>
              <w:t>2类标准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trPr>
        <w:tc>
          <w:tcPr>
            <w:tcW w:w="979" w:type="dxa"/>
            <w:tcBorders>
              <w:top w:val="single" w:color="000000" w:sz="4" w:space="0"/>
              <w:left w:val="nil"/>
              <w:bottom w:val="single" w:color="000000" w:sz="4" w:space="0"/>
              <w:right w:val="single" w:color="000000" w:sz="4" w:space="0"/>
            </w:tcBorders>
          </w:tcPr>
          <w:p>
            <w:pPr>
              <w:pStyle w:val="24"/>
              <w:spacing w:before="33"/>
              <w:ind w:left="56" w:right="27"/>
              <w:jc w:val="center"/>
              <w:rPr>
                <w:sz w:val="21"/>
              </w:rPr>
            </w:pPr>
          </w:p>
        </w:tc>
        <w:tc>
          <w:tcPr>
            <w:tcW w:w="2103" w:type="dxa"/>
            <w:tcBorders>
              <w:top w:val="single" w:color="000000" w:sz="4" w:space="0"/>
              <w:left w:val="single" w:color="000000" w:sz="4" w:space="0"/>
              <w:bottom w:val="single" w:color="000000" w:sz="4" w:space="0"/>
              <w:right w:val="single" w:color="000000" w:sz="4" w:space="0"/>
            </w:tcBorders>
          </w:tcPr>
          <w:p>
            <w:pPr>
              <w:pStyle w:val="24"/>
              <w:spacing w:before="33"/>
              <w:jc w:val="center"/>
              <w:rPr>
                <w:sz w:val="21"/>
              </w:rPr>
            </w:pPr>
            <w:r>
              <w:rPr>
                <w:rFonts w:hint="eastAsia"/>
                <w:sz w:val="21"/>
              </w:rPr>
              <w:t>立新镇居民点</w:t>
            </w:r>
          </w:p>
        </w:tc>
        <w:tc>
          <w:tcPr>
            <w:tcW w:w="1647" w:type="dxa"/>
            <w:tcBorders>
              <w:top w:val="single" w:color="000000" w:sz="4" w:space="0"/>
              <w:left w:val="single" w:color="000000" w:sz="4" w:space="0"/>
              <w:bottom w:val="single" w:color="000000" w:sz="4" w:space="0"/>
              <w:right w:val="single" w:color="000000" w:sz="4" w:space="0"/>
            </w:tcBorders>
          </w:tcPr>
          <w:p>
            <w:pPr>
              <w:pStyle w:val="24"/>
              <w:spacing w:before="33"/>
              <w:jc w:val="center"/>
              <w:rPr>
                <w:sz w:val="21"/>
              </w:rPr>
            </w:pPr>
            <w:r>
              <w:rPr>
                <w:sz w:val="21"/>
              </w:rPr>
              <w:t>约</w:t>
            </w:r>
            <w:r>
              <w:rPr>
                <w:rFonts w:ascii="Times New Roman" w:eastAsia="Times New Roman"/>
                <w:sz w:val="21"/>
              </w:rPr>
              <w:t>1</w:t>
            </w:r>
            <w:r>
              <w:rPr>
                <w:rFonts w:hint="eastAsia" w:ascii="Times New Roman" w:eastAsia="宋体"/>
                <w:sz w:val="21"/>
                <w:lang w:val="en-US"/>
              </w:rPr>
              <w:t>5</w:t>
            </w:r>
            <w:r>
              <w:rPr>
                <w:sz w:val="21"/>
              </w:rPr>
              <w:t xml:space="preserve">户 </w:t>
            </w:r>
            <w:r>
              <w:rPr>
                <w:rFonts w:ascii="Times New Roman" w:eastAsia="Times New Roman"/>
                <w:sz w:val="21"/>
              </w:rPr>
              <w:t>9</w:t>
            </w:r>
            <w:r>
              <w:rPr>
                <w:rFonts w:hint="eastAsia" w:ascii="Times New Roman" w:eastAsia="宋体"/>
                <w:sz w:val="21"/>
                <w:lang w:val="en-US"/>
              </w:rPr>
              <w:t>75</w:t>
            </w:r>
            <w:r>
              <w:rPr>
                <w:sz w:val="21"/>
              </w:rPr>
              <w:t>人</w:t>
            </w:r>
          </w:p>
        </w:tc>
        <w:tc>
          <w:tcPr>
            <w:tcW w:w="973" w:type="dxa"/>
            <w:tcBorders>
              <w:top w:val="single" w:color="000000" w:sz="4" w:space="0"/>
              <w:left w:val="single" w:color="000000" w:sz="4" w:space="0"/>
              <w:bottom w:val="single" w:color="000000" w:sz="4" w:space="0"/>
              <w:right w:val="single" w:color="000000" w:sz="4" w:space="0"/>
            </w:tcBorders>
          </w:tcPr>
          <w:p>
            <w:pPr>
              <w:pStyle w:val="24"/>
              <w:spacing w:before="33"/>
              <w:ind w:left="249" w:right="226"/>
              <w:jc w:val="center"/>
              <w:rPr>
                <w:sz w:val="21"/>
              </w:rPr>
            </w:pPr>
            <w:r>
              <w:rPr>
                <w:rFonts w:hint="eastAsia"/>
                <w:sz w:val="21"/>
              </w:rPr>
              <w:t>东北</w:t>
            </w:r>
          </w:p>
        </w:tc>
        <w:tc>
          <w:tcPr>
            <w:tcW w:w="1459" w:type="dxa"/>
            <w:tcBorders>
              <w:top w:val="single" w:color="000000" w:sz="4" w:space="0"/>
              <w:left w:val="single" w:color="000000" w:sz="4" w:space="0"/>
              <w:bottom w:val="single" w:color="000000" w:sz="4" w:space="0"/>
              <w:right w:val="single" w:color="000000" w:sz="4" w:space="0"/>
            </w:tcBorders>
          </w:tcPr>
          <w:p>
            <w:pPr>
              <w:pStyle w:val="24"/>
              <w:spacing w:before="33"/>
              <w:ind w:right="125"/>
              <w:jc w:val="center"/>
              <w:rPr>
                <w:sz w:val="21"/>
              </w:rPr>
            </w:pPr>
            <w:r>
              <w:rPr>
                <w:sz w:val="21"/>
              </w:rPr>
              <w:t xml:space="preserve">约 </w:t>
            </w:r>
            <w:r>
              <w:rPr>
                <w:rFonts w:hint="eastAsia"/>
                <w:sz w:val="21"/>
                <w:lang w:val="en-US"/>
              </w:rPr>
              <w:t>105</w:t>
            </w:r>
            <w:r>
              <w:rPr>
                <w:rFonts w:ascii="Times New Roman" w:eastAsia="Times New Roman"/>
                <w:sz w:val="21"/>
              </w:rPr>
              <w:t>~</w:t>
            </w:r>
            <w:r>
              <w:rPr>
                <w:rFonts w:hint="eastAsia" w:ascii="Times New Roman" w:eastAsia="宋体"/>
                <w:sz w:val="21"/>
                <w:lang w:val="en-US"/>
              </w:rPr>
              <w:t>253</w:t>
            </w:r>
            <w:r>
              <w:rPr>
                <w:rFonts w:ascii="Times New Roman" w:eastAsia="Times New Roman"/>
                <w:sz w:val="21"/>
              </w:rPr>
              <w:t>m</w:t>
            </w:r>
          </w:p>
        </w:tc>
        <w:tc>
          <w:tcPr>
            <w:tcW w:w="2801" w:type="dxa"/>
            <w:vMerge w:val="continue"/>
            <w:tcBorders>
              <w:left w:val="single" w:color="000000" w:sz="4" w:space="0"/>
              <w:right w:val="nil"/>
            </w:tcBorders>
          </w:tcPr>
          <w:p>
            <w:pPr>
              <w:pStyle w:val="24"/>
              <w:spacing w:before="33"/>
              <w:ind w:left="111" w:right="91"/>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trPr>
        <w:tc>
          <w:tcPr>
            <w:tcW w:w="979" w:type="dxa"/>
            <w:tcBorders>
              <w:top w:val="single" w:color="000000" w:sz="4" w:space="0"/>
              <w:left w:val="nil"/>
              <w:right w:val="single" w:color="000000" w:sz="4" w:space="0"/>
            </w:tcBorders>
          </w:tcPr>
          <w:p>
            <w:pPr>
              <w:pStyle w:val="24"/>
              <w:spacing w:before="33"/>
              <w:ind w:left="56" w:right="27"/>
              <w:jc w:val="center"/>
              <w:rPr>
                <w:sz w:val="21"/>
              </w:rPr>
            </w:pPr>
          </w:p>
        </w:tc>
        <w:tc>
          <w:tcPr>
            <w:tcW w:w="2103" w:type="dxa"/>
            <w:tcBorders>
              <w:top w:val="single" w:color="000000" w:sz="4" w:space="0"/>
              <w:left w:val="single" w:color="000000" w:sz="4" w:space="0"/>
              <w:right w:val="single" w:color="000000" w:sz="4" w:space="0"/>
            </w:tcBorders>
          </w:tcPr>
          <w:p>
            <w:pPr>
              <w:pStyle w:val="24"/>
              <w:spacing w:before="33"/>
              <w:jc w:val="center"/>
              <w:rPr>
                <w:sz w:val="21"/>
              </w:rPr>
            </w:pPr>
            <w:r>
              <w:rPr>
                <w:rFonts w:hint="eastAsia"/>
                <w:sz w:val="21"/>
              </w:rPr>
              <w:t>蒲圻高级中学</w:t>
            </w:r>
          </w:p>
        </w:tc>
        <w:tc>
          <w:tcPr>
            <w:tcW w:w="1647" w:type="dxa"/>
            <w:tcBorders>
              <w:top w:val="single" w:color="000000" w:sz="4" w:space="0"/>
              <w:left w:val="single" w:color="000000" w:sz="4" w:space="0"/>
              <w:right w:val="single" w:color="000000" w:sz="4" w:space="0"/>
            </w:tcBorders>
          </w:tcPr>
          <w:p>
            <w:pPr>
              <w:pStyle w:val="24"/>
              <w:spacing w:before="33"/>
              <w:jc w:val="center"/>
              <w:rPr>
                <w:sz w:val="21"/>
              </w:rPr>
            </w:pPr>
            <w:r>
              <w:rPr>
                <w:sz w:val="21"/>
              </w:rPr>
              <w:t xml:space="preserve">师生共约 </w:t>
            </w:r>
            <w:r>
              <w:rPr>
                <w:rFonts w:hint="eastAsia" w:ascii="Times New Roman" w:eastAsia="宋体"/>
                <w:sz w:val="21"/>
                <w:lang w:val="en-US"/>
              </w:rPr>
              <w:t>800</w:t>
            </w:r>
            <w:r>
              <w:rPr>
                <w:sz w:val="21"/>
              </w:rPr>
              <w:t>人</w:t>
            </w:r>
          </w:p>
        </w:tc>
        <w:tc>
          <w:tcPr>
            <w:tcW w:w="973" w:type="dxa"/>
            <w:tcBorders>
              <w:top w:val="single" w:color="000000" w:sz="4" w:space="0"/>
              <w:left w:val="single" w:color="000000" w:sz="4" w:space="0"/>
              <w:right w:val="single" w:color="000000" w:sz="4" w:space="0"/>
            </w:tcBorders>
          </w:tcPr>
          <w:p>
            <w:pPr>
              <w:pStyle w:val="24"/>
              <w:spacing w:before="33"/>
              <w:ind w:left="249" w:right="226"/>
              <w:jc w:val="center"/>
              <w:rPr>
                <w:sz w:val="21"/>
              </w:rPr>
            </w:pPr>
            <w:r>
              <w:rPr>
                <w:rFonts w:hint="eastAsia"/>
                <w:sz w:val="21"/>
              </w:rPr>
              <w:t>南</w:t>
            </w:r>
          </w:p>
        </w:tc>
        <w:tc>
          <w:tcPr>
            <w:tcW w:w="1459" w:type="dxa"/>
            <w:tcBorders>
              <w:top w:val="single" w:color="000000" w:sz="4" w:space="0"/>
              <w:left w:val="single" w:color="000000" w:sz="4" w:space="0"/>
              <w:right w:val="single" w:color="000000" w:sz="4" w:space="0"/>
            </w:tcBorders>
          </w:tcPr>
          <w:p>
            <w:pPr>
              <w:pStyle w:val="24"/>
              <w:spacing w:before="33"/>
              <w:jc w:val="center"/>
              <w:rPr>
                <w:sz w:val="21"/>
              </w:rPr>
            </w:pPr>
            <w:r>
              <w:rPr>
                <w:sz w:val="21"/>
              </w:rPr>
              <w:t>约</w:t>
            </w:r>
            <w:r>
              <w:rPr>
                <w:rFonts w:hint="eastAsia"/>
                <w:sz w:val="21"/>
                <w:lang w:val="en-US"/>
              </w:rPr>
              <w:t>475</w:t>
            </w:r>
            <w:r>
              <w:rPr>
                <w:rFonts w:ascii="Times New Roman" w:eastAsia="Times New Roman"/>
                <w:sz w:val="21"/>
              </w:rPr>
              <w:t>~</w:t>
            </w:r>
            <w:r>
              <w:rPr>
                <w:rFonts w:hint="eastAsia" w:ascii="Times New Roman" w:eastAsia="宋体"/>
                <w:sz w:val="21"/>
                <w:lang w:val="en-US"/>
              </w:rPr>
              <w:t>758</w:t>
            </w:r>
            <w:r>
              <w:rPr>
                <w:rFonts w:ascii="Times New Roman" w:eastAsia="Times New Roman"/>
                <w:sz w:val="21"/>
              </w:rPr>
              <w:t>m</w:t>
            </w:r>
          </w:p>
        </w:tc>
        <w:tc>
          <w:tcPr>
            <w:tcW w:w="2801" w:type="dxa"/>
            <w:vMerge w:val="continue"/>
            <w:tcBorders>
              <w:left w:val="single" w:color="000000" w:sz="4" w:space="0"/>
              <w:right w:val="nil"/>
            </w:tcBorders>
          </w:tcPr>
          <w:p>
            <w:pPr>
              <w:pStyle w:val="24"/>
              <w:spacing w:before="33"/>
              <w:ind w:left="111" w:right="91"/>
              <w:jc w:val="center"/>
              <w:rPr>
                <w:sz w:val="21"/>
              </w:rPr>
            </w:pPr>
          </w:p>
        </w:tc>
      </w:tr>
    </w:tbl>
    <w:p>
      <w:pPr>
        <w:pStyle w:val="10"/>
        <w:spacing w:before="3"/>
        <w:rPr>
          <w:b/>
          <w:sz w:val="7"/>
        </w:rPr>
      </w:pPr>
    </w:p>
    <w:p>
      <w:pPr>
        <w:pStyle w:val="6"/>
        <w:numPr>
          <w:ilvl w:val="1"/>
          <w:numId w:val="6"/>
        </w:numPr>
        <w:tabs>
          <w:tab w:val="left" w:pos="766"/>
        </w:tabs>
        <w:spacing w:before="68"/>
      </w:pPr>
      <w:bookmarkStart w:id="71" w:name="_bookmark35"/>
      <w:bookmarkEnd w:id="71"/>
      <w:bookmarkStart w:id="72" w:name="2.7_风险识别"/>
      <w:bookmarkEnd w:id="72"/>
      <w:r>
        <w:t>风险识别</w:t>
      </w:r>
    </w:p>
    <w:p>
      <w:pPr>
        <w:pStyle w:val="10"/>
        <w:spacing w:before="6"/>
        <w:rPr>
          <w:b/>
          <w:sz w:val="27"/>
        </w:rPr>
      </w:pPr>
    </w:p>
    <w:p>
      <w:pPr>
        <w:pStyle w:val="10"/>
        <w:spacing w:line="364" w:lineRule="auto"/>
        <w:ind w:left="240" w:right="240" w:firstLine="480"/>
      </w:pPr>
      <w:r>
        <w:t>结合项目风险评估报告第</w:t>
      </w:r>
      <w:r>
        <w:rPr>
          <w:rFonts w:ascii="Times New Roman" w:eastAsia="Times New Roman"/>
        </w:rPr>
        <w:t>7</w:t>
      </w:r>
      <w:r>
        <w:t>章节总结结果，本企业同时涉及突发大气和水环境事件风险的企业，风险等级表示为一般</w:t>
      </w:r>
      <w:r>
        <w:rPr>
          <w:rFonts w:ascii="Times New Roman" w:eastAsia="Times New Roman"/>
        </w:rPr>
        <w:t>[</w:t>
      </w:r>
      <w:r>
        <w:t>一般</w:t>
      </w:r>
      <w:r>
        <w:rPr>
          <w:rFonts w:ascii="Times New Roman" w:eastAsia="Times New Roman"/>
        </w:rPr>
        <w:t>-</w:t>
      </w:r>
      <w:r>
        <w:t>大气（</w:t>
      </w:r>
      <w:r>
        <w:rPr>
          <w:rFonts w:ascii="Times New Roman" w:eastAsia="Times New Roman"/>
        </w:rPr>
        <w:t>Q0-M1-E2</w:t>
      </w:r>
      <w:r>
        <w:t>）</w:t>
      </w:r>
      <w:r>
        <w:rPr>
          <w:rFonts w:ascii="Times New Roman" w:eastAsia="Times New Roman"/>
        </w:rPr>
        <w:t xml:space="preserve">+ </w:t>
      </w:r>
      <w:r>
        <w:t>一般</w:t>
      </w:r>
      <w:r>
        <w:rPr>
          <w:rFonts w:ascii="Times New Roman" w:eastAsia="Times New Roman"/>
        </w:rPr>
        <w:t>-</w:t>
      </w:r>
      <w:r>
        <w:t>水（</w:t>
      </w:r>
      <w:r>
        <w:rPr>
          <w:rFonts w:ascii="Times New Roman" w:eastAsia="Times New Roman"/>
        </w:rPr>
        <w:t>Q0-M2-E3</w:t>
      </w:r>
      <w:r>
        <w:t>）</w:t>
      </w:r>
      <w:r>
        <w:rPr>
          <w:rFonts w:ascii="Times New Roman" w:eastAsia="Times New Roman"/>
        </w:rPr>
        <w:t>]</w:t>
      </w:r>
      <w:r>
        <w:t>。</w:t>
      </w:r>
    </w:p>
    <w:p>
      <w:pPr>
        <w:pStyle w:val="6"/>
        <w:numPr>
          <w:ilvl w:val="1"/>
          <w:numId w:val="6"/>
        </w:numPr>
        <w:tabs>
          <w:tab w:val="left" w:pos="766"/>
        </w:tabs>
        <w:spacing w:before="158"/>
      </w:pPr>
      <w:bookmarkStart w:id="73" w:name="2.8_可能发生的突发环境事件及其后果分析"/>
      <w:bookmarkEnd w:id="73"/>
      <w:bookmarkStart w:id="74" w:name="_bookmark36"/>
      <w:bookmarkEnd w:id="74"/>
      <w:r>
        <w:t>可能发生的突发环境事件及其后果分析</w:t>
      </w:r>
    </w:p>
    <w:p>
      <w:pPr>
        <w:pStyle w:val="10"/>
        <w:spacing w:before="8"/>
        <w:rPr>
          <w:b/>
          <w:sz w:val="27"/>
        </w:rPr>
      </w:pPr>
    </w:p>
    <w:p>
      <w:pPr>
        <w:pStyle w:val="10"/>
        <w:spacing w:line="362" w:lineRule="auto"/>
        <w:ind w:left="240" w:right="145" w:firstLine="480"/>
      </w:pPr>
      <w:r>
        <w:t>结合《</w:t>
      </w:r>
      <w:r>
        <w:rPr>
          <w:rFonts w:hint="eastAsia"/>
        </w:rPr>
        <w:t>赤壁市泰博服饰股份有限公</w:t>
      </w:r>
      <w:r>
        <w:t>突发环境事件风险评估报告》中事故等级的界定情形， 项目生产过程中风险因素归纳为：</w:t>
      </w:r>
    </w:p>
    <w:p>
      <w:pPr>
        <w:pStyle w:val="9"/>
        <w:spacing w:before="5"/>
        <w:ind w:left="2613"/>
        <w:jc w:val="left"/>
      </w:pPr>
      <w:r>
        <w:t xml:space="preserve">表 </w:t>
      </w:r>
      <w:r>
        <w:rPr>
          <w:rFonts w:ascii="Times New Roman" w:eastAsia="Times New Roman"/>
        </w:rPr>
        <w:t xml:space="preserve">2.8-1  </w:t>
      </w:r>
      <w:r>
        <w:t>可能发生的突发环境事件及其后果分析</w:t>
      </w:r>
    </w:p>
    <w:p>
      <w:pPr>
        <w:pStyle w:val="10"/>
        <w:spacing w:before="4" w:after="1"/>
        <w:rPr>
          <w:b/>
          <w:sz w:val="12"/>
        </w:rPr>
      </w:pPr>
    </w:p>
    <w:tbl>
      <w:tblPr>
        <w:tblStyle w:val="15"/>
        <w:tblW w:w="0" w:type="auto"/>
        <w:tblInd w:w="12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77"/>
        <w:gridCol w:w="1119"/>
        <w:gridCol w:w="3859"/>
        <w:gridCol w:w="1118"/>
        <w:gridCol w:w="318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77" w:type="dxa"/>
            <w:tcBorders>
              <w:left w:val="nil"/>
              <w:bottom w:val="single" w:color="000000" w:sz="4" w:space="0"/>
              <w:right w:val="single" w:color="000000" w:sz="4" w:space="0"/>
            </w:tcBorders>
          </w:tcPr>
          <w:p>
            <w:pPr>
              <w:pStyle w:val="24"/>
              <w:spacing w:before="34"/>
              <w:ind w:left="120" w:right="89"/>
              <w:jc w:val="center"/>
              <w:rPr>
                <w:b/>
                <w:sz w:val="21"/>
              </w:rPr>
            </w:pPr>
            <w:r>
              <w:rPr>
                <w:b/>
                <w:sz w:val="21"/>
              </w:rPr>
              <w:t>序号</w:t>
            </w:r>
          </w:p>
        </w:tc>
        <w:tc>
          <w:tcPr>
            <w:tcW w:w="1119" w:type="dxa"/>
            <w:tcBorders>
              <w:left w:val="single" w:color="000000" w:sz="4" w:space="0"/>
              <w:bottom w:val="single" w:color="000000" w:sz="4" w:space="0"/>
              <w:right w:val="single" w:color="000000" w:sz="4" w:space="0"/>
            </w:tcBorders>
          </w:tcPr>
          <w:p>
            <w:pPr>
              <w:pStyle w:val="24"/>
              <w:spacing w:before="34"/>
              <w:ind w:left="148"/>
              <w:rPr>
                <w:b/>
                <w:sz w:val="21"/>
              </w:rPr>
            </w:pPr>
            <w:r>
              <w:rPr>
                <w:b/>
                <w:sz w:val="21"/>
              </w:rPr>
              <w:t>突发事件</w:t>
            </w:r>
          </w:p>
        </w:tc>
        <w:tc>
          <w:tcPr>
            <w:tcW w:w="3859" w:type="dxa"/>
            <w:tcBorders>
              <w:left w:val="single" w:color="000000" w:sz="4" w:space="0"/>
              <w:bottom w:val="single" w:color="000000" w:sz="4" w:space="0"/>
              <w:right w:val="single" w:color="000000" w:sz="4" w:space="0"/>
            </w:tcBorders>
          </w:tcPr>
          <w:p>
            <w:pPr>
              <w:pStyle w:val="24"/>
              <w:spacing w:before="34"/>
              <w:ind w:left="1497" w:right="1468"/>
              <w:jc w:val="center"/>
              <w:rPr>
                <w:b/>
                <w:sz w:val="21"/>
              </w:rPr>
            </w:pPr>
            <w:r>
              <w:rPr>
                <w:b/>
                <w:sz w:val="21"/>
              </w:rPr>
              <w:t>形成原因</w:t>
            </w:r>
          </w:p>
        </w:tc>
        <w:tc>
          <w:tcPr>
            <w:tcW w:w="1118" w:type="dxa"/>
            <w:tcBorders>
              <w:left w:val="single" w:color="000000" w:sz="4" w:space="0"/>
              <w:bottom w:val="single" w:color="000000" w:sz="4" w:space="0"/>
              <w:right w:val="single" w:color="000000" w:sz="4" w:space="0"/>
            </w:tcBorders>
          </w:tcPr>
          <w:p>
            <w:pPr>
              <w:pStyle w:val="24"/>
              <w:spacing w:before="34"/>
              <w:ind w:left="126" w:right="96"/>
              <w:jc w:val="center"/>
              <w:rPr>
                <w:b/>
                <w:sz w:val="21"/>
              </w:rPr>
            </w:pPr>
            <w:r>
              <w:rPr>
                <w:b/>
                <w:sz w:val="21"/>
              </w:rPr>
              <w:t>事故类型</w:t>
            </w:r>
          </w:p>
        </w:tc>
        <w:tc>
          <w:tcPr>
            <w:tcW w:w="3189" w:type="dxa"/>
            <w:tcBorders>
              <w:left w:val="single" w:color="000000" w:sz="4" w:space="0"/>
              <w:bottom w:val="single" w:color="000000" w:sz="4" w:space="0"/>
              <w:right w:val="nil"/>
            </w:tcBorders>
          </w:tcPr>
          <w:p>
            <w:pPr>
              <w:pStyle w:val="24"/>
              <w:spacing w:before="34"/>
              <w:ind w:left="103" w:right="99"/>
              <w:jc w:val="center"/>
              <w:rPr>
                <w:b/>
                <w:sz w:val="21"/>
              </w:rPr>
            </w:pPr>
            <w:r>
              <w:rPr>
                <w:b/>
                <w:sz w:val="21"/>
              </w:rPr>
              <w:t>后果分析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60" w:hRule="atLeast"/>
        </w:trPr>
        <w:tc>
          <w:tcPr>
            <w:tcW w:w="677" w:type="dxa"/>
            <w:tcBorders>
              <w:top w:val="single" w:color="000000" w:sz="4" w:space="0"/>
              <w:left w:val="nil"/>
              <w:bottom w:val="single" w:color="000000" w:sz="4" w:space="0"/>
              <w:right w:val="single" w:color="000000" w:sz="4" w:space="0"/>
            </w:tcBorders>
          </w:tcPr>
          <w:p>
            <w:pPr>
              <w:pStyle w:val="24"/>
              <w:rPr>
                <w:b/>
              </w:rPr>
            </w:pPr>
          </w:p>
          <w:p>
            <w:pPr>
              <w:pStyle w:val="24"/>
              <w:spacing w:before="6"/>
              <w:rPr>
                <w:b/>
                <w:sz w:val="21"/>
              </w:rPr>
            </w:pPr>
          </w:p>
          <w:p>
            <w:pPr>
              <w:pStyle w:val="24"/>
              <w:ind w:left="32"/>
              <w:jc w:val="center"/>
              <w:rPr>
                <w:rFonts w:ascii="Times New Roman"/>
                <w:sz w:val="21"/>
              </w:rPr>
            </w:pPr>
            <w:r>
              <w:rPr>
                <w:rFonts w:ascii="Times New Roman"/>
                <w:w w:val="99"/>
                <w:sz w:val="21"/>
              </w:rPr>
              <w:t>1</w:t>
            </w:r>
          </w:p>
        </w:tc>
        <w:tc>
          <w:tcPr>
            <w:tcW w:w="1119" w:type="dxa"/>
            <w:tcBorders>
              <w:top w:val="single" w:color="000000" w:sz="4" w:space="0"/>
              <w:left w:val="single" w:color="000000" w:sz="4" w:space="0"/>
              <w:bottom w:val="single" w:color="000000" w:sz="4" w:space="0"/>
              <w:right w:val="single" w:color="000000" w:sz="4" w:space="0"/>
            </w:tcBorders>
          </w:tcPr>
          <w:p>
            <w:pPr>
              <w:pStyle w:val="24"/>
              <w:rPr>
                <w:b/>
                <w:sz w:val="20"/>
              </w:rPr>
            </w:pPr>
          </w:p>
          <w:p>
            <w:pPr>
              <w:pStyle w:val="24"/>
              <w:spacing w:before="5"/>
              <w:rPr>
                <w:b/>
              </w:rPr>
            </w:pPr>
          </w:p>
          <w:p>
            <w:pPr>
              <w:pStyle w:val="24"/>
              <w:ind w:left="148"/>
              <w:rPr>
                <w:sz w:val="21"/>
              </w:rPr>
            </w:pPr>
            <w:r>
              <w:rPr>
                <w:sz w:val="21"/>
              </w:rPr>
              <w:t>火灾爆炸</w:t>
            </w:r>
          </w:p>
        </w:tc>
        <w:tc>
          <w:tcPr>
            <w:tcW w:w="3859" w:type="dxa"/>
            <w:tcBorders>
              <w:top w:val="single" w:color="000000" w:sz="4" w:space="0"/>
              <w:left w:val="single" w:color="000000" w:sz="4" w:space="0"/>
              <w:bottom w:val="single" w:color="000000" w:sz="4" w:space="0"/>
              <w:right w:val="single" w:color="000000" w:sz="4" w:space="0"/>
            </w:tcBorders>
          </w:tcPr>
          <w:p>
            <w:pPr>
              <w:pStyle w:val="24"/>
              <w:spacing w:line="242" w:lineRule="auto"/>
              <w:ind w:right="-15"/>
              <w:rPr>
                <w:sz w:val="21"/>
              </w:rPr>
            </w:pPr>
            <w:r>
              <w:rPr>
                <w:sz w:val="21"/>
              </w:rPr>
              <w:t>操作失误、违章作业，电气线路、</w:t>
            </w:r>
            <w:r>
              <w:rPr>
                <w:spacing w:val="-5"/>
                <w:sz w:val="21"/>
              </w:rPr>
              <w:t>电气设备运行时短路、过载、接触不良、</w:t>
            </w:r>
            <w:r>
              <w:rPr>
                <w:sz w:val="21"/>
              </w:rPr>
              <w:t>散热不良、漏电、断线碰壳、绝缘老化损坏，</w:t>
            </w:r>
            <w:r>
              <w:rPr>
                <w:rFonts w:hint="eastAsia"/>
                <w:sz w:val="21"/>
              </w:rPr>
              <w:t>油墨、乙烯</w:t>
            </w:r>
            <w:r>
              <w:rPr>
                <w:rFonts w:hint="eastAsia"/>
                <w:sz w:val="21"/>
                <w:lang w:val="en-US"/>
              </w:rPr>
              <w:t>-醋酸乙烯共聚物（EVA）</w:t>
            </w:r>
            <w:r>
              <w:rPr>
                <w:sz w:val="21"/>
              </w:rPr>
              <w:t>等可燃</w:t>
            </w:r>
            <w:r>
              <w:rPr>
                <w:rFonts w:hint="eastAsia"/>
                <w:sz w:val="21"/>
              </w:rPr>
              <w:t>液态</w:t>
            </w:r>
            <w:r>
              <w:rPr>
                <w:sz w:val="21"/>
              </w:rPr>
              <w:t>泄漏以及原材料、等原材料管理不善等</w:t>
            </w:r>
          </w:p>
        </w:tc>
        <w:tc>
          <w:tcPr>
            <w:tcW w:w="1118" w:type="dxa"/>
            <w:tcBorders>
              <w:top w:val="single" w:color="000000" w:sz="4" w:space="0"/>
              <w:left w:val="single" w:color="000000" w:sz="4" w:space="0"/>
              <w:bottom w:val="single" w:color="000000" w:sz="4" w:space="0"/>
              <w:right w:val="single" w:color="000000" w:sz="4" w:space="0"/>
            </w:tcBorders>
          </w:tcPr>
          <w:p>
            <w:pPr>
              <w:pStyle w:val="24"/>
              <w:rPr>
                <w:b/>
                <w:sz w:val="20"/>
              </w:rPr>
            </w:pPr>
          </w:p>
          <w:p>
            <w:pPr>
              <w:pStyle w:val="24"/>
              <w:spacing w:before="152" w:line="242" w:lineRule="auto"/>
              <w:ind w:left="147" w:right="120"/>
              <w:rPr>
                <w:sz w:val="21"/>
              </w:rPr>
            </w:pPr>
            <w:r>
              <w:rPr>
                <w:sz w:val="21"/>
              </w:rPr>
              <w:t>安全事故环境事故</w:t>
            </w:r>
          </w:p>
        </w:tc>
        <w:tc>
          <w:tcPr>
            <w:tcW w:w="3189" w:type="dxa"/>
            <w:tcBorders>
              <w:top w:val="single" w:color="000000" w:sz="4" w:space="0"/>
              <w:left w:val="single" w:color="000000" w:sz="4" w:space="0"/>
              <w:bottom w:val="single" w:color="000000" w:sz="4" w:space="0"/>
              <w:right w:val="nil"/>
            </w:tcBorders>
          </w:tcPr>
          <w:p>
            <w:pPr>
              <w:pStyle w:val="24"/>
              <w:rPr>
                <w:b/>
                <w:sz w:val="20"/>
              </w:rPr>
            </w:pPr>
          </w:p>
          <w:p>
            <w:pPr>
              <w:pStyle w:val="24"/>
              <w:spacing w:before="5"/>
              <w:rPr>
                <w:b/>
              </w:rPr>
            </w:pPr>
          </w:p>
          <w:p>
            <w:pPr>
              <w:pStyle w:val="24"/>
              <w:ind w:left="103" w:right="101"/>
              <w:jc w:val="center"/>
              <w:rPr>
                <w:sz w:val="21"/>
              </w:rPr>
            </w:pPr>
            <w:r>
              <w:rPr>
                <w:sz w:val="21"/>
              </w:rPr>
              <w:t>人员中毒或伤亡，污染周边环境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677" w:type="dxa"/>
            <w:tcBorders>
              <w:top w:val="single" w:color="000000" w:sz="4" w:space="0"/>
              <w:left w:val="nil"/>
              <w:bottom w:val="single" w:color="000000" w:sz="4" w:space="0"/>
              <w:right w:val="single" w:color="000000" w:sz="4" w:space="0"/>
            </w:tcBorders>
          </w:tcPr>
          <w:p>
            <w:pPr>
              <w:pStyle w:val="24"/>
              <w:spacing w:before="151"/>
              <w:ind w:left="32"/>
              <w:jc w:val="center"/>
              <w:rPr>
                <w:rFonts w:ascii="Times New Roman"/>
                <w:sz w:val="21"/>
              </w:rPr>
            </w:pPr>
            <w:r>
              <w:rPr>
                <w:rFonts w:ascii="Times New Roman"/>
                <w:w w:val="99"/>
                <w:sz w:val="21"/>
              </w:rPr>
              <w:t>2</w:t>
            </w:r>
          </w:p>
        </w:tc>
        <w:tc>
          <w:tcPr>
            <w:tcW w:w="1119" w:type="dxa"/>
            <w:tcBorders>
              <w:top w:val="single" w:color="000000" w:sz="4" w:space="0"/>
              <w:left w:val="single" w:color="000000" w:sz="4" w:space="0"/>
              <w:bottom w:val="single" w:color="000000" w:sz="4" w:space="0"/>
              <w:right w:val="single" w:color="000000" w:sz="4" w:space="0"/>
            </w:tcBorders>
          </w:tcPr>
          <w:p>
            <w:pPr>
              <w:pStyle w:val="24"/>
              <w:ind w:left="127" w:right="102"/>
              <w:jc w:val="center"/>
              <w:rPr>
                <w:sz w:val="21"/>
              </w:rPr>
            </w:pPr>
            <w:r>
              <w:rPr>
                <w:sz w:val="21"/>
              </w:rPr>
              <w:t>有毒</w:t>
            </w:r>
            <w:r>
              <w:rPr>
                <w:rFonts w:hint="eastAsia"/>
                <w:sz w:val="21"/>
              </w:rPr>
              <w:t>液态</w:t>
            </w:r>
          </w:p>
          <w:p>
            <w:pPr>
              <w:pStyle w:val="24"/>
              <w:spacing w:before="4" w:line="251" w:lineRule="exact"/>
              <w:ind w:left="125" w:right="102"/>
              <w:jc w:val="center"/>
              <w:rPr>
                <w:sz w:val="21"/>
              </w:rPr>
            </w:pPr>
            <w:r>
              <w:rPr>
                <w:sz w:val="21"/>
              </w:rPr>
              <w:t>泄漏</w:t>
            </w:r>
          </w:p>
        </w:tc>
        <w:tc>
          <w:tcPr>
            <w:tcW w:w="3859" w:type="dxa"/>
            <w:tcBorders>
              <w:top w:val="single" w:color="000000" w:sz="4" w:space="0"/>
              <w:left w:val="single" w:color="000000" w:sz="4" w:space="0"/>
              <w:bottom w:val="single" w:color="000000" w:sz="4" w:space="0"/>
              <w:right w:val="single" w:color="000000" w:sz="4" w:space="0"/>
            </w:tcBorders>
          </w:tcPr>
          <w:p>
            <w:pPr>
              <w:pStyle w:val="24"/>
              <w:rPr>
                <w:sz w:val="21"/>
              </w:rPr>
            </w:pPr>
            <w:r>
              <w:rPr>
                <w:rFonts w:hint="eastAsia"/>
                <w:sz w:val="21"/>
              </w:rPr>
              <w:t>油墨、乙烯</w:t>
            </w:r>
            <w:r>
              <w:rPr>
                <w:rFonts w:hint="eastAsia"/>
                <w:sz w:val="21"/>
                <w:lang w:val="en-US"/>
              </w:rPr>
              <w:t>-醋酸乙烯共聚物（EVA）</w:t>
            </w:r>
            <w:r>
              <w:rPr>
                <w:sz w:val="21"/>
              </w:rPr>
              <w:t>等有毒</w:t>
            </w:r>
            <w:r>
              <w:rPr>
                <w:rFonts w:hint="eastAsia"/>
                <w:sz w:val="21"/>
              </w:rPr>
              <w:t>液态</w:t>
            </w:r>
            <w:r>
              <w:rPr>
                <w:sz w:val="21"/>
              </w:rPr>
              <w:t>输送管道破损，</w:t>
            </w:r>
            <w:r>
              <w:rPr>
                <w:rFonts w:hint="eastAsia"/>
                <w:sz w:val="21"/>
              </w:rPr>
              <w:t>液态</w:t>
            </w:r>
            <w:r>
              <w:rPr>
                <w:sz w:val="21"/>
              </w:rPr>
              <w:t>泄漏</w:t>
            </w:r>
          </w:p>
        </w:tc>
        <w:tc>
          <w:tcPr>
            <w:tcW w:w="1118" w:type="dxa"/>
            <w:tcBorders>
              <w:top w:val="single" w:color="000000" w:sz="4" w:space="0"/>
              <w:left w:val="single" w:color="000000" w:sz="4" w:space="0"/>
              <w:bottom w:val="single" w:color="000000" w:sz="4" w:space="0"/>
              <w:right w:val="single" w:color="000000" w:sz="4" w:space="0"/>
            </w:tcBorders>
          </w:tcPr>
          <w:p>
            <w:pPr>
              <w:pStyle w:val="24"/>
              <w:ind w:left="147"/>
              <w:rPr>
                <w:sz w:val="21"/>
              </w:rPr>
            </w:pPr>
            <w:r>
              <w:rPr>
                <w:w w:val="95"/>
                <w:sz w:val="21"/>
              </w:rPr>
              <w:t>安全事故</w:t>
            </w:r>
          </w:p>
          <w:p>
            <w:pPr>
              <w:pStyle w:val="24"/>
              <w:spacing w:before="4" w:line="251" w:lineRule="exact"/>
              <w:ind w:left="147"/>
              <w:rPr>
                <w:sz w:val="21"/>
              </w:rPr>
            </w:pPr>
            <w:r>
              <w:rPr>
                <w:w w:val="95"/>
                <w:sz w:val="21"/>
              </w:rPr>
              <w:t>环境事故</w:t>
            </w:r>
          </w:p>
        </w:tc>
        <w:tc>
          <w:tcPr>
            <w:tcW w:w="3189" w:type="dxa"/>
            <w:tcBorders>
              <w:top w:val="single" w:color="000000" w:sz="4" w:space="0"/>
              <w:left w:val="single" w:color="000000" w:sz="4" w:space="0"/>
              <w:bottom w:val="single" w:color="000000" w:sz="4" w:space="0"/>
              <w:right w:val="nil"/>
            </w:tcBorders>
          </w:tcPr>
          <w:p>
            <w:pPr>
              <w:pStyle w:val="24"/>
              <w:spacing w:before="137"/>
              <w:ind w:left="103" w:right="101"/>
              <w:jc w:val="center"/>
              <w:rPr>
                <w:sz w:val="21"/>
              </w:rPr>
            </w:pPr>
            <w:r>
              <w:rPr>
                <w:sz w:val="21"/>
              </w:rPr>
              <w:t>人员中毒或伤亡，污染周边环境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677" w:type="dxa"/>
            <w:tcBorders>
              <w:top w:val="single" w:color="000000" w:sz="4" w:space="0"/>
              <w:left w:val="nil"/>
              <w:bottom w:val="single" w:color="000000" w:sz="4" w:space="0"/>
              <w:right w:val="single" w:color="000000" w:sz="4" w:space="0"/>
            </w:tcBorders>
          </w:tcPr>
          <w:p>
            <w:pPr>
              <w:pStyle w:val="24"/>
              <w:spacing w:before="150"/>
              <w:ind w:left="32"/>
              <w:jc w:val="center"/>
              <w:rPr>
                <w:rFonts w:ascii="Times New Roman"/>
                <w:sz w:val="21"/>
              </w:rPr>
            </w:pPr>
            <w:r>
              <w:rPr>
                <w:rFonts w:ascii="Times New Roman"/>
                <w:w w:val="99"/>
                <w:sz w:val="21"/>
              </w:rPr>
              <w:t>3</w:t>
            </w:r>
          </w:p>
        </w:tc>
        <w:tc>
          <w:tcPr>
            <w:tcW w:w="1119" w:type="dxa"/>
            <w:tcBorders>
              <w:top w:val="single" w:color="000000" w:sz="4" w:space="0"/>
              <w:left w:val="single" w:color="000000" w:sz="4" w:space="0"/>
              <w:bottom w:val="single" w:color="000000" w:sz="4" w:space="0"/>
              <w:right w:val="single" w:color="000000" w:sz="4" w:space="0"/>
            </w:tcBorders>
          </w:tcPr>
          <w:p>
            <w:pPr>
              <w:pStyle w:val="24"/>
              <w:spacing w:before="134"/>
              <w:ind w:left="148"/>
              <w:rPr>
                <w:sz w:val="21"/>
              </w:rPr>
            </w:pPr>
            <w:r>
              <w:rPr>
                <w:sz w:val="21"/>
              </w:rPr>
              <w:t>废气泄漏</w:t>
            </w:r>
          </w:p>
        </w:tc>
        <w:tc>
          <w:tcPr>
            <w:tcW w:w="3859" w:type="dxa"/>
            <w:tcBorders>
              <w:top w:val="single" w:color="000000" w:sz="4" w:space="0"/>
              <w:left w:val="single" w:color="000000" w:sz="4" w:space="0"/>
              <w:bottom w:val="single" w:color="000000" w:sz="4" w:space="0"/>
              <w:right w:val="single" w:color="000000" w:sz="4" w:space="0"/>
            </w:tcBorders>
          </w:tcPr>
          <w:p>
            <w:pPr>
              <w:pStyle w:val="24"/>
              <w:spacing w:line="269" w:lineRule="exact"/>
              <w:rPr>
                <w:sz w:val="21"/>
              </w:rPr>
            </w:pPr>
            <w:r>
              <w:rPr>
                <w:sz w:val="21"/>
              </w:rPr>
              <w:t>机械故障等导致</w:t>
            </w:r>
            <w:r>
              <w:rPr>
                <w:rFonts w:hint="eastAsia"/>
                <w:sz w:val="21"/>
              </w:rPr>
              <w:t>废气收集装置</w:t>
            </w:r>
            <w:r>
              <w:rPr>
                <w:sz w:val="21"/>
              </w:rPr>
              <w:t>等废气</w:t>
            </w:r>
          </w:p>
          <w:p>
            <w:pPr>
              <w:pStyle w:val="24"/>
              <w:spacing w:before="4" w:line="252" w:lineRule="exact"/>
              <w:ind w:left="116"/>
              <w:rPr>
                <w:sz w:val="21"/>
              </w:rPr>
            </w:pPr>
            <w:r>
              <w:rPr>
                <w:sz w:val="21"/>
              </w:rPr>
              <w:t>治理设施效率下降、停止运行</w:t>
            </w:r>
          </w:p>
        </w:tc>
        <w:tc>
          <w:tcPr>
            <w:tcW w:w="1118" w:type="dxa"/>
            <w:tcBorders>
              <w:top w:val="single" w:color="000000" w:sz="4" w:space="0"/>
              <w:left w:val="single" w:color="000000" w:sz="4" w:space="0"/>
              <w:bottom w:val="single" w:color="000000" w:sz="4" w:space="0"/>
              <w:right w:val="single" w:color="000000" w:sz="4" w:space="0"/>
            </w:tcBorders>
          </w:tcPr>
          <w:p>
            <w:pPr>
              <w:pStyle w:val="24"/>
              <w:spacing w:before="134"/>
              <w:ind w:left="122" w:right="97"/>
              <w:jc w:val="center"/>
              <w:rPr>
                <w:sz w:val="21"/>
              </w:rPr>
            </w:pPr>
            <w:r>
              <w:rPr>
                <w:sz w:val="21"/>
              </w:rPr>
              <w:t>环境事故</w:t>
            </w:r>
          </w:p>
        </w:tc>
        <w:tc>
          <w:tcPr>
            <w:tcW w:w="3189" w:type="dxa"/>
            <w:tcBorders>
              <w:top w:val="single" w:color="000000" w:sz="4" w:space="0"/>
              <w:left w:val="single" w:color="000000" w:sz="4" w:space="0"/>
              <w:bottom w:val="single" w:color="000000" w:sz="4" w:space="0"/>
              <w:right w:val="nil"/>
            </w:tcBorders>
          </w:tcPr>
          <w:p>
            <w:pPr>
              <w:pStyle w:val="24"/>
              <w:spacing w:before="134"/>
              <w:ind w:left="103" w:right="101"/>
              <w:jc w:val="center"/>
              <w:rPr>
                <w:sz w:val="21"/>
              </w:rPr>
            </w:pPr>
            <w:r>
              <w:rPr>
                <w:sz w:val="21"/>
              </w:rPr>
              <w:t>污染周边环境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677" w:type="dxa"/>
            <w:tcBorders>
              <w:top w:val="single" w:color="000000" w:sz="4" w:space="0"/>
              <w:left w:val="nil"/>
              <w:bottom w:val="single" w:color="000000" w:sz="4" w:space="0"/>
              <w:right w:val="single" w:color="000000" w:sz="4" w:space="0"/>
            </w:tcBorders>
          </w:tcPr>
          <w:p>
            <w:pPr>
              <w:pStyle w:val="24"/>
              <w:spacing w:before="149"/>
              <w:ind w:left="32"/>
              <w:jc w:val="center"/>
              <w:rPr>
                <w:rFonts w:ascii="Times New Roman"/>
                <w:sz w:val="21"/>
              </w:rPr>
            </w:pPr>
            <w:r>
              <w:rPr>
                <w:rFonts w:ascii="Times New Roman"/>
                <w:w w:val="99"/>
                <w:sz w:val="21"/>
              </w:rPr>
              <w:t>4</w:t>
            </w:r>
          </w:p>
        </w:tc>
        <w:tc>
          <w:tcPr>
            <w:tcW w:w="1119" w:type="dxa"/>
            <w:tcBorders>
              <w:top w:val="single" w:color="000000" w:sz="4" w:space="0"/>
              <w:left w:val="single" w:color="000000" w:sz="4" w:space="0"/>
              <w:bottom w:val="single" w:color="000000" w:sz="4" w:space="0"/>
              <w:right w:val="single" w:color="000000" w:sz="4" w:space="0"/>
            </w:tcBorders>
          </w:tcPr>
          <w:p>
            <w:pPr>
              <w:pStyle w:val="24"/>
              <w:spacing w:before="136"/>
              <w:ind w:left="148"/>
              <w:rPr>
                <w:sz w:val="21"/>
              </w:rPr>
            </w:pPr>
            <w:r>
              <w:rPr>
                <w:sz w:val="21"/>
              </w:rPr>
              <w:t>危废泄漏</w:t>
            </w:r>
          </w:p>
        </w:tc>
        <w:tc>
          <w:tcPr>
            <w:tcW w:w="3859" w:type="dxa"/>
            <w:tcBorders>
              <w:top w:val="single" w:color="000000" w:sz="4" w:space="0"/>
              <w:left w:val="single" w:color="000000" w:sz="4" w:space="0"/>
              <w:bottom w:val="single" w:color="000000" w:sz="4" w:space="0"/>
              <w:right w:val="single" w:color="000000" w:sz="4" w:space="0"/>
            </w:tcBorders>
          </w:tcPr>
          <w:p>
            <w:pPr>
              <w:pStyle w:val="24"/>
              <w:spacing w:line="268" w:lineRule="exact"/>
              <w:rPr>
                <w:sz w:val="21"/>
              </w:rPr>
            </w:pPr>
            <w:r>
              <w:rPr>
                <w:sz w:val="21"/>
              </w:rPr>
              <w:t>因管理不善，人为事故，导致一般固废与危废混装，或随意弃置危废</w:t>
            </w:r>
          </w:p>
        </w:tc>
        <w:tc>
          <w:tcPr>
            <w:tcW w:w="1118" w:type="dxa"/>
            <w:tcBorders>
              <w:top w:val="single" w:color="000000" w:sz="4" w:space="0"/>
              <w:left w:val="single" w:color="000000" w:sz="4" w:space="0"/>
              <w:bottom w:val="single" w:color="000000" w:sz="4" w:space="0"/>
              <w:right w:val="single" w:color="000000" w:sz="4" w:space="0"/>
            </w:tcBorders>
          </w:tcPr>
          <w:p>
            <w:pPr>
              <w:pStyle w:val="24"/>
              <w:spacing w:line="268" w:lineRule="exact"/>
              <w:ind w:left="147"/>
              <w:rPr>
                <w:sz w:val="21"/>
              </w:rPr>
            </w:pPr>
            <w:r>
              <w:rPr>
                <w:w w:val="95"/>
                <w:sz w:val="21"/>
              </w:rPr>
              <w:t>安全事故</w:t>
            </w:r>
          </w:p>
          <w:p>
            <w:pPr>
              <w:pStyle w:val="24"/>
              <w:spacing w:before="4" w:line="251" w:lineRule="exact"/>
              <w:ind w:left="147"/>
              <w:rPr>
                <w:sz w:val="21"/>
              </w:rPr>
            </w:pPr>
            <w:r>
              <w:rPr>
                <w:w w:val="95"/>
                <w:sz w:val="21"/>
              </w:rPr>
              <w:t>环境事故</w:t>
            </w:r>
          </w:p>
        </w:tc>
        <w:tc>
          <w:tcPr>
            <w:tcW w:w="3189" w:type="dxa"/>
            <w:tcBorders>
              <w:top w:val="single" w:color="000000" w:sz="4" w:space="0"/>
              <w:left w:val="single" w:color="000000" w:sz="4" w:space="0"/>
              <w:bottom w:val="single" w:color="000000" w:sz="4" w:space="0"/>
              <w:right w:val="nil"/>
            </w:tcBorders>
          </w:tcPr>
          <w:p>
            <w:pPr>
              <w:pStyle w:val="24"/>
              <w:spacing w:line="268" w:lineRule="exact"/>
              <w:ind w:left="103" w:right="101"/>
              <w:jc w:val="center"/>
              <w:rPr>
                <w:sz w:val="21"/>
              </w:rPr>
            </w:pPr>
            <w:r>
              <w:rPr>
                <w:sz w:val="21"/>
              </w:rPr>
              <w:t>造成环境安全隐患，污染周边环</w:t>
            </w:r>
          </w:p>
          <w:p>
            <w:pPr>
              <w:pStyle w:val="24"/>
              <w:spacing w:before="4" w:line="251" w:lineRule="exact"/>
              <w:jc w:val="center"/>
              <w:rPr>
                <w:sz w:val="21"/>
              </w:rPr>
            </w:pPr>
            <w:r>
              <w:rPr>
                <w:w w:val="99"/>
                <w:sz w:val="21"/>
              </w:rPr>
              <w:t>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677" w:type="dxa"/>
            <w:tcBorders>
              <w:top w:val="single" w:color="000000" w:sz="4" w:space="0"/>
              <w:left w:val="nil"/>
              <w:bottom w:val="single" w:color="000000" w:sz="4" w:space="0"/>
              <w:right w:val="single" w:color="000000" w:sz="4" w:space="0"/>
            </w:tcBorders>
          </w:tcPr>
          <w:p>
            <w:pPr>
              <w:pStyle w:val="24"/>
              <w:spacing w:before="150"/>
              <w:ind w:left="32"/>
              <w:jc w:val="center"/>
              <w:rPr>
                <w:rFonts w:ascii="Times New Roman"/>
                <w:sz w:val="21"/>
              </w:rPr>
            </w:pPr>
            <w:r>
              <w:rPr>
                <w:rFonts w:ascii="Times New Roman"/>
                <w:w w:val="99"/>
                <w:sz w:val="21"/>
              </w:rPr>
              <w:t>5</w:t>
            </w:r>
          </w:p>
        </w:tc>
        <w:tc>
          <w:tcPr>
            <w:tcW w:w="1119" w:type="dxa"/>
            <w:tcBorders>
              <w:top w:val="single" w:color="000000" w:sz="4" w:space="0"/>
              <w:left w:val="single" w:color="000000" w:sz="4" w:space="0"/>
              <w:bottom w:val="single" w:color="000000" w:sz="4" w:space="0"/>
              <w:right w:val="single" w:color="000000" w:sz="4" w:space="0"/>
            </w:tcBorders>
          </w:tcPr>
          <w:p>
            <w:pPr>
              <w:pStyle w:val="24"/>
              <w:spacing w:before="2"/>
              <w:ind w:left="127" w:right="102"/>
              <w:jc w:val="center"/>
              <w:rPr>
                <w:sz w:val="21"/>
              </w:rPr>
            </w:pPr>
            <w:r>
              <w:rPr>
                <w:sz w:val="21"/>
              </w:rPr>
              <w:t>化学品泄</w:t>
            </w:r>
          </w:p>
          <w:p>
            <w:pPr>
              <w:pStyle w:val="24"/>
              <w:spacing w:before="2" w:line="252" w:lineRule="exact"/>
              <w:ind w:left="25"/>
              <w:jc w:val="center"/>
              <w:rPr>
                <w:sz w:val="21"/>
              </w:rPr>
            </w:pPr>
            <w:r>
              <w:rPr>
                <w:w w:val="99"/>
                <w:sz w:val="21"/>
              </w:rPr>
              <w:t>漏</w:t>
            </w:r>
          </w:p>
        </w:tc>
        <w:tc>
          <w:tcPr>
            <w:tcW w:w="3859" w:type="dxa"/>
            <w:tcBorders>
              <w:top w:val="single" w:color="000000" w:sz="4" w:space="0"/>
              <w:left w:val="single" w:color="000000" w:sz="4" w:space="0"/>
              <w:bottom w:val="single" w:color="000000" w:sz="4" w:space="0"/>
              <w:right w:val="single" w:color="000000" w:sz="4" w:space="0"/>
            </w:tcBorders>
          </w:tcPr>
          <w:p>
            <w:pPr>
              <w:pStyle w:val="24"/>
              <w:spacing w:before="2"/>
              <w:rPr>
                <w:sz w:val="21"/>
              </w:rPr>
            </w:pPr>
            <w:r>
              <w:rPr>
                <w:sz w:val="21"/>
              </w:rPr>
              <w:t>因管理不善，人为事故，容器破损等导致油</w:t>
            </w:r>
            <w:r>
              <w:rPr>
                <w:rFonts w:hint="eastAsia"/>
                <w:sz w:val="21"/>
              </w:rPr>
              <w:t>墨、乙烯</w:t>
            </w:r>
            <w:r>
              <w:rPr>
                <w:rFonts w:hint="eastAsia"/>
                <w:sz w:val="21"/>
                <w:lang w:val="en-US"/>
              </w:rPr>
              <w:t>-醋酸乙烯共聚物（EVA）</w:t>
            </w:r>
            <w:r>
              <w:rPr>
                <w:sz w:val="21"/>
              </w:rPr>
              <w:t>泄漏</w:t>
            </w:r>
          </w:p>
        </w:tc>
        <w:tc>
          <w:tcPr>
            <w:tcW w:w="1118" w:type="dxa"/>
            <w:tcBorders>
              <w:top w:val="single" w:color="000000" w:sz="4" w:space="0"/>
              <w:left w:val="single" w:color="000000" w:sz="4" w:space="0"/>
              <w:bottom w:val="single" w:color="000000" w:sz="4" w:space="0"/>
              <w:right w:val="single" w:color="000000" w:sz="4" w:space="0"/>
            </w:tcBorders>
          </w:tcPr>
          <w:p>
            <w:pPr>
              <w:pStyle w:val="24"/>
              <w:spacing w:before="2"/>
              <w:ind w:left="147"/>
              <w:rPr>
                <w:sz w:val="21"/>
              </w:rPr>
            </w:pPr>
            <w:r>
              <w:rPr>
                <w:w w:val="95"/>
                <w:sz w:val="21"/>
              </w:rPr>
              <w:t>安全事故</w:t>
            </w:r>
          </w:p>
          <w:p>
            <w:pPr>
              <w:pStyle w:val="24"/>
              <w:spacing w:before="2" w:line="252" w:lineRule="exact"/>
              <w:ind w:left="147"/>
              <w:rPr>
                <w:sz w:val="21"/>
              </w:rPr>
            </w:pPr>
            <w:r>
              <w:rPr>
                <w:w w:val="95"/>
                <w:sz w:val="21"/>
              </w:rPr>
              <w:t>环境事故</w:t>
            </w:r>
          </w:p>
        </w:tc>
        <w:tc>
          <w:tcPr>
            <w:tcW w:w="3189" w:type="dxa"/>
            <w:tcBorders>
              <w:top w:val="single" w:color="000000" w:sz="4" w:space="0"/>
              <w:left w:val="single" w:color="000000" w:sz="4" w:space="0"/>
              <w:bottom w:val="single" w:color="000000" w:sz="4" w:space="0"/>
              <w:right w:val="nil"/>
            </w:tcBorders>
          </w:tcPr>
          <w:p>
            <w:pPr>
              <w:pStyle w:val="24"/>
              <w:spacing w:before="2"/>
              <w:ind w:left="103" w:right="101"/>
              <w:jc w:val="center"/>
              <w:rPr>
                <w:sz w:val="21"/>
              </w:rPr>
            </w:pPr>
            <w:r>
              <w:rPr>
                <w:sz w:val="21"/>
              </w:rPr>
              <w:t>造成环境安全隐患，污染周边环</w:t>
            </w:r>
          </w:p>
          <w:p>
            <w:pPr>
              <w:pStyle w:val="24"/>
              <w:spacing w:before="2" w:line="252" w:lineRule="exact"/>
              <w:jc w:val="center"/>
              <w:rPr>
                <w:sz w:val="21"/>
              </w:rPr>
            </w:pPr>
            <w:r>
              <w:rPr>
                <w:w w:val="99"/>
                <w:sz w:val="21"/>
              </w:rPr>
              <w:t>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677" w:type="dxa"/>
            <w:tcBorders>
              <w:top w:val="single" w:color="000000" w:sz="4" w:space="0"/>
              <w:left w:val="nil"/>
              <w:right w:val="single" w:color="000000" w:sz="4" w:space="0"/>
            </w:tcBorders>
          </w:tcPr>
          <w:p>
            <w:pPr>
              <w:pStyle w:val="24"/>
              <w:spacing w:before="4"/>
              <w:rPr>
                <w:b/>
              </w:rPr>
            </w:pPr>
          </w:p>
          <w:p>
            <w:pPr>
              <w:pStyle w:val="24"/>
              <w:ind w:left="32"/>
              <w:jc w:val="center"/>
              <w:rPr>
                <w:rFonts w:ascii="Times New Roman"/>
                <w:sz w:val="21"/>
              </w:rPr>
            </w:pPr>
            <w:r>
              <w:rPr>
                <w:rFonts w:ascii="Times New Roman"/>
                <w:w w:val="99"/>
                <w:sz w:val="21"/>
              </w:rPr>
              <w:t>6</w:t>
            </w:r>
          </w:p>
        </w:tc>
        <w:tc>
          <w:tcPr>
            <w:tcW w:w="1119" w:type="dxa"/>
            <w:tcBorders>
              <w:top w:val="single" w:color="000000" w:sz="4" w:space="0"/>
              <w:left w:val="single" w:color="000000" w:sz="4" w:space="0"/>
              <w:right w:val="single" w:color="000000" w:sz="4" w:space="0"/>
            </w:tcBorders>
          </w:tcPr>
          <w:p>
            <w:pPr>
              <w:pStyle w:val="24"/>
              <w:spacing w:before="3"/>
              <w:rPr>
                <w:b/>
                <w:sz w:val="21"/>
              </w:rPr>
            </w:pPr>
          </w:p>
          <w:p>
            <w:pPr>
              <w:pStyle w:val="24"/>
              <w:ind w:left="148"/>
              <w:rPr>
                <w:sz w:val="21"/>
              </w:rPr>
            </w:pPr>
            <w:r>
              <w:rPr>
                <w:sz w:val="21"/>
              </w:rPr>
              <w:t>废水泄漏</w:t>
            </w:r>
          </w:p>
        </w:tc>
        <w:tc>
          <w:tcPr>
            <w:tcW w:w="3859" w:type="dxa"/>
            <w:tcBorders>
              <w:top w:val="single" w:color="000000" w:sz="4" w:space="0"/>
              <w:left w:val="single" w:color="000000" w:sz="4" w:space="0"/>
              <w:right w:val="single" w:color="000000" w:sz="4" w:space="0"/>
            </w:tcBorders>
          </w:tcPr>
          <w:p>
            <w:pPr>
              <w:pStyle w:val="24"/>
              <w:spacing w:before="1" w:line="242" w:lineRule="auto"/>
              <w:ind w:right="161"/>
              <w:rPr>
                <w:w w:val="95"/>
                <w:sz w:val="21"/>
              </w:rPr>
            </w:pPr>
          </w:p>
          <w:p>
            <w:pPr>
              <w:pStyle w:val="24"/>
              <w:spacing w:before="1" w:line="242" w:lineRule="auto"/>
              <w:ind w:right="161"/>
              <w:rPr>
                <w:sz w:val="21"/>
              </w:rPr>
            </w:pPr>
            <w:r>
              <w:rPr>
                <w:w w:val="95"/>
                <w:sz w:val="21"/>
              </w:rPr>
              <w:t>消防废水</w:t>
            </w:r>
            <w:r>
              <w:rPr>
                <w:sz w:val="21"/>
              </w:rPr>
              <w:t>未有效收集。</w:t>
            </w:r>
          </w:p>
        </w:tc>
        <w:tc>
          <w:tcPr>
            <w:tcW w:w="1118" w:type="dxa"/>
            <w:tcBorders>
              <w:top w:val="single" w:color="000000" w:sz="4" w:space="0"/>
              <w:left w:val="single" w:color="000000" w:sz="4" w:space="0"/>
              <w:right w:val="single" w:color="000000" w:sz="4" w:space="0"/>
            </w:tcBorders>
          </w:tcPr>
          <w:p>
            <w:pPr>
              <w:pStyle w:val="24"/>
              <w:spacing w:before="3"/>
              <w:rPr>
                <w:b/>
                <w:sz w:val="21"/>
              </w:rPr>
            </w:pPr>
          </w:p>
          <w:p>
            <w:pPr>
              <w:pStyle w:val="24"/>
              <w:ind w:left="122" w:right="97"/>
              <w:jc w:val="center"/>
              <w:rPr>
                <w:sz w:val="21"/>
              </w:rPr>
            </w:pPr>
            <w:r>
              <w:rPr>
                <w:sz w:val="21"/>
              </w:rPr>
              <w:t>环境事故</w:t>
            </w:r>
          </w:p>
        </w:tc>
        <w:tc>
          <w:tcPr>
            <w:tcW w:w="3189" w:type="dxa"/>
            <w:tcBorders>
              <w:top w:val="single" w:color="000000" w:sz="4" w:space="0"/>
              <w:left w:val="single" w:color="000000" w:sz="4" w:space="0"/>
              <w:right w:val="nil"/>
            </w:tcBorders>
          </w:tcPr>
          <w:p>
            <w:pPr>
              <w:pStyle w:val="24"/>
              <w:spacing w:before="3"/>
              <w:rPr>
                <w:b/>
                <w:sz w:val="21"/>
              </w:rPr>
            </w:pPr>
          </w:p>
          <w:p>
            <w:pPr>
              <w:pStyle w:val="24"/>
              <w:ind w:left="103" w:right="101"/>
              <w:jc w:val="center"/>
              <w:rPr>
                <w:sz w:val="21"/>
              </w:rPr>
            </w:pPr>
            <w:r>
              <w:rPr>
                <w:sz w:val="21"/>
              </w:rPr>
              <w:t>污染周边环境</w:t>
            </w:r>
          </w:p>
        </w:tc>
      </w:tr>
    </w:tbl>
    <w:p>
      <w:pPr>
        <w:jc w:val="center"/>
        <w:rPr>
          <w:sz w:val="21"/>
        </w:rPr>
        <w:sectPr>
          <w:pgSz w:w="11910" w:h="16840"/>
          <w:pgMar w:top="1360" w:right="840" w:bottom="1180" w:left="840" w:header="882" w:footer="993" w:gutter="0"/>
          <w:cols w:space="720" w:num="1"/>
        </w:sectPr>
      </w:pPr>
    </w:p>
    <w:p>
      <w:pPr>
        <w:pStyle w:val="10"/>
        <w:spacing w:before="3"/>
        <w:rPr>
          <w:b/>
          <w:sz w:val="12"/>
        </w:rPr>
      </w:pPr>
    </w:p>
    <w:p>
      <w:pPr>
        <w:pStyle w:val="5"/>
        <w:numPr>
          <w:ilvl w:val="0"/>
          <w:numId w:val="6"/>
        </w:numPr>
        <w:tabs>
          <w:tab w:val="left" w:pos="560"/>
        </w:tabs>
        <w:ind w:left="559" w:hanging="320"/>
      </w:pPr>
      <w:bookmarkStart w:id="75" w:name="3_应急组织机构与职责"/>
      <w:bookmarkEnd w:id="75"/>
      <w:bookmarkStart w:id="76" w:name="_bookmark37"/>
      <w:bookmarkEnd w:id="76"/>
      <w:r>
        <w:t>应急组织机构与职责</w:t>
      </w:r>
    </w:p>
    <w:p>
      <w:pPr>
        <w:pStyle w:val="10"/>
        <w:spacing w:before="10"/>
        <w:rPr>
          <w:b/>
          <w:sz w:val="28"/>
        </w:rPr>
      </w:pPr>
    </w:p>
    <w:p>
      <w:pPr>
        <w:pStyle w:val="6"/>
        <w:numPr>
          <w:ilvl w:val="1"/>
          <w:numId w:val="6"/>
        </w:numPr>
        <w:tabs>
          <w:tab w:val="left" w:pos="766"/>
        </w:tabs>
      </w:pPr>
      <w:bookmarkStart w:id="77" w:name="_bookmark38"/>
      <w:bookmarkEnd w:id="77"/>
      <w:bookmarkStart w:id="78" w:name="3.1_环保管理流程"/>
      <w:bookmarkEnd w:id="78"/>
      <w:r>
        <w:t>环保管理流程</w:t>
      </w:r>
    </w:p>
    <w:p>
      <w:pPr>
        <w:pStyle w:val="10"/>
        <w:spacing w:before="9"/>
        <w:rPr>
          <w:b/>
          <w:sz w:val="27"/>
        </w:rPr>
      </w:pPr>
    </w:p>
    <w:p>
      <w:pPr>
        <w:pStyle w:val="10"/>
        <w:spacing w:line="362" w:lineRule="auto"/>
        <w:ind w:left="240" w:right="237" w:firstLine="480"/>
      </w:pPr>
      <w:r>
        <w:rPr>
          <w:rFonts w:hint="eastAsia"/>
          <w:spacing w:val="-5"/>
        </w:rPr>
        <w:t>赤壁市泰博服饰股份有限公</w:t>
      </w:r>
      <w:r>
        <w:rPr>
          <w:spacing w:val="-5"/>
        </w:rPr>
        <w:t>设置一名主要负责人专职管理环保、安全等工作，企业法人对</w:t>
      </w:r>
      <w:r>
        <w:t>环保管理进行日常监督、管理和实施。环保管理岗位人员具体职责如下：</w:t>
      </w:r>
    </w:p>
    <w:p>
      <w:pPr>
        <w:pStyle w:val="23"/>
        <w:numPr>
          <w:ilvl w:val="0"/>
          <w:numId w:val="17"/>
        </w:numPr>
        <w:tabs>
          <w:tab w:val="left" w:pos="1321"/>
        </w:tabs>
        <w:spacing w:before="5" w:line="362" w:lineRule="auto"/>
        <w:ind w:right="240" w:firstLine="480"/>
        <w:rPr>
          <w:sz w:val="24"/>
        </w:rPr>
      </w:pPr>
      <w:r>
        <w:rPr>
          <w:spacing w:val="-1"/>
          <w:sz w:val="24"/>
        </w:rPr>
        <w:t>熟练掌握环境保护法律、法规，全面落实企业的环境保护规划、计划和措施，定期</w:t>
      </w:r>
      <w:r>
        <w:rPr>
          <w:sz w:val="24"/>
        </w:rPr>
        <w:t>对环境状况检查及环境保护工作落实情况；</w:t>
      </w:r>
    </w:p>
    <w:p>
      <w:pPr>
        <w:pStyle w:val="23"/>
        <w:numPr>
          <w:ilvl w:val="0"/>
          <w:numId w:val="17"/>
        </w:numPr>
        <w:tabs>
          <w:tab w:val="left" w:pos="1321"/>
        </w:tabs>
        <w:spacing w:before="5"/>
        <w:ind w:left="1321"/>
        <w:rPr>
          <w:sz w:val="24"/>
        </w:rPr>
      </w:pPr>
      <w:r>
        <w:rPr>
          <w:sz w:val="24"/>
        </w:rPr>
        <w:t>拟定各项环保规定，负责组织污染源状况分析和环境质量评价；</w:t>
      </w:r>
    </w:p>
    <w:p>
      <w:pPr>
        <w:pStyle w:val="23"/>
        <w:numPr>
          <w:ilvl w:val="0"/>
          <w:numId w:val="17"/>
        </w:numPr>
        <w:tabs>
          <w:tab w:val="left" w:pos="1321"/>
        </w:tabs>
        <w:spacing w:before="158"/>
        <w:ind w:left="1321"/>
        <w:rPr>
          <w:sz w:val="24"/>
        </w:rPr>
      </w:pPr>
      <w:r>
        <w:rPr>
          <w:sz w:val="24"/>
        </w:rPr>
        <w:t>配合上级部门做好环境监测和各类环保资料的统计上报建档工作；</w:t>
      </w:r>
    </w:p>
    <w:p>
      <w:pPr>
        <w:pStyle w:val="23"/>
        <w:numPr>
          <w:ilvl w:val="0"/>
          <w:numId w:val="17"/>
        </w:numPr>
        <w:tabs>
          <w:tab w:val="left" w:pos="1321"/>
        </w:tabs>
        <w:spacing w:before="160" w:line="364" w:lineRule="auto"/>
        <w:ind w:right="237" w:firstLine="480"/>
        <w:jc w:val="both"/>
        <w:rPr>
          <w:sz w:val="24"/>
        </w:rPr>
      </w:pPr>
      <w:r>
        <w:rPr>
          <w:spacing w:val="-1"/>
          <w:sz w:val="24"/>
        </w:rPr>
        <w:t>参与污染治理设施涉及方案的评审，建造监管、监督环保设施正常、安全、稳定运</w:t>
      </w:r>
      <w:r>
        <w:rPr>
          <w:spacing w:val="-10"/>
          <w:sz w:val="24"/>
        </w:rPr>
        <w:t>行，同时负责对环保设施的完善与环保整改方案的设计、整改工程的施工监管，并配合发展基</w:t>
      </w:r>
      <w:r>
        <w:rPr>
          <w:sz w:val="24"/>
        </w:rPr>
        <w:t>建部门进行施工验收；</w:t>
      </w:r>
    </w:p>
    <w:p>
      <w:pPr>
        <w:pStyle w:val="23"/>
        <w:numPr>
          <w:ilvl w:val="0"/>
          <w:numId w:val="17"/>
        </w:numPr>
        <w:tabs>
          <w:tab w:val="left" w:pos="1321"/>
        </w:tabs>
        <w:spacing w:line="364" w:lineRule="auto"/>
        <w:ind w:right="240" w:firstLine="480"/>
        <w:rPr>
          <w:sz w:val="24"/>
        </w:rPr>
      </w:pPr>
      <w:r>
        <w:rPr>
          <w:spacing w:val="-1"/>
          <w:sz w:val="24"/>
        </w:rPr>
        <w:t>广泛开展环境保护知识的宣传，普及环境保护科学知识，提高全体员工的环境保护</w:t>
      </w:r>
      <w:r>
        <w:rPr>
          <w:sz w:val="24"/>
        </w:rPr>
        <w:t>意识，推动环保工作顺利、有效地进行；</w:t>
      </w:r>
    </w:p>
    <w:p>
      <w:pPr>
        <w:pStyle w:val="23"/>
        <w:numPr>
          <w:ilvl w:val="0"/>
          <w:numId w:val="17"/>
        </w:numPr>
        <w:tabs>
          <w:tab w:val="left" w:pos="1321"/>
        </w:tabs>
        <w:spacing w:line="306" w:lineRule="exact"/>
        <w:ind w:left="1321"/>
        <w:rPr>
          <w:sz w:val="24"/>
        </w:rPr>
      </w:pPr>
      <w:r>
        <w:rPr>
          <w:sz w:val="24"/>
        </w:rPr>
        <w:t>负责环境监测的管理工作，负责环境监测内、外方面的联系和协调工作；</w:t>
      </w:r>
    </w:p>
    <w:p>
      <w:pPr>
        <w:pStyle w:val="23"/>
        <w:numPr>
          <w:ilvl w:val="0"/>
          <w:numId w:val="17"/>
        </w:numPr>
        <w:tabs>
          <w:tab w:val="left" w:pos="1321"/>
        </w:tabs>
        <w:spacing w:before="158"/>
        <w:ind w:left="1321"/>
        <w:rPr>
          <w:sz w:val="24"/>
        </w:rPr>
      </w:pPr>
      <w:r>
        <w:rPr>
          <w:sz w:val="24"/>
        </w:rPr>
        <w:t>负责危废固废和一般固废分类处理的监控。</w:t>
      </w:r>
    </w:p>
    <w:p>
      <w:pPr>
        <w:pStyle w:val="10"/>
        <w:spacing w:before="9"/>
      </w:pPr>
    </w:p>
    <w:p>
      <w:pPr>
        <w:pStyle w:val="6"/>
        <w:numPr>
          <w:ilvl w:val="1"/>
          <w:numId w:val="6"/>
        </w:numPr>
        <w:tabs>
          <w:tab w:val="left" w:pos="766"/>
        </w:tabs>
      </w:pPr>
      <w:bookmarkStart w:id="79" w:name="_bookmark39"/>
      <w:bookmarkEnd w:id="79"/>
      <w:bookmarkStart w:id="80" w:name="3.2_应急组织体系"/>
      <w:bookmarkEnd w:id="80"/>
      <w:r>
        <w:t>应急组织体系</w:t>
      </w:r>
    </w:p>
    <w:p>
      <w:pPr>
        <w:pStyle w:val="10"/>
        <w:spacing w:before="9"/>
        <w:rPr>
          <w:b/>
          <w:sz w:val="27"/>
        </w:rPr>
      </w:pPr>
    </w:p>
    <w:p>
      <w:pPr>
        <w:pStyle w:val="10"/>
        <w:spacing w:line="364" w:lineRule="auto"/>
        <w:ind w:left="240" w:right="237" w:firstLine="480"/>
        <w:jc w:val="both"/>
      </w:pPr>
      <w:r>
        <w:t>为防范和处置上述突发环境事件，企业成立突发环境事件应急救援指挥部（以下简称</w:t>
      </w:r>
      <w:r>
        <w:rPr>
          <w:rFonts w:ascii="Times New Roman" w:hAnsi="Times New Roman" w:eastAsia="Times New Roman"/>
        </w:rPr>
        <w:t>“</w:t>
      </w:r>
      <w:r>
        <w:rPr>
          <w:spacing w:val="-11"/>
        </w:rPr>
        <w:t>应</w:t>
      </w:r>
      <w:r>
        <w:t>急指挥部</w:t>
      </w:r>
      <w:r>
        <w:rPr>
          <w:rFonts w:ascii="Times New Roman" w:hAnsi="Times New Roman" w:eastAsia="Times New Roman"/>
        </w:rPr>
        <w:t>”</w:t>
      </w:r>
      <w:r>
        <w:t>）</w:t>
      </w:r>
      <w:r>
        <w:rPr>
          <w:spacing w:val="-1"/>
        </w:rPr>
        <w:t>，由</w:t>
      </w:r>
      <w:r>
        <w:rPr>
          <w:rFonts w:hint="eastAsia"/>
          <w:spacing w:val="-1"/>
        </w:rPr>
        <w:t>刘智东</w:t>
      </w:r>
      <w:r>
        <w:rPr>
          <w:spacing w:val="-1"/>
        </w:rPr>
        <w:t>任总指挥，应急指挥部协调通知各救援队伍、周边居民。应急指挥部</w:t>
      </w:r>
      <w:r>
        <w:rPr>
          <w:spacing w:val="-7"/>
        </w:rPr>
        <w:t xml:space="preserve">下设应急指挥部办公室和疏散救援、环境监测、医疗后勤 </w:t>
      </w:r>
      <w:r>
        <w:rPr>
          <w:rFonts w:ascii="Times New Roman" w:hAnsi="Times New Roman" w:eastAsia="Times New Roman"/>
        </w:rPr>
        <w:t xml:space="preserve">3 </w:t>
      </w:r>
      <w:r>
        <w:rPr>
          <w:spacing w:val="-6"/>
        </w:rPr>
        <w:t>个应急专业组，应急组织结构框架</w:t>
      </w:r>
      <w:r>
        <w:rPr>
          <w:spacing w:val="-15"/>
        </w:rPr>
        <w:t xml:space="preserve">如下图 </w:t>
      </w:r>
      <w:r>
        <w:rPr>
          <w:rFonts w:ascii="Times New Roman" w:hAnsi="Times New Roman" w:eastAsia="Times New Roman"/>
        </w:rPr>
        <w:t>3.2-1</w:t>
      </w:r>
      <w:r>
        <w:t>。</w:t>
      </w:r>
    </w:p>
    <w:p>
      <w:pPr>
        <w:pStyle w:val="10"/>
        <w:ind w:left="3864"/>
        <w:rPr>
          <w:sz w:val="20"/>
        </w:rPr>
      </w:pPr>
      <w:r>
        <w:rPr>
          <w:sz w:val="20"/>
          <w:lang w:val="en-US" w:bidi="ar-SA"/>
        </w:rPr>
        <w:drawing>
          <wp:inline distT="0" distB="0" distL="0" distR="0">
            <wp:extent cx="1792605" cy="191706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25" cstate="print"/>
                    <a:stretch>
                      <a:fillRect/>
                    </a:stretch>
                  </pic:blipFill>
                  <pic:spPr>
                    <a:xfrm>
                      <a:off x="0" y="0"/>
                      <a:ext cx="1792858" cy="1917192"/>
                    </a:xfrm>
                    <a:prstGeom prst="rect">
                      <a:avLst/>
                    </a:prstGeom>
                  </pic:spPr>
                </pic:pic>
              </a:graphicData>
            </a:graphic>
          </wp:inline>
        </w:drawing>
      </w:r>
    </w:p>
    <w:p>
      <w:pPr>
        <w:pStyle w:val="9"/>
        <w:spacing w:before="95"/>
        <w:ind w:right="1"/>
      </w:pPr>
      <w:r>
        <w:t xml:space="preserve">图 </w:t>
      </w:r>
      <w:r>
        <w:rPr>
          <w:rFonts w:ascii="Times New Roman" w:eastAsia="Times New Roman"/>
        </w:rPr>
        <w:t xml:space="preserve">3.2-1  </w:t>
      </w:r>
      <w:r>
        <w:t>应急组织结构框架图</w:t>
      </w:r>
    </w:p>
    <w:p>
      <w:pPr>
        <w:sectPr>
          <w:pgSz w:w="11910" w:h="16840"/>
          <w:pgMar w:top="1360" w:right="840" w:bottom="1180" w:left="840" w:header="882" w:footer="993" w:gutter="0"/>
          <w:cols w:space="720" w:num="1"/>
        </w:sectPr>
      </w:pPr>
    </w:p>
    <w:p>
      <w:pPr>
        <w:spacing w:before="64"/>
        <w:ind w:left="679"/>
      </w:pPr>
      <w:r>
        <w:t>备注：</w:t>
      </w:r>
    </w:p>
    <w:p>
      <w:pPr>
        <w:spacing w:before="146" w:line="364" w:lineRule="auto"/>
        <w:ind w:left="240" w:right="237" w:firstLine="439"/>
      </w:pPr>
      <w:r>
        <w:rPr>
          <w:rFonts w:ascii="Times New Roman" w:eastAsia="Times New Roman"/>
          <w:spacing w:val="-1"/>
        </w:rPr>
        <w:t>1</w:t>
      </w:r>
      <w:r>
        <w:rPr>
          <w:spacing w:val="-8"/>
        </w:rPr>
        <w:t>、如遇到紧急情况，由各组负责人直接指挥和协调各项工作，如不在岗位时，则按照顺序代理上</w:t>
      </w:r>
      <w:r>
        <w:rPr>
          <w:spacing w:val="-3"/>
        </w:rPr>
        <w:t>岗，直接指挥其工作。</w:t>
      </w:r>
    </w:p>
    <w:p>
      <w:pPr>
        <w:ind w:left="679"/>
      </w:pPr>
      <w:r>
        <w:rPr>
          <w:rFonts w:ascii="Times New Roman" w:eastAsia="Times New Roman"/>
        </w:rPr>
        <w:t>2</w:t>
      </w:r>
      <w:r>
        <w:t xml:space="preserve">、指挥领导手机应保持 </w:t>
      </w:r>
      <w:r>
        <w:rPr>
          <w:rFonts w:ascii="Times New Roman" w:eastAsia="Times New Roman"/>
        </w:rPr>
        <w:t xml:space="preserve">24 </w:t>
      </w:r>
      <w:r>
        <w:t>小时内进行待机状态，以便应急时随时联系。</w:t>
      </w:r>
    </w:p>
    <w:p>
      <w:pPr>
        <w:spacing w:before="145"/>
        <w:ind w:left="679"/>
      </w:pPr>
      <w:r>
        <w:rPr>
          <w:rFonts w:ascii="Times New Roman" w:eastAsia="Times New Roman"/>
        </w:rPr>
        <w:t>3</w:t>
      </w:r>
      <w:r>
        <w:t>、其他人员必须服从指挥，随时听候加入救援行动，及时主动到有关场所提取救援器材等。</w:t>
      </w:r>
    </w:p>
    <w:p>
      <w:pPr>
        <w:spacing w:before="145"/>
        <w:ind w:left="679"/>
      </w:pPr>
      <w:r>
        <w:rPr>
          <w:rFonts w:ascii="Times New Roman" w:eastAsia="Times New Roman"/>
        </w:rPr>
        <w:t>4</w:t>
      </w:r>
      <w:r>
        <w:rPr>
          <w:spacing w:val="-14"/>
        </w:rPr>
        <w:t>、其他救援单位包括赤壁市人民医院、赤壁市消防救援队、咸宁市生态环境局赤壁市分局等单位。</w:t>
      </w:r>
    </w:p>
    <w:p>
      <w:pPr>
        <w:pStyle w:val="10"/>
        <w:spacing w:before="8"/>
        <w:rPr>
          <w:sz w:val="23"/>
        </w:rPr>
      </w:pPr>
    </w:p>
    <w:p>
      <w:pPr>
        <w:pStyle w:val="6"/>
        <w:numPr>
          <w:ilvl w:val="1"/>
          <w:numId w:val="6"/>
        </w:numPr>
        <w:tabs>
          <w:tab w:val="left" w:pos="766"/>
        </w:tabs>
      </w:pPr>
      <w:bookmarkStart w:id="81" w:name="_bookmark40"/>
      <w:bookmarkEnd w:id="81"/>
      <w:bookmarkStart w:id="82" w:name="3.3_内部应急组织机构的职责"/>
      <w:bookmarkEnd w:id="82"/>
      <w:r>
        <w:t>内部应急组织机构的职责</w:t>
      </w:r>
    </w:p>
    <w:p>
      <w:pPr>
        <w:pStyle w:val="10"/>
        <w:spacing w:before="9"/>
        <w:rPr>
          <w:b/>
          <w:sz w:val="27"/>
        </w:rPr>
      </w:pPr>
    </w:p>
    <w:p>
      <w:pPr>
        <w:pStyle w:val="10"/>
        <w:spacing w:line="364" w:lineRule="auto"/>
        <w:ind w:left="240" w:right="237" w:firstLine="480"/>
        <w:jc w:val="both"/>
      </w:pPr>
      <w:r>
        <w:rPr>
          <w:spacing w:val="-6"/>
        </w:rPr>
        <w:t>企业设立突发环境事件应急指挥部，指挥部下设办公室，对突发环境事件预警和处置进行</w:t>
      </w:r>
      <w:r>
        <w:rPr>
          <w:spacing w:val="-9"/>
        </w:rPr>
        <w:t>统一指挥协调。由总指挥</w:t>
      </w:r>
      <w:r>
        <w:rPr>
          <w:rFonts w:hint="eastAsia"/>
          <w:spacing w:val="-9"/>
        </w:rPr>
        <w:t>刘智东</w:t>
      </w:r>
      <w:r>
        <w:rPr>
          <w:spacing w:val="-9"/>
        </w:rPr>
        <w:t>和相关负责人、企业员工组成，日常工作由企业应急指挥部办</w:t>
      </w:r>
      <w:r>
        <w:rPr>
          <w:spacing w:val="-10"/>
        </w:rPr>
        <w:t>公室兼管。发生重大污染事故时，</w:t>
      </w:r>
      <w:r>
        <w:rPr>
          <w:rFonts w:hint="eastAsia"/>
          <w:spacing w:val="-10"/>
        </w:rPr>
        <w:t>刘智东</w:t>
      </w:r>
      <w:r>
        <w:rPr>
          <w:spacing w:val="-10"/>
        </w:rPr>
        <w:t>任总指挥，负责应急救援工作的组织和指挥，突发环</w:t>
      </w:r>
      <w:r>
        <w:rPr>
          <w:spacing w:val="-4"/>
        </w:rPr>
        <w:t>境事件应急指挥部设在企业会议室。若总指挥不在时，副总指挥</w:t>
      </w:r>
      <w:r>
        <w:t>（应急指挥部办公室主任</w:t>
      </w:r>
      <w:r>
        <w:rPr>
          <w:spacing w:val="-24"/>
        </w:rPr>
        <w:t>）</w:t>
      </w:r>
      <w:r>
        <w:rPr>
          <w:spacing w:val="-16"/>
        </w:rPr>
        <w:t>依</w:t>
      </w:r>
      <w:r>
        <w:t>次代理总指挥，全权负责应急救援工作。企业突发环境事件应急救援指挥部职责：</w:t>
      </w:r>
    </w:p>
    <w:p>
      <w:pPr>
        <w:pStyle w:val="23"/>
        <w:numPr>
          <w:ilvl w:val="0"/>
          <w:numId w:val="18"/>
        </w:numPr>
        <w:tabs>
          <w:tab w:val="left" w:pos="1321"/>
        </w:tabs>
        <w:spacing w:line="362" w:lineRule="auto"/>
        <w:ind w:right="240" w:firstLine="480"/>
        <w:rPr>
          <w:sz w:val="24"/>
        </w:rPr>
      </w:pPr>
      <w:r>
        <w:rPr>
          <w:spacing w:val="-1"/>
          <w:sz w:val="24"/>
        </w:rPr>
        <w:t>贯彻执行国家、省、市及上级主管部门关于突发环境污染事故发生和应急救援的方</w:t>
      </w:r>
      <w:r>
        <w:rPr>
          <w:sz w:val="24"/>
        </w:rPr>
        <w:t>针、政策及有关规定。</w:t>
      </w:r>
    </w:p>
    <w:p>
      <w:pPr>
        <w:pStyle w:val="23"/>
        <w:numPr>
          <w:ilvl w:val="0"/>
          <w:numId w:val="18"/>
        </w:numPr>
        <w:tabs>
          <w:tab w:val="left" w:pos="1321"/>
        </w:tabs>
        <w:spacing w:before="4" w:line="364" w:lineRule="auto"/>
        <w:ind w:right="240" w:firstLine="480"/>
        <w:rPr>
          <w:sz w:val="24"/>
        </w:rPr>
      </w:pPr>
      <w:r>
        <w:rPr>
          <w:spacing w:val="-1"/>
          <w:sz w:val="24"/>
        </w:rPr>
        <w:t>组织制定、修改环境污染事故应急救援预案，组建环境污染事故应急救援队伍，有</w:t>
      </w:r>
      <w:r>
        <w:rPr>
          <w:sz w:val="24"/>
        </w:rPr>
        <w:t>计划地组织实施环境污染事故应急救援的培训和演习。</w:t>
      </w:r>
    </w:p>
    <w:p>
      <w:pPr>
        <w:pStyle w:val="23"/>
        <w:numPr>
          <w:ilvl w:val="0"/>
          <w:numId w:val="18"/>
        </w:numPr>
        <w:tabs>
          <w:tab w:val="left" w:pos="1321"/>
        </w:tabs>
        <w:spacing w:line="306" w:lineRule="exact"/>
        <w:ind w:left="1321"/>
        <w:rPr>
          <w:sz w:val="24"/>
        </w:rPr>
      </w:pPr>
      <w:r>
        <w:rPr>
          <w:spacing w:val="-4"/>
          <w:sz w:val="24"/>
        </w:rPr>
        <w:t>审批并落实环境污染事故应急救援所需的监测仪器、防护器材、救援器材等的购置。</w:t>
      </w:r>
    </w:p>
    <w:p>
      <w:pPr>
        <w:pStyle w:val="23"/>
        <w:numPr>
          <w:ilvl w:val="0"/>
          <w:numId w:val="18"/>
        </w:numPr>
        <w:tabs>
          <w:tab w:val="left" w:pos="1321"/>
        </w:tabs>
        <w:spacing w:before="160" w:line="362" w:lineRule="auto"/>
        <w:ind w:right="240" w:firstLine="480"/>
        <w:rPr>
          <w:sz w:val="24"/>
        </w:rPr>
      </w:pPr>
      <w:r>
        <w:rPr>
          <w:spacing w:val="-1"/>
          <w:sz w:val="24"/>
        </w:rPr>
        <w:t>检查、督促做好环境污染事故的预防措施和应急救援的各项准备工作，督促、协助</w:t>
      </w:r>
      <w:r>
        <w:rPr>
          <w:sz w:val="24"/>
        </w:rPr>
        <w:t>有关部门及时阻止和消除有毒有害物质的泄漏。</w:t>
      </w:r>
    </w:p>
    <w:p>
      <w:pPr>
        <w:pStyle w:val="23"/>
        <w:numPr>
          <w:ilvl w:val="0"/>
          <w:numId w:val="18"/>
        </w:numPr>
        <w:tabs>
          <w:tab w:val="left" w:pos="1321"/>
        </w:tabs>
        <w:spacing w:before="3"/>
        <w:ind w:left="1321"/>
        <w:rPr>
          <w:sz w:val="24"/>
        </w:rPr>
      </w:pPr>
      <w:r>
        <w:rPr>
          <w:sz w:val="24"/>
        </w:rPr>
        <w:t>批准应急救援的启动和终止。</w:t>
      </w:r>
    </w:p>
    <w:p>
      <w:pPr>
        <w:pStyle w:val="23"/>
        <w:numPr>
          <w:ilvl w:val="0"/>
          <w:numId w:val="18"/>
        </w:numPr>
        <w:tabs>
          <w:tab w:val="left" w:pos="1321"/>
        </w:tabs>
        <w:spacing w:before="160" w:line="364" w:lineRule="auto"/>
        <w:ind w:right="240" w:firstLine="480"/>
        <w:rPr>
          <w:sz w:val="24"/>
        </w:rPr>
      </w:pPr>
      <w:r>
        <w:rPr>
          <w:spacing w:val="-1"/>
          <w:sz w:val="24"/>
        </w:rPr>
        <w:t>及时向主管环境保护部门报告环境污染事故的具体情况，必要时向有关单位发出增</w:t>
      </w:r>
      <w:r>
        <w:rPr>
          <w:sz w:val="24"/>
        </w:rPr>
        <w:t>援请求，并向周边单位通报相关情况。</w:t>
      </w:r>
    </w:p>
    <w:p>
      <w:pPr>
        <w:pStyle w:val="23"/>
        <w:numPr>
          <w:ilvl w:val="0"/>
          <w:numId w:val="18"/>
        </w:numPr>
        <w:tabs>
          <w:tab w:val="left" w:pos="1321"/>
        </w:tabs>
        <w:spacing w:line="306" w:lineRule="exact"/>
        <w:ind w:left="1321"/>
        <w:rPr>
          <w:sz w:val="24"/>
        </w:rPr>
      </w:pPr>
      <w:r>
        <w:rPr>
          <w:sz w:val="24"/>
        </w:rPr>
        <w:t>组织指挥救援队伍实施救援行动，负责人员、资源配置、应急队伍的调动。</w:t>
      </w:r>
    </w:p>
    <w:p>
      <w:pPr>
        <w:pStyle w:val="23"/>
        <w:numPr>
          <w:ilvl w:val="0"/>
          <w:numId w:val="18"/>
        </w:numPr>
        <w:tabs>
          <w:tab w:val="left" w:pos="1321"/>
        </w:tabs>
        <w:spacing w:before="161"/>
        <w:ind w:left="1321"/>
        <w:rPr>
          <w:sz w:val="24"/>
        </w:rPr>
      </w:pPr>
      <w:r>
        <w:rPr>
          <w:spacing w:val="-5"/>
          <w:sz w:val="24"/>
        </w:rPr>
        <w:t>协调事故现场有关工作。配合政府部门对环境进行恢复、事故调查、经验教训总结。</w:t>
      </w:r>
    </w:p>
    <w:p>
      <w:pPr>
        <w:pStyle w:val="23"/>
        <w:numPr>
          <w:ilvl w:val="0"/>
          <w:numId w:val="18"/>
        </w:numPr>
        <w:tabs>
          <w:tab w:val="left" w:pos="1321"/>
        </w:tabs>
        <w:spacing w:before="158" w:line="364" w:lineRule="auto"/>
        <w:ind w:right="240" w:firstLine="480"/>
        <w:rPr>
          <w:sz w:val="24"/>
        </w:rPr>
      </w:pPr>
      <w:r>
        <w:rPr>
          <w:spacing w:val="-1"/>
          <w:sz w:val="24"/>
        </w:rPr>
        <w:t>负责对员工进行应急知识和基本防护方法的培训，向周边企业、居民提供本单位有</w:t>
      </w:r>
      <w:r>
        <w:rPr>
          <w:sz w:val="24"/>
        </w:rPr>
        <w:t>关危险化学品特性、救援知识等的宣传材料。</w:t>
      </w:r>
    </w:p>
    <w:p>
      <w:pPr>
        <w:pStyle w:val="9"/>
        <w:tabs>
          <w:tab w:val="left" w:pos="4735"/>
        </w:tabs>
        <w:spacing w:before="1"/>
        <w:ind w:left="3636"/>
        <w:jc w:val="left"/>
      </w:pPr>
      <w:r>
        <w:t>表</w:t>
      </w:r>
      <w:r>
        <w:rPr>
          <w:spacing w:val="-2"/>
        </w:rPr>
        <w:t xml:space="preserve"> </w:t>
      </w:r>
      <w:r>
        <w:rPr>
          <w:rFonts w:ascii="Times New Roman" w:eastAsia="Times New Roman"/>
        </w:rPr>
        <w:t>3.3-1</w:t>
      </w:r>
      <w:r>
        <w:rPr>
          <w:rFonts w:ascii="Times New Roman" w:eastAsia="Times New Roman"/>
        </w:rPr>
        <w:tab/>
      </w:r>
      <w:r>
        <w:t>应急指挥部成员清单</w:t>
      </w:r>
    </w:p>
    <w:p>
      <w:pPr>
        <w:pStyle w:val="10"/>
        <w:spacing w:before="2" w:after="1"/>
        <w:rPr>
          <w:b/>
          <w:sz w:val="12"/>
        </w:rPr>
      </w:pPr>
    </w:p>
    <w:tbl>
      <w:tblPr>
        <w:tblStyle w:val="15"/>
        <w:tblW w:w="0" w:type="auto"/>
        <w:tblInd w:w="12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180"/>
        <w:gridCol w:w="1595"/>
        <w:gridCol w:w="3181"/>
        <w:gridCol w:w="200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180" w:type="dxa"/>
            <w:tcBorders>
              <w:left w:val="nil"/>
              <w:bottom w:val="single" w:color="000000" w:sz="4" w:space="0"/>
              <w:right w:val="single" w:color="000000" w:sz="4" w:space="0"/>
            </w:tcBorders>
          </w:tcPr>
          <w:p>
            <w:pPr>
              <w:pStyle w:val="24"/>
              <w:spacing w:before="21"/>
              <w:ind w:left="1162" w:right="1129"/>
              <w:jc w:val="center"/>
              <w:rPr>
                <w:b/>
                <w:sz w:val="21"/>
              </w:rPr>
            </w:pPr>
            <w:r>
              <w:rPr>
                <w:b/>
                <w:sz w:val="21"/>
              </w:rPr>
              <w:t>应急机构</w:t>
            </w:r>
          </w:p>
        </w:tc>
        <w:tc>
          <w:tcPr>
            <w:tcW w:w="1595" w:type="dxa"/>
            <w:tcBorders>
              <w:left w:val="single" w:color="000000" w:sz="4" w:space="0"/>
              <w:bottom w:val="single" w:color="000000" w:sz="4" w:space="0"/>
              <w:right w:val="single" w:color="000000" w:sz="4" w:space="0"/>
            </w:tcBorders>
          </w:tcPr>
          <w:p>
            <w:pPr>
              <w:pStyle w:val="24"/>
              <w:spacing w:before="21"/>
              <w:ind w:left="471" w:right="442"/>
              <w:jc w:val="center"/>
              <w:rPr>
                <w:b/>
                <w:sz w:val="21"/>
              </w:rPr>
            </w:pPr>
            <w:r>
              <w:rPr>
                <w:b/>
                <w:sz w:val="21"/>
              </w:rPr>
              <w:t>姓名</w:t>
            </w:r>
          </w:p>
        </w:tc>
        <w:tc>
          <w:tcPr>
            <w:tcW w:w="3181" w:type="dxa"/>
            <w:tcBorders>
              <w:left w:val="single" w:color="000000" w:sz="4" w:space="0"/>
              <w:bottom w:val="single" w:color="000000" w:sz="4" w:space="0"/>
              <w:right w:val="single" w:color="000000" w:sz="4" w:space="0"/>
            </w:tcBorders>
          </w:tcPr>
          <w:p>
            <w:pPr>
              <w:pStyle w:val="24"/>
              <w:spacing w:before="21"/>
              <w:ind w:left="424" w:right="395"/>
              <w:jc w:val="center"/>
              <w:rPr>
                <w:b/>
                <w:sz w:val="21"/>
              </w:rPr>
            </w:pPr>
            <w:r>
              <w:rPr>
                <w:b/>
                <w:sz w:val="21"/>
              </w:rPr>
              <w:t>应急职务</w:t>
            </w:r>
          </w:p>
        </w:tc>
        <w:tc>
          <w:tcPr>
            <w:tcW w:w="2000" w:type="dxa"/>
            <w:tcBorders>
              <w:left w:val="single" w:color="000000" w:sz="4" w:space="0"/>
              <w:bottom w:val="single" w:color="000000" w:sz="4" w:space="0"/>
              <w:right w:val="nil"/>
            </w:tcBorders>
          </w:tcPr>
          <w:p>
            <w:pPr>
              <w:pStyle w:val="24"/>
              <w:spacing w:before="21"/>
              <w:ind w:left="410" w:right="383"/>
              <w:jc w:val="center"/>
              <w:rPr>
                <w:b/>
                <w:sz w:val="21"/>
              </w:rPr>
            </w:pPr>
            <w:r>
              <w:rPr>
                <w:b/>
                <w:sz w:val="21"/>
              </w:rPr>
              <w:t>联系方式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180" w:type="dxa"/>
            <w:vMerge w:val="restart"/>
            <w:tcBorders>
              <w:top w:val="single" w:color="000000" w:sz="4" w:space="0"/>
              <w:left w:val="nil"/>
              <w:bottom w:val="single" w:color="000000" w:sz="4" w:space="0"/>
              <w:right w:val="single" w:color="000000" w:sz="4" w:space="0"/>
            </w:tcBorders>
          </w:tcPr>
          <w:p>
            <w:pPr>
              <w:jc w:val="center"/>
              <w:rPr>
                <w:szCs w:val="21"/>
              </w:rPr>
            </w:pPr>
          </w:p>
          <w:p>
            <w:pPr>
              <w:jc w:val="center"/>
              <w:rPr>
                <w:sz w:val="21"/>
              </w:rPr>
            </w:pPr>
            <w:r>
              <w:rPr>
                <w:rFonts w:hint="eastAsia"/>
                <w:szCs w:val="21"/>
              </w:rPr>
              <w:t>应急救援指挥部</w:t>
            </w: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刘智东</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总指挥</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13907246986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180" w:type="dxa"/>
            <w:vMerge w:val="continue"/>
            <w:tcBorders>
              <w:top w:val="nil"/>
              <w:left w:val="nil"/>
              <w:bottom w:val="single" w:color="000000" w:sz="4" w:space="0"/>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马奇</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副总指挥（办公室主任）</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15327822228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180" w:type="dxa"/>
            <w:vMerge w:val="restart"/>
            <w:tcBorders>
              <w:top w:val="single" w:color="000000" w:sz="4" w:space="0"/>
              <w:left w:val="nil"/>
              <w:bottom w:val="single" w:color="000000" w:sz="4" w:space="0"/>
              <w:right w:val="single" w:color="000000" w:sz="4" w:space="0"/>
            </w:tcBorders>
          </w:tcPr>
          <w:p>
            <w:pPr>
              <w:jc w:val="center"/>
              <w:rPr>
                <w:szCs w:val="21"/>
              </w:rPr>
            </w:pPr>
          </w:p>
          <w:p>
            <w:pPr>
              <w:jc w:val="center"/>
              <w:rPr>
                <w:szCs w:val="21"/>
              </w:rPr>
            </w:pPr>
          </w:p>
          <w:p>
            <w:pPr>
              <w:jc w:val="center"/>
              <w:rPr>
                <w:sz w:val="21"/>
              </w:rPr>
            </w:pPr>
            <w:r>
              <w:rPr>
                <w:rFonts w:hint="eastAsia"/>
                <w:szCs w:val="21"/>
              </w:rPr>
              <w:t>疏散救援组</w:t>
            </w: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童漫</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组长</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13339870717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180" w:type="dxa"/>
            <w:vMerge w:val="continue"/>
            <w:tcBorders>
              <w:top w:val="nil"/>
              <w:left w:val="nil"/>
              <w:bottom w:val="single" w:color="000000" w:sz="4" w:space="0"/>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周海平</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13135961176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180" w:type="dxa"/>
            <w:vMerge w:val="continue"/>
            <w:tcBorders>
              <w:top w:val="nil"/>
              <w:left w:val="nil"/>
              <w:bottom w:val="single" w:color="000000" w:sz="4" w:space="0"/>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刘亚美</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15871946633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180" w:type="dxa"/>
            <w:vMerge w:val="continue"/>
            <w:tcBorders>
              <w:top w:val="nil"/>
              <w:left w:val="nil"/>
              <w:bottom w:val="single" w:color="000000" w:sz="4" w:space="0"/>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柒楚英</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18971815337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180" w:type="dxa"/>
            <w:vMerge w:val="restart"/>
            <w:tcBorders>
              <w:top w:val="single" w:color="000000" w:sz="4" w:space="0"/>
              <w:left w:val="nil"/>
              <w:bottom w:val="single" w:color="000000" w:sz="4" w:space="0"/>
              <w:right w:val="single" w:color="000000" w:sz="4" w:space="0"/>
            </w:tcBorders>
          </w:tcPr>
          <w:p>
            <w:pPr>
              <w:jc w:val="center"/>
              <w:rPr>
                <w:szCs w:val="21"/>
              </w:rPr>
            </w:pPr>
          </w:p>
          <w:p>
            <w:pPr>
              <w:ind w:firstLine="1100" w:firstLineChars="500"/>
              <w:jc w:val="both"/>
              <w:rPr>
                <w:sz w:val="21"/>
              </w:rPr>
            </w:pPr>
            <w:r>
              <w:rPr>
                <w:rFonts w:hint="eastAsia"/>
              </w:rPr>
              <w:t>环境监测组</w:t>
            </w: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徐萍</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组长</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15586785968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180" w:type="dxa"/>
            <w:vMerge w:val="continue"/>
            <w:tcBorders>
              <w:top w:val="nil"/>
              <w:left w:val="nil"/>
              <w:bottom w:val="single" w:color="000000" w:sz="4" w:space="0"/>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马景新</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13367152491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180" w:type="dxa"/>
            <w:vMerge w:val="continue"/>
            <w:tcBorders>
              <w:top w:val="nil"/>
              <w:left w:val="nil"/>
              <w:bottom w:val="single" w:color="000000" w:sz="4" w:space="0"/>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刘亚美</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15871946633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2" w:hRule="atLeast"/>
        </w:trPr>
        <w:tc>
          <w:tcPr>
            <w:tcW w:w="3180" w:type="dxa"/>
            <w:vMerge w:val="restart"/>
            <w:tcBorders>
              <w:top w:val="single" w:color="000000" w:sz="4" w:space="0"/>
              <w:left w:val="nil"/>
              <w:right w:val="single" w:color="000000" w:sz="4" w:space="0"/>
            </w:tcBorders>
          </w:tcPr>
          <w:p>
            <w:pPr>
              <w:jc w:val="center"/>
              <w:rPr>
                <w:szCs w:val="21"/>
              </w:rPr>
            </w:pPr>
          </w:p>
          <w:p>
            <w:pPr>
              <w:ind w:firstLine="1100" w:firstLineChars="500"/>
              <w:jc w:val="both"/>
              <w:rPr>
                <w:sz w:val="21"/>
              </w:rPr>
            </w:pPr>
            <w:r>
              <w:rPr>
                <w:rFonts w:hint="eastAsia"/>
                <w:szCs w:val="21"/>
              </w:rPr>
              <w:t>后勤医疗组</w:t>
            </w: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刘佳</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组长</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17720331617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3180" w:type="dxa"/>
            <w:vMerge w:val="continue"/>
            <w:tcBorders>
              <w:top w:val="nil"/>
              <w:left w:val="nil"/>
              <w:bottom w:val="nil"/>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刘高云</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13972856366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3180" w:type="dxa"/>
            <w:tcBorders>
              <w:top w:val="nil"/>
              <w:left w:val="nil"/>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Cs w:val="21"/>
              </w:rPr>
            </w:pPr>
            <w:r>
              <w:rPr>
                <w:rFonts w:hint="eastAsia"/>
                <w:szCs w:val="21"/>
              </w:rPr>
              <w:t>马景新</w:t>
            </w:r>
          </w:p>
        </w:tc>
        <w:tc>
          <w:tcPr>
            <w:tcW w:w="3181" w:type="dxa"/>
            <w:tcBorders>
              <w:top w:val="single" w:color="000000" w:sz="4" w:space="0"/>
              <w:left w:val="single" w:color="000000" w:sz="4" w:space="0"/>
              <w:bottom w:val="single" w:color="000000" w:sz="4" w:space="0"/>
              <w:right w:val="single" w:color="000000" w:sz="4" w:space="0"/>
            </w:tcBorders>
          </w:tcPr>
          <w:p>
            <w:pPr>
              <w:jc w:val="center"/>
              <w:rPr>
                <w:szCs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szCs w:val="21"/>
              </w:rPr>
            </w:pPr>
            <w:r>
              <w:rPr>
                <w:rFonts w:hint="eastAsia"/>
                <w:szCs w:val="21"/>
              </w:rPr>
              <w:t>13367152491</w:t>
            </w:r>
          </w:p>
        </w:tc>
      </w:tr>
    </w:tbl>
    <w:p>
      <w:pPr>
        <w:rPr>
          <w:rFonts w:ascii="Times New Roman"/>
          <w:sz w:val="21"/>
        </w:rPr>
        <w:sectPr>
          <w:footerReference r:id="rId6" w:type="default"/>
          <w:pgSz w:w="11910" w:h="16840"/>
          <w:pgMar w:top="1360" w:right="840" w:bottom="1180" w:left="840" w:header="882" w:footer="993" w:gutter="0"/>
          <w:pgNumType w:start="20"/>
          <w:cols w:space="720" w:num="1"/>
        </w:sectPr>
      </w:pPr>
    </w:p>
    <w:p>
      <w:pPr>
        <w:pStyle w:val="10"/>
        <w:spacing w:before="2"/>
        <w:rPr>
          <w:rFonts w:ascii="Times New Roman"/>
          <w:sz w:val="16"/>
        </w:rPr>
      </w:pPr>
    </w:p>
    <w:p>
      <w:pPr>
        <w:pStyle w:val="9"/>
        <w:spacing w:before="74"/>
        <w:ind w:left="5268" w:right="5256"/>
      </w:pPr>
      <w:r>
        <w:t xml:space="preserve">表 </w:t>
      </w:r>
      <w:r>
        <w:rPr>
          <w:rFonts w:ascii="Times New Roman" w:eastAsia="Times New Roman"/>
        </w:rPr>
        <w:t xml:space="preserve">3.3-2  </w:t>
      </w:r>
      <w:r>
        <w:t>应急指挥部成员及各工作小组职责</w:t>
      </w:r>
    </w:p>
    <w:p>
      <w:pPr>
        <w:pStyle w:val="10"/>
        <w:spacing w:before="5"/>
        <w:rPr>
          <w:b/>
          <w:sz w:val="12"/>
        </w:rPr>
      </w:pPr>
    </w:p>
    <w:tbl>
      <w:tblPr>
        <w:tblStyle w:val="15"/>
        <w:tblW w:w="0" w:type="auto"/>
        <w:tblInd w:w="12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06"/>
        <w:gridCol w:w="1349"/>
        <w:gridCol w:w="6455"/>
        <w:gridCol w:w="637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06" w:type="dxa"/>
            <w:tcBorders>
              <w:left w:val="nil"/>
              <w:bottom w:val="single" w:color="000000" w:sz="4" w:space="0"/>
              <w:right w:val="single" w:color="000000" w:sz="4" w:space="0"/>
            </w:tcBorders>
          </w:tcPr>
          <w:p>
            <w:pPr>
              <w:pStyle w:val="24"/>
              <w:spacing w:before="33"/>
              <w:ind w:left="158"/>
              <w:rPr>
                <w:b/>
                <w:sz w:val="21"/>
              </w:rPr>
            </w:pPr>
            <w:r>
              <w:rPr>
                <w:b/>
                <w:sz w:val="21"/>
              </w:rPr>
              <w:t>名称</w:t>
            </w:r>
          </w:p>
        </w:tc>
        <w:tc>
          <w:tcPr>
            <w:tcW w:w="1349" w:type="dxa"/>
            <w:tcBorders>
              <w:left w:val="single" w:color="000000" w:sz="4" w:space="0"/>
              <w:bottom w:val="single" w:color="000000" w:sz="4" w:space="0"/>
              <w:right w:val="single" w:color="000000" w:sz="4" w:space="0"/>
            </w:tcBorders>
          </w:tcPr>
          <w:p>
            <w:pPr>
              <w:pStyle w:val="24"/>
              <w:spacing w:before="33"/>
              <w:ind w:left="263"/>
              <w:rPr>
                <w:b/>
                <w:sz w:val="21"/>
              </w:rPr>
            </w:pPr>
            <w:r>
              <w:rPr>
                <w:b/>
                <w:sz w:val="21"/>
              </w:rPr>
              <w:t>组成人员</w:t>
            </w:r>
          </w:p>
        </w:tc>
        <w:tc>
          <w:tcPr>
            <w:tcW w:w="6455" w:type="dxa"/>
            <w:tcBorders>
              <w:left w:val="single" w:color="000000" w:sz="4" w:space="0"/>
              <w:bottom w:val="single" w:color="000000" w:sz="4" w:space="0"/>
              <w:right w:val="single" w:color="000000" w:sz="4" w:space="0"/>
            </w:tcBorders>
          </w:tcPr>
          <w:p>
            <w:pPr>
              <w:pStyle w:val="24"/>
              <w:spacing w:before="33"/>
              <w:ind w:left="2796" w:right="2765"/>
              <w:jc w:val="center"/>
              <w:rPr>
                <w:b/>
                <w:sz w:val="21"/>
              </w:rPr>
            </w:pPr>
            <w:r>
              <w:rPr>
                <w:b/>
                <w:sz w:val="21"/>
              </w:rPr>
              <w:t>日常职责</w:t>
            </w:r>
          </w:p>
        </w:tc>
        <w:tc>
          <w:tcPr>
            <w:tcW w:w="6372" w:type="dxa"/>
            <w:tcBorders>
              <w:left w:val="single" w:color="000000" w:sz="4" w:space="0"/>
              <w:bottom w:val="single" w:color="000000" w:sz="4" w:space="0"/>
              <w:right w:val="nil"/>
            </w:tcBorders>
          </w:tcPr>
          <w:p>
            <w:pPr>
              <w:pStyle w:val="24"/>
              <w:spacing w:before="33"/>
              <w:ind w:left="2230" w:right="2199"/>
              <w:jc w:val="center"/>
              <w:rPr>
                <w:b/>
                <w:sz w:val="21"/>
              </w:rPr>
            </w:pPr>
            <w:r>
              <w:rPr>
                <w:b/>
                <w:sz w:val="21"/>
              </w:rPr>
              <w:t>应急状态下工作职责</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61" w:hRule="atLeast"/>
        </w:trPr>
        <w:tc>
          <w:tcPr>
            <w:tcW w:w="706" w:type="dxa"/>
            <w:vMerge w:val="restart"/>
            <w:tcBorders>
              <w:top w:val="single" w:color="000000" w:sz="4" w:space="0"/>
              <w:left w:val="nil"/>
              <w:bottom w:val="single" w:color="000000" w:sz="4" w:space="0"/>
              <w:right w:val="single" w:color="000000" w:sz="4" w:space="0"/>
            </w:tcBorders>
          </w:tcPr>
          <w:p>
            <w:pPr>
              <w:pStyle w:val="24"/>
              <w:rPr>
                <w:b/>
                <w:sz w:val="20"/>
              </w:rPr>
            </w:pPr>
          </w:p>
          <w:p>
            <w:pPr>
              <w:pStyle w:val="24"/>
              <w:rPr>
                <w:b/>
                <w:sz w:val="20"/>
              </w:rPr>
            </w:pPr>
          </w:p>
          <w:p>
            <w:pPr>
              <w:pStyle w:val="24"/>
              <w:rPr>
                <w:b/>
                <w:sz w:val="20"/>
              </w:rPr>
            </w:pPr>
          </w:p>
          <w:p>
            <w:pPr>
              <w:pStyle w:val="24"/>
              <w:rPr>
                <w:b/>
                <w:sz w:val="20"/>
              </w:rPr>
            </w:pPr>
          </w:p>
          <w:p>
            <w:pPr>
              <w:pStyle w:val="24"/>
              <w:rPr>
                <w:b/>
                <w:sz w:val="20"/>
              </w:rPr>
            </w:pPr>
          </w:p>
          <w:p>
            <w:pPr>
              <w:pStyle w:val="24"/>
              <w:spacing w:before="3"/>
              <w:rPr>
                <w:b/>
                <w:sz w:val="17"/>
              </w:rPr>
            </w:pPr>
          </w:p>
          <w:p>
            <w:pPr>
              <w:pStyle w:val="24"/>
              <w:spacing w:line="242" w:lineRule="auto"/>
              <w:ind w:left="158" w:right="122"/>
              <w:jc w:val="both"/>
              <w:rPr>
                <w:sz w:val="21"/>
              </w:rPr>
            </w:pPr>
            <w:r>
              <w:rPr>
                <w:sz w:val="21"/>
              </w:rPr>
              <w:t>应急指挥部</w:t>
            </w:r>
          </w:p>
        </w:tc>
        <w:tc>
          <w:tcPr>
            <w:tcW w:w="1349" w:type="dxa"/>
            <w:tcBorders>
              <w:top w:val="single" w:color="000000" w:sz="4" w:space="0"/>
              <w:left w:val="single" w:color="000000" w:sz="4" w:space="0"/>
              <w:bottom w:val="single" w:color="000000" w:sz="4" w:space="0"/>
              <w:right w:val="single" w:color="000000" w:sz="4" w:space="0"/>
            </w:tcBorders>
          </w:tcPr>
          <w:p>
            <w:pPr>
              <w:pStyle w:val="24"/>
              <w:rPr>
                <w:b/>
                <w:sz w:val="20"/>
              </w:rPr>
            </w:pPr>
          </w:p>
          <w:p>
            <w:pPr>
              <w:pStyle w:val="24"/>
              <w:spacing w:before="152" w:line="242" w:lineRule="auto"/>
              <w:ind w:left="369" w:right="339"/>
              <w:rPr>
                <w:sz w:val="21"/>
              </w:rPr>
            </w:pPr>
            <w:r>
              <w:rPr>
                <w:sz w:val="21"/>
              </w:rPr>
              <w:t>总指挥</w:t>
            </w:r>
            <w:r>
              <w:rPr>
                <w:rFonts w:hint="eastAsia"/>
                <w:sz w:val="21"/>
              </w:rPr>
              <w:t>刘智东</w:t>
            </w:r>
          </w:p>
        </w:tc>
        <w:tc>
          <w:tcPr>
            <w:tcW w:w="6455" w:type="dxa"/>
            <w:tcBorders>
              <w:top w:val="single" w:color="000000" w:sz="4" w:space="0"/>
              <w:left w:val="single" w:color="000000" w:sz="4" w:space="0"/>
              <w:bottom w:val="single" w:color="000000" w:sz="4" w:space="0"/>
              <w:right w:val="single" w:color="000000" w:sz="4" w:space="0"/>
            </w:tcBorders>
          </w:tcPr>
          <w:p>
            <w:pPr>
              <w:pStyle w:val="24"/>
              <w:spacing w:before="2"/>
              <w:rPr>
                <w:b/>
                <w:sz w:val="21"/>
              </w:rPr>
            </w:pPr>
          </w:p>
          <w:p>
            <w:pPr>
              <w:pStyle w:val="24"/>
              <w:spacing w:line="242" w:lineRule="auto"/>
              <w:ind w:left="116" w:right="-29" w:firstLine="420"/>
              <w:rPr>
                <w:sz w:val="21"/>
              </w:rPr>
            </w:pPr>
            <w:r>
              <w:rPr>
                <w:spacing w:val="-5"/>
                <w:sz w:val="21"/>
              </w:rPr>
              <w:t>全面负责企业工作；组织应急预案的编制和修订；审核、批准应</w:t>
            </w:r>
            <w:r>
              <w:rPr>
                <w:spacing w:val="-14"/>
                <w:sz w:val="21"/>
              </w:rPr>
              <w:t>急预案；审核、批准综合和专项应急预案的演练方案；审批应急费用； 组织应急队伍建设、指挥应急机构运作。</w:t>
            </w:r>
          </w:p>
        </w:tc>
        <w:tc>
          <w:tcPr>
            <w:tcW w:w="6372" w:type="dxa"/>
            <w:tcBorders>
              <w:top w:val="single" w:color="000000" w:sz="4" w:space="0"/>
              <w:left w:val="single" w:color="000000" w:sz="4" w:space="0"/>
              <w:bottom w:val="single" w:color="000000" w:sz="4" w:space="0"/>
              <w:right w:val="nil"/>
            </w:tcBorders>
          </w:tcPr>
          <w:p>
            <w:pPr>
              <w:pStyle w:val="24"/>
              <w:spacing w:line="242" w:lineRule="auto"/>
              <w:ind w:left="117" w:right="124" w:firstLine="420"/>
              <w:jc w:val="both"/>
              <w:rPr>
                <w:sz w:val="21"/>
              </w:rPr>
            </w:pPr>
            <w:r>
              <w:rPr>
                <w:spacing w:val="-4"/>
                <w:sz w:val="21"/>
              </w:rPr>
              <w:t xml:space="preserve">全面指挥应急机构开展工作；发布 </w:t>
            </w:r>
            <w:r>
              <w:rPr>
                <w:rFonts w:ascii="Times New Roman" w:eastAsia="Times New Roman"/>
                <w:sz w:val="21"/>
              </w:rPr>
              <w:t xml:space="preserve">II </w:t>
            </w:r>
            <w:r>
              <w:rPr>
                <w:sz w:val="21"/>
              </w:rPr>
              <w:t>级预警解除和应急响应的启动、终止指令；审定并签发向上一级应急指挥中心和政府相关部门的突发事件情况报告；审定并发布突发事件信息；负责或授权指定代表向相关政府部门、媒体等通报事故原因、救援进展及社会公</w:t>
            </w:r>
          </w:p>
          <w:p>
            <w:pPr>
              <w:pStyle w:val="24"/>
              <w:spacing w:before="2" w:line="252" w:lineRule="exact"/>
              <w:ind w:left="117"/>
              <w:rPr>
                <w:sz w:val="21"/>
              </w:rPr>
            </w:pPr>
            <w:r>
              <w:rPr>
                <w:sz w:val="21"/>
              </w:rPr>
              <w:t>众急需了解的情况等。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51" w:hRule="atLeast"/>
        </w:trPr>
        <w:tc>
          <w:tcPr>
            <w:tcW w:w="706" w:type="dxa"/>
            <w:vMerge w:val="continue"/>
            <w:tcBorders>
              <w:top w:val="nil"/>
              <w:left w:val="nil"/>
              <w:bottom w:val="single" w:color="000000" w:sz="4" w:space="0"/>
              <w:right w:val="single" w:color="000000" w:sz="4" w:space="0"/>
            </w:tcBorders>
          </w:tcPr>
          <w:p>
            <w:pPr>
              <w:rPr>
                <w:sz w:val="2"/>
                <w:szCs w:val="2"/>
              </w:rPr>
            </w:pPr>
          </w:p>
        </w:tc>
        <w:tc>
          <w:tcPr>
            <w:tcW w:w="1349" w:type="dxa"/>
            <w:tcBorders>
              <w:top w:val="single" w:color="000000" w:sz="4" w:space="0"/>
              <w:left w:val="single" w:color="000000" w:sz="4" w:space="0"/>
              <w:bottom w:val="single" w:color="000000" w:sz="4" w:space="0"/>
              <w:right w:val="single" w:color="000000" w:sz="4" w:space="0"/>
            </w:tcBorders>
          </w:tcPr>
          <w:p>
            <w:pPr>
              <w:pStyle w:val="24"/>
              <w:rPr>
                <w:b/>
                <w:sz w:val="20"/>
              </w:rPr>
            </w:pPr>
          </w:p>
          <w:p>
            <w:pPr>
              <w:pStyle w:val="24"/>
              <w:rPr>
                <w:b/>
                <w:sz w:val="20"/>
              </w:rPr>
            </w:pPr>
          </w:p>
          <w:p>
            <w:pPr>
              <w:pStyle w:val="24"/>
              <w:spacing w:before="9"/>
              <w:rPr>
                <w:b/>
                <w:sz w:val="23"/>
              </w:rPr>
            </w:pPr>
          </w:p>
          <w:p>
            <w:pPr>
              <w:pStyle w:val="24"/>
              <w:spacing w:before="1" w:line="242" w:lineRule="auto"/>
              <w:ind w:left="129" w:right="101"/>
              <w:jc w:val="center"/>
              <w:rPr>
                <w:sz w:val="21"/>
              </w:rPr>
            </w:pPr>
            <w:r>
              <w:rPr>
                <w:sz w:val="21"/>
              </w:rPr>
              <w:t>副总指挥</w:t>
            </w:r>
            <w:r>
              <w:rPr>
                <w:rFonts w:ascii="Times New Roman" w:eastAsia="Times New Roman"/>
                <w:sz w:val="21"/>
              </w:rPr>
              <w:t>/</w:t>
            </w:r>
            <w:r>
              <w:rPr>
                <w:spacing w:val="-16"/>
                <w:sz w:val="21"/>
              </w:rPr>
              <w:t>办</w:t>
            </w:r>
            <w:r>
              <w:rPr>
                <w:sz w:val="21"/>
              </w:rPr>
              <w:t xml:space="preserve">公室主任 </w:t>
            </w:r>
            <w:r>
              <w:rPr>
                <w:rFonts w:hint="eastAsia"/>
                <w:sz w:val="21"/>
              </w:rPr>
              <w:t>马奇</w:t>
            </w:r>
          </w:p>
        </w:tc>
        <w:tc>
          <w:tcPr>
            <w:tcW w:w="6455" w:type="dxa"/>
            <w:tcBorders>
              <w:top w:val="single" w:color="000000" w:sz="4" w:space="0"/>
              <w:left w:val="single" w:color="000000" w:sz="4" w:space="0"/>
              <w:bottom w:val="single" w:color="000000" w:sz="4" w:space="0"/>
              <w:right w:val="single" w:color="000000" w:sz="4" w:space="0"/>
            </w:tcBorders>
          </w:tcPr>
          <w:p>
            <w:pPr>
              <w:pStyle w:val="24"/>
              <w:spacing w:before="1" w:line="242" w:lineRule="auto"/>
              <w:ind w:left="116" w:right="88" w:firstLine="420"/>
              <w:jc w:val="both"/>
              <w:rPr>
                <w:sz w:val="21"/>
              </w:rPr>
            </w:pPr>
            <w:r>
              <w:rPr>
                <w:spacing w:val="-4"/>
                <w:w w:val="95"/>
                <w:sz w:val="21"/>
              </w:rPr>
              <w:t xml:space="preserve">协助总指挥落实企业各项应急工作；协助总指挥、副总指挥组织 </w:t>
            </w:r>
            <w:r>
              <w:rPr>
                <w:spacing w:val="-8"/>
                <w:w w:val="95"/>
                <w:sz w:val="21"/>
              </w:rPr>
              <w:t xml:space="preserve">应急预案的编制和修订；协助总指挥审核应急预案；协助总指挥审核  </w:t>
            </w:r>
            <w:r>
              <w:rPr>
                <w:spacing w:val="-11"/>
                <w:w w:val="95"/>
                <w:sz w:val="21"/>
              </w:rPr>
              <w:t xml:space="preserve">综合和专项应急预案的演练方案；协助总指挥组织应急队伍建设、指  </w:t>
            </w:r>
            <w:r>
              <w:rPr>
                <w:spacing w:val="-11"/>
                <w:sz w:val="21"/>
              </w:rPr>
              <w:t>挥应急机构运作。</w:t>
            </w:r>
          </w:p>
          <w:p>
            <w:pPr>
              <w:pStyle w:val="24"/>
              <w:spacing w:line="242" w:lineRule="auto"/>
              <w:ind w:left="116" w:right="27" w:firstLine="420"/>
              <w:jc w:val="both"/>
              <w:rPr>
                <w:sz w:val="21"/>
              </w:rPr>
            </w:pPr>
            <w:r>
              <w:rPr>
                <w:w w:val="95"/>
                <w:sz w:val="21"/>
              </w:rPr>
              <w:t xml:space="preserve">实时更新公司内、外部应急资源的联系方式，确保事故发生时， </w:t>
            </w:r>
            <w:r>
              <w:rPr>
                <w:spacing w:val="-7"/>
                <w:sz w:val="21"/>
              </w:rPr>
              <w:t>内、外应急队伍的联系方式真实有效；负责通讯维护，保障突发事件</w:t>
            </w:r>
            <w:r>
              <w:rPr>
                <w:spacing w:val="-10"/>
                <w:sz w:val="21"/>
              </w:rPr>
              <w:t>信息传递的畅通；熟悉应急参与部门、人员的联系方式和通讯录，以</w:t>
            </w:r>
          </w:p>
          <w:p>
            <w:pPr>
              <w:pStyle w:val="24"/>
              <w:spacing w:before="2" w:line="270" w:lineRule="atLeast"/>
              <w:ind w:left="116" w:right="88"/>
              <w:rPr>
                <w:sz w:val="21"/>
              </w:rPr>
            </w:pPr>
            <w:r>
              <w:rPr>
                <w:spacing w:val="-3"/>
                <w:w w:val="95"/>
                <w:sz w:val="21"/>
              </w:rPr>
              <w:t xml:space="preserve">及并能快速的通知上级应急单位和外部应急机构；指导并协助基层单  </w:t>
            </w:r>
            <w:r>
              <w:rPr>
                <w:spacing w:val="-3"/>
                <w:sz w:val="21"/>
              </w:rPr>
              <w:t>位做好政策解释工作。</w:t>
            </w:r>
          </w:p>
        </w:tc>
        <w:tc>
          <w:tcPr>
            <w:tcW w:w="6372" w:type="dxa"/>
            <w:tcBorders>
              <w:top w:val="single" w:color="000000" w:sz="4" w:space="0"/>
              <w:left w:val="single" w:color="000000" w:sz="4" w:space="0"/>
              <w:bottom w:val="single" w:color="000000" w:sz="4" w:space="0"/>
              <w:right w:val="nil"/>
            </w:tcBorders>
          </w:tcPr>
          <w:p>
            <w:pPr>
              <w:pStyle w:val="24"/>
              <w:spacing w:before="1" w:line="242" w:lineRule="auto"/>
              <w:ind w:left="117" w:right="-15" w:firstLine="420"/>
              <w:rPr>
                <w:sz w:val="21"/>
              </w:rPr>
            </w:pPr>
            <w:r>
              <w:rPr>
                <w:spacing w:val="-3"/>
                <w:w w:val="95"/>
                <w:sz w:val="21"/>
              </w:rPr>
              <w:t xml:space="preserve">协助总指挥开展应急工作；现场协调各应急专业组分工合作；、 </w:t>
            </w:r>
            <w:r>
              <w:rPr>
                <w:spacing w:val="-3"/>
                <w:sz w:val="21"/>
              </w:rPr>
              <w:t>总指挥、副总指挥不在岗且未授权指定代表行使其职责时，代理执行总指挥职责。</w:t>
            </w:r>
          </w:p>
          <w:p>
            <w:pPr>
              <w:pStyle w:val="24"/>
              <w:spacing w:line="242" w:lineRule="auto"/>
              <w:ind w:left="117" w:right="93" w:firstLine="420"/>
              <w:jc w:val="both"/>
              <w:rPr>
                <w:sz w:val="21"/>
              </w:rPr>
            </w:pPr>
            <w:r>
              <w:rPr>
                <w:spacing w:val="10"/>
                <w:w w:val="95"/>
                <w:sz w:val="21"/>
              </w:rPr>
              <w:t xml:space="preserve">承担与当地区域或各职能管理部门的应急指挥机构的联系工 </w:t>
            </w:r>
            <w:r>
              <w:rPr>
                <w:sz w:val="21"/>
              </w:rPr>
              <w:t>作，及时将事故发生情况及最新进展向有关部门汇报，并将上级指挥机构的命令及时向应急指挥小组汇报；编制新闻发布方案，决定新闻发布内容，负责新闻发布，接受记者采访；收集、跟踪舆论， 及时向上级或有关部门汇报、通报情况；通过各种方式，针对性地</w:t>
            </w:r>
          </w:p>
          <w:p>
            <w:pPr>
              <w:pStyle w:val="24"/>
              <w:spacing w:before="2" w:line="253" w:lineRule="exact"/>
              <w:ind w:left="117"/>
              <w:rPr>
                <w:sz w:val="21"/>
              </w:rPr>
            </w:pPr>
            <w:r>
              <w:rPr>
                <w:sz w:val="21"/>
              </w:rPr>
              <w:t>解疑释惑，澄清事实，批驳谣言，引导舆论。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67" w:hRule="atLeast"/>
        </w:trPr>
        <w:tc>
          <w:tcPr>
            <w:tcW w:w="706" w:type="dxa"/>
            <w:tcBorders>
              <w:top w:val="single" w:color="000000" w:sz="4" w:space="0"/>
              <w:left w:val="nil"/>
              <w:bottom w:val="single" w:color="000000" w:sz="4" w:space="0"/>
              <w:right w:val="single" w:color="000000" w:sz="4" w:space="0"/>
            </w:tcBorders>
          </w:tcPr>
          <w:p>
            <w:pPr>
              <w:pStyle w:val="24"/>
              <w:rPr>
                <w:b/>
                <w:sz w:val="20"/>
              </w:rPr>
            </w:pPr>
          </w:p>
          <w:p>
            <w:pPr>
              <w:pStyle w:val="24"/>
              <w:rPr>
                <w:b/>
                <w:sz w:val="20"/>
              </w:rPr>
            </w:pPr>
          </w:p>
          <w:p>
            <w:pPr>
              <w:pStyle w:val="24"/>
              <w:rPr>
                <w:b/>
                <w:sz w:val="20"/>
              </w:rPr>
            </w:pPr>
          </w:p>
          <w:p>
            <w:pPr>
              <w:pStyle w:val="24"/>
              <w:rPr>
                <w:b/>
                <w:sz w:val="20"/>
              </w:rPr>
            </w:pPr>
          </w:p>
          <w:p>
            <w:pPr>
              <w:pStyle w:val="24"/>
              <w:spacing w:before="6"/>
              <w:rPr>
                <w:b/>
                <w:sz w:val="15"/>
              </w:rPr>
            </w:pPr>
          </w:p>
          <w:p>
            <w:pPr>
              <w:pStyle w:val="24"/>
              <w:spacing w:before="1" w:line="242" w:lineRule="auto"/>
              <w:ind w:left="158" w:right="122"/>
              <w:jc w:val="both"/>
              <w:rPr>
                <w:sz w:val="21"/>
              </w:rPr>
            </w:pPr>
            <w:r>
              <w:rPr>
                <w:sz w:val="21"/>
              </w:rPr>
              <w:t>疏散救援组</w:t>
            </w:r>
          </w:p>
        </w:tc>
        <w:tc>
          <w:tcPr>
            <w:tcW w:w="1349" w:type="dxa"/>
            <w:tcBorders>
              <w:top w:val="single" w:color="000000" w:sz="4" w:space="0"/>
              <w:left w:val="single" w:color="000000" w:sz="4" w:space="0"/>
              <w:bottom w:val="single" w:color="000000" w:sz="4" w:space="0"/>
              <w:right w:val="single" w:color="000000" w:sz="4" w:space="0"/>
            </w:tcBorders>
          </w:tcPr>
          <w:p>
            <w:pPr>
              <w:pStyle w:val="24"/>
              <w:rPr>
                <w:b/>
                <w:sz w:val="20"/>
              </w:rPr>
            </w:pPr>
          </w:p>
          <w:p>
            <w:pPr>
              <w:pStyle w:val="24"/>
              <w:rPr>
                <w:b/>
                <w:sz w:val="20"/>
              </w:rPr>
            </w:pPr>
          </w:p>
          <w:p>
            <w:pPr>
              <w:pStyle w:val="24"/>
              <w:rPr>
                <w:b/>
                <w:sz w:val="20"/>
              </w:rPr>
            </w:pPr>
          </w:p>
          <w:p>
            <w:pPr>
              <w:pStyle w:val="24"/>
              <w:rPr>
                <w:b/>
                <w:sz w:val="25"/>
              </w:rPr>
            </w:pPr>
          </w:p>
          <w:p>
            <w:pPr>
              <w:pStyle w:val="24"/>
              <w:spacing w:line="242" w:lineRule="auto"/>
              <w:ind w:left="369" w:right="339"/>
              <w:jc w:val="both"/>
              <w:rPr>
                <w:sz w:val="21"/>
              </w:rPr>
            </w:pPr>
            <w:r>
              <w:rPr>
                <w:rFonts w:hint="eastAsia"/>
                <w:sz w:val="21"/>
              </w:rPr>
              <w:t>童曼</w:t>
            </w:r>
          </w:p>
          <w:p>
            <w:pPr>
              <w:pStyle w:val="24"/>
              <w:spacing w:line="242" w:lineRule="auto"/>
              <w:ind w:left="369" w:right="339"/>
              <w:jc w:val="both"/>
              <w:rPr>
                <w:sz w:val="21"/>
              </w:rPr>
            </w:pPr>
            <w:r>
              <w:rPr>
                <w:rFonts w:hint="eastAsia"/>
                <w:sz w:val="21"/>
              </w:rPr>
              <w:t>周海平</w:t>
            </w:r>
          </w:p>
          <w:p>
            <w:pPr>
              <w:pStyle w:val="24"/>
              <w:spacing w:line="242" w:lineRule="auto"/>
              <w:ind w:left="369" w:right="339"/>
              <w:jc w:val="both"/>
              <w:rPr>
                <w:sz w:val="21"/>
              </w:rPr>
            </w:pPr>
            <w:r>
              <w:rPr>
                <w:rFonts w:hint="eastAsia"/>
                <w:sz w:val="21"/>
              </w:rPr>
              <w:t>刘亚美</w:t>
            </w:r>
          </w:p>
          <w:p>
            <w:pPr>
              <w:pStyle w:val="24"/>
              <w:spacing w:line="242" w:lineRule="auto"/>
              <w:ind w:left="369" w:right="339"/>
              <w:jc w:val="both"/>
              <w:rPr>
                <w:sz w:val="21"/>
                <w:lang w:val="en-US"/>
              </w:rPr>
            </w:pPr>
            <w:r>
              <w:rPr>
                <w:rFonts w:hint="eastAsia"/>
                <w:sz w:val="21"/>
              </w:rPr>
              <w:t>柒楚英</w:t>
            </w:r>
          </w:p>
        </w:tc>
        <w:tc>
          <w:tcPr>
            <w:tcW w:w="6455" w:type="dxa"/>
            <w:tcBorders>
              <w:top w:val="single" w:color="000000" w:sz="4" w:space="0"/>
              <w:left w:val="single" w:color="000000" w:sz="4" w:space="0"/>
              <w:bottom w:val="single" w:color="000000" w:sz="4" w:space="0"/>
              <w:right w:val="single" w:color="000000" w:sz="4" w:space="0"/>
            </w:tcBorders>
          </w:tcPr>
          <w:p>
            <w:pPr>
              <w:pStyle w:val="24"/>
              <w:spacing w:line="242" w:lineRule="auto"/>
              <w:ind w:left="116" w:right="27" w:firstLine="420"/>
              <w:rPr>
                <w:sz w:val="21"/>
              </w:rPr>
            </w:pPr>
            <w:r>
              <w:rPr>
                <w:w w:val="95"/>
                <w:sz w:val="21"/>
              </w:rPr>
              <w:t xml:space="preserve">编制警戒疏散设备、器材需求计划并落实；负责警戒疏散设备、 </w:t>
            </w:r>
            <w:r>
              <w:rPr>
                <w:sz w:val="21"/>
              </w:rPr>
              <w:t>器材登记、管理；参与应急预案编制、修订、培训和演练。</w:t>
            </w:r>
          </w:p>
          <w:p>
            <w:pPr>
              <w:pStyle w:val="24"/>
              <w:spacing w:before="1" w:line="242" w:lineRule="auto"/>
              <w:ind w:left="116" w:right="27" w:firstLine="420"/>
              <w:jc w:val="both"/>
              <w:rPr>
                <w:sz w:val="21"/>
              </w:rPr>
            </w:pPr>
            <w:r>
              <w:rPr>
                <w:spacing w:val="-5"/>
                <w:sz w:val="21"/>
              </w:rPr>
              <w:t>参与制订并落实安全、环保管理制度；排查环保安全隐患，落实</w:t>
            </w:r>
            <w:r>
              <w:rPr>
                <w:spacing w:val="-10"/>
                <w:sz w:val="21"/>
              </w:rPr>
              <w:t>环保安全设施整改计划；编制应急救援物资、防护器材等需求计划并</w:t>
            </w:r>
            <w:r>
              <w:rPr>
                <w:spacing w:val="-9"/>
                <w:sz w:val="21"/>
              </w:rPr>
              <w:t>落实；组织编制与应急工作相关的人员培训计划，并负责应急培训工作总结；负责对员工进行应急知识和基本防护方法的培训，向周边企</w:t>
            </w:r>
            <w:r>
              <w:rPr>
                <w:spacing w:val="-9"/>
                <w:w w:val="95"/>
                <w:sz w:val="21"/>
              </w:rPr>
              <w:t xml:space="preserve">业、居民提供本单位有关危险化学品特性、救援知识等的宣传材料；  </w:t>
            </w:r>
            <w:r>
              <w:rPr>
                <w:spacing w:val="-10"/>
                <w:sz w:val="21"/>
              </w:rPr>
              <w:t>组织编制、修订环境应急预案；负责组织制订企业突发事件应急预案</w:t>
            </w:r>
            <w:r>
              <w:rPr>
                <w:spacing w:val="-11"/>
                <w:sz w:val="21"/>
              </w:rPr>
              <w:t>的演练方案，并组织实施、总结和评估；收集与本企业环境安全相关的资料、法律法规、标准规范等进行宣贯、培训；负责企业发生的各</w:t>
            </w:r>
          </w:p>
          <w:p>
            <w:pPr>
              <w:pStyle w:val="24"/>
              <w:spacing w:before="4" w:line="270" w:lineRule="atLeast"/>
              <w:ind w:left="116" w:right="88"/>
              <w:rPr>
                <w:sz w:val="21"/>
              </w:rPr>
            </w:pPr>
            <w:r>
              <w:rPr>
                <w:spacing w:val="-4"/>
                <w:w w:val="95"/>
                <w:sz w:val="21"/>
              </w:rPr>
              <w:t xml:space="preserve">类突发事件及处置情况的收集和汇总工作；承担应急指挥部交办的其  </w:t>
            </w:r>
            <w:r>
              <w:rPr>
                <w:spacing w:val="-4"/>
                <w:sz w:val="21"/>
              </w:rPr>
              <w:t>它任务。</w:t>
            </w:r>
          </w:p>
        </w:tc>
        <w:tc>
          <w:tcPr>
            <w:tcW w:w="6372" w:type="dxa"/>
            <w:tcBorders>
              <w:top w:val="single" w:color="000000" w:sz="4" w:space="0"/>
              <w:left w:val="single" w:color="000000" w:sz="4" w:space="0"/>
              <w:bottom w:val="single" w:color="000000" w:sz="4" w:space="0"/>
              <w:right w:val="nil"/>
            </w:tcBorders>
          </w:tcPr>
          <w:p>
            <w:pPr>
              <w:pStyle w:val="24"/>
              <w:spacing w:line="242" w:lineRule="auto"/>
              <w:ind w:left="117" w:right="158" w:firstLine="420"/>
              <w:jc w:val="both"/>
              <w:rPr>
                <w:sz w:val="21"/>
              </w:rPr>
            </w:pPr>
            <w:r>
              <w:rPr>
                <w:w w:val="95"/>
                <w:sz w:val="21"/>
              </w:rPr>
              <w:t xml:space="preserve">听到疏散信号后，指挥人员疏散；保证所有人（员工和外来人 员）从工作区域疏散；疏散后负责各部门列队站，指挥各部门负责  人清点人数后汇总；将疏散结果向指挥部报告；在事故现场设置警  戒线，不允许不必要人员和车辆进入，对事故现场外围区域进行保 </w:t>
            </w:r>
            <w:r>
              <w:rPr>
                <w:sz w:val="21"/>
              </w:rPr>
              <w:t>护，建立应急救援</w:t>
            </w:r>
            <w:r>
              <w:rPr>
                <w:rFonts w:ascii="Times New Roman" w:hAnsi="Times New Roman" w:eastAsia="Times New Roman"/>
                <w:sz w:val="21"/>
              </w:rPr>
              <w:t>“</w:t>
            </w:r>
            <w:r>
              <w:rPr>
                <w:sz w:val="21"/>
              </w:rPr>
              <w:t>绿色通道</w:t>
            </w:r>
            <w:r>
              <w:rPr>
                <w:rFonts w:ascii="Times New Roman" w:hAnsi="Times New Roman" w:eastAsia="Times New Roman"/>
                <w:sz w:val="21"/>
              </w:rPr>
              <w:t>”</w:t>
            </w:r>
            <w:r>
              <w:rPr>
                <w:sz w:val="21"/>
              </w:rPr>
              <w:t>；配合后勤医疗组或外来组织抢救伤员；外来后勤医疗组织到来时引导救援组织进入现场。</w:t>
            </w:r>
          </w:p>
          <w:p>
            <w:pPr>
              <w:pStyle w:val="24"/>
              <w:spacing w:before="4" w:line="242" w:lineRule="auto"/>
              <w:ind w:left="117" w:right="158" w:firstLine="420"/>
              <w:jc w:val="both"/>
              <w:rPr>
                <w:sz w:val="21"/>
              </w:rPr>
            </w:pPr>
            <w:r>
              <w:rPr>
                <w:w w:val="95"/>
                <w:sz w:val="21"/>
              </w:rPr>
              <w:t>接受现场指挥部的统一指挥，负责落实企业发生的各类突发事 件的人员抢救、现场灭火、设备抢修、污染物拦截、回收等抢险工  作；持续跟踪事件发展动态，及时向应急指挥部汇报、请示并落实  指令；派出现场指挥部的组成人员，参加现场应急工作；按照应急</w:t>
            </w:r>
          </w:p>
          <w:p>
            <w:pPr>
              <w:pStyle w:val="24"/>
              <w:spacing w:before="1" w:line="270" w:lineRule="atLeast"/>
              <w:ind w:left="117" w:right="158"/>
              <w:rPr>
                <w:sz w:val="21"/>
              </w:rPr>
            </w:pPr>
            <w:r>
              <w:rPr>
                <w:w w:val="95"/>
                <w:sz w:val="21"/>
              </w:rPr>
              <w:t xml:space="preserve">指挥部指令，负责组织调动和协调企业应急资源及外部救援单位应 </w:t>
            </w:r>
            <w:r>
              <w:rPr>
                <w:sz w:val="21"/>
              </w:rPr>
              <w:t>急救援力量；提出初步事故调查报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4" w:hRule="atLeast"/>
        </w:trPr>
        <w:tc>
          <w:tcPr>
            <w:tcW w:w="706" w:type="dxa"/>
            <w:tcBorders>
              <w:top w:val="single" w:color="000000" w:sz="4" w:space="0"/>
              <w:left w:val="nil"/>
              <w:right w:val="single" w:color="000000" w:sz="4" w:space="0"/>
            </w:tcBorders>
          </w:tcPr>
          <w:p>
            <w:pPr>
              <w:pStyle w:val="24"/>
              <w:spacing w:line="242" w:lineRule="auto"/>
              <w:ind w:left="158" w:right="122"/>
              <w:rPr>
                <w:sz w:val="21"/>
              </w:rPr>
            </w:pPr>
            <w:r>
              <w:rPr>
                <w:sz w:val="21"/>
              </w:rPr>
              <w:t>环境监测</w:t>
            </w:r>
          </w:p>
          <w:p>
            <w:pPr>
              <w:pStyle w:val="24"/>
              <w:spacing w:before="1" w:line="249" w:lineRule="exact"/>
              <w:ind w:left="261"/>
              <w:rPr>
                <w:sz w:val="21"/>
              </w:rPr>
            </w:pPr>
            <w:r>
              <w:rPr>
                <w:w w:val="99"/>
                <w:sz w:val="21"/>
              </w:rPr>
              <w:t>组</w:t>
            </w:r>
          </w:p>
        </w:tc>
        <w:tc>
          <w:tcPr>
            <w:tcW w:w="1349" w:type="dxa"/>
            <w:tcBorders>
              <w:top w:val="single" w:color="000000" w:sz="4" w:space="0"/>
              <w:left w:val="single" w:color="000000" w:sz="4" w:space="0"/>
              <w:right w:val="single" w:color="000000" w:sz="4" w:space="0"/>
            </w:tcBorders>
          </w:tcPr>
          <w:p>
            <w:pPr>
              <w:pStyle w:val="24"/>
              <w:spacing w:line="242" w:lineRule="auto"/>
              <w:ind w:left="369" w:right="339"/>
              <w:rPr>
                <w:sz w:val="21"/>
              </w:rPr>
            </w:pPr>
            <w:r>
              <w:rPr>
                <w:rFonts w:hint="eastAsia"/>
                <w:sz w:val="21"/>
              </w:rPr>
              <w:t>徐平</w:t>
            </w:r>
          </w:p>
          <w:p>
            <w:pPr>
              <w:pStyle w:val="24"/>
              <w:spacing w:line="242" w:lineRule="auto"/>
              <w:ind w:left="369" w:right="339"/>
              <w:rPr>
                <w:sz w:val="21"/>
              </w:rPr>
            </w:pPr>
            <w:r>
              <w:rPr>
                <w:rFonts w:hint="eastAsia"/>
                <w:sz w:val="21"/>
              </w:rPr>
              <w:t>马景新</w:t>
            </w:r>
          </w:p>
          <w:p>
            <w:pPr>
              <w:pStyle w:val="24"/>
              <w:spacing w:line="242" w:lineRule="auto"/>
              <w:ind w:left="369" w:right="339"/>
              <w:rPr>
                <w:sz w:val="21"/>
              </w:rPr>
            </w:pPr>
            <w:r>
              <w:rPr>
                <w:rFonts w:hint="eastAsia"/>
                <w:sz w:val="21"/>
              </w:rPr>
              <w:t>刘亚美</w:t>
            </w:r>
          </w:p>
        </w:tc>
        <w:tc>
          <w:tcPr>
            <w:tcW w:w="6455" w:type="dxa"/>
            <w:tcBorders>
              <w:top w:val="single" w:color="000000" w:sz="4" w:space="0"/>
              <w:left w:val="single" w:color="000000" w:sz="4" w:space="0"/>
              <w:right w:val="single" w:color="000000" w:sz="4" w:space="0"/>
            </w:tcBorders>
          </w:tcPr>
          <w:p>
            <w:pPr>
              <w:pStyle w:val="24"/>
              <w:spacing w:before="137" w:line="242" w:lineRule="auto"/>
              <w:ind w:left="116" w:right="27" w:firstLine="420"/>
              <w:rPr>
                <w:sz w:val="21"/>
              </w:rPr>
            </w:pPr>
            <w:r>
              <w:rPr>
                <w:w w:val="95"/>
                <w:sz w:val="21"/>
              </w:rPr>
              <w:t xml:space="preserve">掌握公司涉及的主要原辅材料、工艺流程和污染物的基本情况， </w:t>
            </w:r>
            <w:r>
              <w:rPr>
                <w:sz w:val="21"/>
              </w:rPr>
              <w:t>与上级生态环境部门及环境监测机构保持日常联系。</w:t>
            </w:r>
          </w:p>
        </w:tc>
        <w:tc>
          <w:tcPr>
            <w:tcW w:w="6372" w:type="dxa"/>
            <w:tcBorders>
              <w:top w:val="single" w:color="000000" w:sz="4" w:space="0"/>
              <w:left w:val="single" w:color="000000" w:sz="4" w:space="0"/>
              <w:right w:val="nil"/>
            </w:tcBorders>
          </w:tcPr>
          <w:p>
            <w:pPr>
              <w:pStyle w:val="24"/>
              <w:spacing w:before="137" w:line="242" w:lineRule="auto"/>
              <w:ind w:left="117" w:right="158" w:firstLine="420"/>
              <w:rPr>
                <w:sz w:val="21"/>
              </w:rPr>
            </w:pPr>
            <w:r>
              <w:rPr>
                <w:w w:val="95"/>
                <w:sz w:val="21"/>
              </w:rPr>
              <w:t xml:space="preserve">负责对事故现场及周边环境中的有毒有害物质进行监测，必要 </w:t>
            </w:r>
            <w:r>
              <w:rPr>
                <w:sz w:val="21"/>
              </w:rPr>
              <w:t>时请求专业环境监测机构提供支持；</w:t>
            </w:r>
          </w:p>
        </w:tc>
      </w:tr>
    </w:tbl>
    <w:p>
      <w:pPr>
        <w:spacing w:line="242" w:lineRule="auto"/>
        <w:rPr>
          <w:sz w:val="21"/>
        </w:rPr>
        <w:sectPr>
          <w:headerReference r:id="rId7" w:type="default"/>
          <w:footerReference r:id="rId8" w:type="default"/>
          <w:pgSz w:w="16840" w:h="11910" w:orient="landscape"/>
          <w:pgMar w:top="1180" w:right="840" w:bottom="1180" w:left="840" w:header="882" w:footer="993" w:gutter="0"/>
          <w:pgNumType w:start="21"/>
          <w:cols w:space="720" w:num="1"/>
        </w:sectPr>
      </w:pPr>
    </w:p>
    <w:p>
      <w:pPr>
        <w:pStyle w:val="10"/>
        <w:spacing w:before="6"/>
        <w:rPr>
          <w:rFonts w:ascii="Times New Roman"/>
          <w:sz w:val="22"/>
        </w:rPr>
      </w:pPr>
    </w:p>
    <w:tbl>
      <w:tblPr>
        <w:tblStyle w:val="15"/>
        <w:tblW w:w="0" w:type="auto"/>
        <w:tblInd w:w="12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06"/>
        <w:gridCol w:w="1349"/>
        <w:gridCol w:w="6455"/>
        <w:gridCol w:w="637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178" w:hRule="atLeast"/>
        </w:trPr>
        <w:tc>
          <w:tcPr>
            <w:tcW w:w="706" w:type="dxa"/>
            <w:tcBorders>
              <w:left w:val="nil"/>
              <w:right w:val="single" w:color="000000" w:sz="4" w:space="0"/>
            </w:tcBorders>
          </w:tcPr>
          <w:p>
            <w:pPr>
              <w:pStyle w:val="24"/>
              <w:rPr>
                <w:rFonts w:ascii="Times New Roman"/>
                <w:sz w:val="20"/>
              </w:rPr>
            </w:pPr>
          </w:p>
          <w:p>
            <w:pPr>
              <w:pStyle w:val="24"/>
              <w:rPr>
                <w:rFonts w:ascii="Times New Roman"/>
                <w:sz w:val="20"/>
              </w:rPr>
            </w:pPr>
          </w:p>
          <w:p>
            <w:pPr>
              <w:pStyle w:val="24"/>
              <w:spacing w:before="2"/>
              <w:rPr>
                <w:rFonts w:ascii="Times New Roman"/>
                <w:sz w:val="19"/>
              </w:rPr>
            </w:pPr>
          </w:p>
          <w:p>
            <w:pPr>
              <w:pStyle w:val="24"/>
              <w:spacing w:line="242" w:lineRule="auto"/>
              <w:ind w:left="158" w:right="122"/>
              <w:jc w:val="both"/>
              <w:rPr>
                <w:sz w:val="21"/>
              </w:rPr>
            </w:pPr>
            <w:r>
              <w:rPr>
                <w:sz w:val="21"/>
              </w:rPr>
              <w:t>后勤医疗组</w:t>
            </w:r>
          </w:p>
        </w:tc>
        <w:tc>
          <w:tcPr>
            <w:tcW w:w="1349" w:type="dxa"/>
            <w:tcBorders>
              <w:left w:val="single" w:color="000000" w:sz="4" w:space="0"/>
              <w:right w:val="single" w:color="000000" w:sz="4" w:space="0"/>
            </w:tcBorders>
          </w:tcPr>
          <w:p>
            <w:pPr>
              <w:pStyle w:val="24"/>
              <w:rPr>
                <w:rFonts w:ascii="Times New Roman"/>
                <w:sz w:val="20"/>
              </w:rPr>
            </w:pPr>
          </w:p>
          <w:p>
            <w:pPr>
              <w:pStyle w:val="24"/>
              <w:rPr>
                <w:rFonts w:ascii="Times New Roman"/>
                <w:sz w:val="20"/>
              </w:rPr>
            </w:pPr>
          </w:p>
          <w:p>
            <w:pPr>
              <w:pStyle w:val="24"/>
              <w:spacing w:before="2"/>
              <w:rPr>
                <w:rFonts w:ascii="Times New Roman"/>
                <w:sz w:val="19"/>
              </w:rPr>
            </w:pPr>
          </w:p>
          <w:p>
            <w:pPr>
              <w:pStyle w:val="24"/>
              <w:spacing w:line="242" w:lineRule="auto"/>
              <w:ind w:left="369" w:right="339"/>
              <w:jc w:val="both"/>
              <w:rPr>
                <w:sz w:val="21"/>
              </w:rPr>
            </w:pPr>
            <w:r>
              <w:rPr>
                <w:rFonts w:hint="eastAsia"/>
                <w:sz w:val="21"/>
              </w:rPr>
              <w:t>刘佳</w:t>
            </w:r>
          </w:p>
          <w:p>
            <w:pPr>
              <w:pStyle w:val="24"/>
              <w:spacing w:line="242" w:lineRule="auto"/>
              <w:ind w:left="369" w:right="339"/>
              <w:jc w:val="both"/>
              <w:rPr>
                <w:sz w:val="21"/>
              </w:rPr>
            </w:pPr>
            <w:r>
              <w:rPr>
                <w:rFonts w:hint="eastAsia"/>
                <w:sz w:val="21"/>
              </w:rPr>
              <w:t>刘高云</w:t>
            </w:r>
          </w:p>
          <w:p>
            <w:pPr>
              <w:pStyle w:val="24"/>
              <w:spacing w:line="242" w:lineRule="auto"/>
              <w:ind w:left="369" w:right="339"/>
              <w:rPr>
                <w:sz w:val="21"/>
              </w:rPr>
            </w:pPr>
            <w:r>
              <w:rPr>
                <w:rFonts w:hint="eastAsia"/>
                <w:sz w:val="21"/>
              </w:rPr>
              <w:t>马景新</w:t>
            </w:r>
          </w:p>
          <w:p>
            <w:pPr>
              <w:pStyle w:val="24"/>
              <w:spacing w:line="242" w:lineRule="auto"/>
              <w:ind w:left="369" w:right="339"/>
              <w:jc w:val="both"/>
              <w:rPr>
                <w:sz w:val="21"/>
              </w:rPr>
            </w:pPr>
          </w:p>
        </w:tc>
        <w:tc>
          <w:tcPr>
            <w:tcW w:w="6455" w:type="dxa"/>
            <w:tcBorders>
              <w:left w:val="single" w:color="000000" w:sz="4" w:space="0"/>
              <w:right w:val="single" w:color="000000" w:sz="4" w:space="0"/>
            </w:tcBorders>
          </w:tcPr>
          <w:p>
            <w:pPr>
              <w:pStyle w:val="24"/>
              <w:spacing w:before="136" w:line="242" w:lineRule="auto"/>
              <w:ind w:left="116" w:right="-29" w:firstLine="420"/>
              <w:rPr>
                <w:sz w:val="21"/>
              </w:rPr>
            </w:pPr>
            <w:r>
              <w:rPr>
                <w:sz w:val="21"/>
              </w:rPr>
              <w:t xml:space="preserve">负责公司生产经营账务处理和公司资金统筹，保障救援物资采 </w:t>
            </w:r>
            <w:r>
              <w:rPr>
                <w:spacing w:val="-14"/>
                <w:sz w:val="21"/>
              </w:rPr>
              <w:t xml:space="preserve">购、更新、更换所需资金；负责对应急工作的物资采购费用做出预算； </w:t>
            </w:r>
            <w:r>
              <w:rPr>
                <w:spacing w:val="-16"/>
                <w:sz w:val="21"/>
              </w:rPr>
              <w:t>参与编制公司应急救援物资需求计划，负责应急救援物资采购、物资供应；</w:t>
            </w:r>
          </w:p>
          <w:p>
            <w:pPr>
              <w:pStyle w:val="24"/>
              <w:spacing w:before="2" w:line="242" w:lineRule="auto"/>
              <w:ind w:left="116" w:right="10" w:firstLine="420"/>
              <w:rPr>
                <w:sz w:val="21"/>
              </w:rPr>
            </w:pPr>
            <w:r>
              <w:rPr>
                <w:w w:val="95"/>
                <w:sz w:val="21"/>
              </w:rPr>
              <w:t xml:space="preserve">负责突发事件应急处置费用的审计工作；负责公司相关款项收付 </w:t>
            </w:r>
            <w:r>
              <w:rPr>
                <w:sz w:val="21"/>
              </w:rPr>
              <w:t>工作，提供采购安全设施、用品所需资。</w:t>
            </w:r>
          </w:p>
          <w:p>
            <w:pPr>
              <w:pStyle w:val="24"/>
              <w:spacing w:before="2"/>
              <w:ind w:left="536"/>
              <w:rPr>
                <w:sz w:val="21"/>
              </w:rPr>
            </w:pPr>
            <w:r>
              <w:rPr>
                <w:sz w:val="21"/>
              </w:rPr>
              <w:t>医疗救护设备维护、检查、档案记录；常备药品管理。</w:t>
            </w:r>
          </w:p>
        </w:tc>
        <w:tc>
          <w:tcPr>
            <w:tcW w:w="6372" w:type="dxa"/>
            <w:tcBorders>
              <w:left w:val="single" w:color="000000" w:sz="4" w:space="0"/>
              <w:right w:val="nil"/>
            </w:tcBorders>
          </w:tcPr>
          <w:p>
            <w:pPr>
              <w:pStyle w:val="24"/>
              <w:spacing w:before="1" w:line="242" w:lineRule="auto"/>
              <w:ind w:left="117" w:right="158" w:firstLine="420"/>
              <w:jc w:val="both"/>
              <w:rPr>
                <w:sz w:val="21"/>
              </w:rPr>
            </w:pPr>
            <w:r>
              <w:rPr>
                <w:w w:val="95"/>
                <w:sz w:val="21"/>
              </w:rPr>
              <w:t xml:space="preserve">准备应急防护用品，放置在应急物资室，并定期清理和维护； 在事故发生时及时将有关应急装备、安全防护品、现场应急处置材  料等应急物资送到事故现场；负责厂区内的治安警戒、治安管理和  安全保卫工作，预防和打击违法活动，维护厂区交通秩序；负责厂 </w:t>
            </w:r>
            <w:r>
              <w:rPr>
                <w:sz w:val="21"/>
              </w:rPr>
              <w:t>区内车辆及装备的调试。</w:t>
            </w:r>
          </w:p>
          <w:p>
            <w:pPr>
              <w:pStyle w:val="24"/>
              <w:spacing w:before="2"/>
              <w:ind w:left="117" w:firstLine="420"/>
              <w:rPr>
                <w:sz w:val="21"/>
              </w:rPr>
            </w:pPr>
            <w:r>
              <w:rPr>
                <w:sz w:val="21"/>
              </w:rPr>
              <w:t>转移伤员至安全区域，并对伤员进行紧急处理；必要时向指挥</w:t>
            </w:r>
          </w:p>
          <w:p>
            <w:pPr>
              <w:pStyle w:val="24"/>
              <w:spacing w:before="4" w:line="270" w:lineRule="atLeast"/>
              <w:ind w:left="117" w:right="158"/>
              <w:rPr>
                <w:sz w:val="21"/>
              </w:rPr>
            </w:pPr>
            <w:r>
              <w:rPr>
                <w:w w:val="95"/>
                <w:sz w:val="21"/>
              </w:rPr>
              <w:t xml:space="preserve">部申请外部支援；护送伤员到相应医院抢救，并向指挥部随时报告 </w:t>
            </w:r>
            <w:r>
              <w:rPr>
                <w:sz w:val="21"/>
              </w:rPr>
              <w:t>伤员病情变化情况。</w:t>
            </w:r>
          </w:p>
        </w:tc>
      </w:tr>
    </w:tbl>
    <w:p>
      <w:pPr>
        <w:spacing w:line="270" w:lineRule="atLeast"/>
        <w:rPr>
          <w:sz w:val="21"/>
        </w:rPr>
        <w:sectPr>
          <w:pgSz w:w="16840" w:h="11910" w:orient="landscape"/>
          <w:pgMar w:top="1180" w:right="840" w:bottom="1180" w:left="840" w:header="882" w:footer="993" w:gutter="0"/>
          <w:cols w:space="720" w:num="1"/>
        </w:sectPr>
      </w:pPr>
    </w:p>
    <w:p>
      <w:pPr>
        <w:pStyle w:val="10"/>
        <w:spacing w:before="3"/>
        <w:rPr>
          <w:rFonts w:ascii="Times New Roman"/>
          <w:sz w:val="13"/>
        </w:rPr>
      </w:pPr>
    </w:p>
    <w:p>
      <w:pPr>
        <w:pStyle w:val="6"/>
        <w:numPr>
          <w:ilvl w:val="1"/>
          <w:numId w:val="6"/>
        </w:numPr>
        <w:tabs>
          <w:tab w:val="left" w:pos="766"/>
        </w:tabs>
        <w:spacing w:before="69"/>
      </w:pPr>
      <w:bookmarkStart w:id="83" w:name="3.4_外部指挥与协调"/>
      <w:bookmarkEnd w:id="83"/>
      <w:bookmarkStart w:id="84" w:name="_bookmark41"/>
      <w:bookmarkEnd w:id="84"/>
      <w:r>
        <w:t>外部指挥与协调</w:t>
      </w:r>
    </w:p>
    <w:p>
      <w:pPr>
        <w:pStyle w:val="10"/>
        <w:spacing w:before="7"/>
        <w:rPr>
          <w:b/>
          <w:sz w:val="27"/>
        </w:rPr>
      </w:pPr>
    </w:p>
    <w:p>
      <w:pPr>
        <w:pStyle w:val="10"/>
        <w:spacing w:line="364" w:lineRule="auto"/>
        <w:ind w:left="240" w:right="145" w:firstLine="480"/>
        <w:jc w:val="both"/>
      </w:pPr>
      <w:r>
        <w:rPr>
          <w:spacing w:val="-5"/>
        </w:rPr>
        <w:t>企业组织应急救援的能力有限，应急处置技术、设备不完善，发生突发环境事件时，可能</w:t>
      </w:r>
      <w:r>
        <w:rPr>
          <w:spacing w:val="-11"/>
        </w:rPr>
        <w:t>需要依托社会及相关政府机构。企业在发生突发环境事件时，紧紧依托赤壁市以及咸宁市的应</w:t>
      </w:r>
      <w:r>
        <w:rPr>
          <w:spacing w:val="-14"/>
        </w:rPr>
        <w:t>急救援组织机构、队伍、装备和物资等区域应急资源，更好应对突发环境事件。当发生突发环</w:t>
      </w:r>
      <w:r>
        <w:rPr>
          <w:spacing w:val="-15"/>
        </w:rPr>
        <w:t>境事件时，由企业应急指挥中心与赤壁市政府、咸宁市生态环境局赤壁市分局进行应急联动。</w:t>
      </w:r>
    </w:p>
    <w:p>
      <w:pPr>
        <w:pStyle w:val="9"/>
        <w:ind w:left="3453"/>
        <w:jc w:val="both"/>
      </w:pPr>
      <w:r>
        <w:t xml:space="preserve">表 </w:t>
      </w:r>
      <w:r>
        <w:rPr>
          <w:rFonts w:ascii="Times New Roman" w:eastAsia="Times New Roman"/>
        </w:rPr>
        <w:t xml:space="preserve">3.4-1  </w:t>
      </w:r>
      <w:r>
        <w:t>应急联动外部机构电话</w:t>
      </w:r>
    </w:p>
    <w:p>
      <w:pPr>
        <w:pStyle w:val="10"/>
        <w:spacing w:before="3"/>
        <w:rPr>
          <w:b/>
          <w:sz w:val="12"/>
        </w:rPr>
      </w:pPr>
    </w:p>
    <w:tbl>
      <w:tblPr>
        <w:tblStyle w:val="15"/>
        <w:tblW w:w="0" w:type="auto"/>
        <w:tblInd w:w="17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039"/>
        <w:gridCol w:w="481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left w:val="nil"/>
              <w:bottom w:val="single" w:color="000000" w:sz="4" w:space="0"/>
              <w:right w:val="single" w:color="000000" w:sz="4" w:space="0"/>
            </w:tcBorders>
          </w:tcPr>
          <w:p>
            <w:pPr>
              <w:pStyle w:val="24"/>
              <w:tabs>
                <w:tab w:val="left" w:pos="452"/>
              </w:tabs>
              <w:spacing w:before="33"/>
              <w:ind w:left="32"/>
              <w:jc w:val="center"/>
              <w:rPr>
                <w:b/>
                <w:sz w:val="21"/>
              </w:rPr>
            </w:pPr>
            <w:r>
              <w:rPr>
                <w:b/>
                <w:sz w:val="21"/>
              </w:rPr>
              <w:t>单</w:t>
            </w:r>
            <w:r>
              <w:rPr>
                <w:b/>
                <w:sz w:val="21"/>
              </w:rPr>
              <w:tab/>
            </w:r>
            <w:r>
              <w:rPr>
                <w:b/>
                <w:sz w:val="21"/>
              </w:rPr>
              <w:t>位</w:t>
            </w:r>
          </w:p>
        </w:tc>
        <w:tc>
          <w:tcPr>
            <w:tcW w:w="4814" w:type="dxa"/>
            <w:tcBorders>
              <w:left w:val="single" w:color="000000" w:sz="4" w:space="0"/>
              <w:bottom w:val="single" w:color="000000" w:sz="4" w:space="0"/>
              <w:right w:val="nil"/>
            </w:tcBorders>
          </w:tcPr>
          <w:p>
            <w:pPr>
              <w:pStyle w:val="24"/>
              <w:spacing w:before="33"/>
              <w:ind w:left="1292" w:right="1266"/>
              <w:jc w:val="center"/>
              <w:rPr>
                <w:b/>
                <w:sz w:val="21"/>
              </w:rPr>
            </w:pPr>
            <w:r>
              <w:rPr>
                <w:b/>
                <w:sz w:val="21"/>
              </w:rPr>
              <w:t>联系电话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3"/>
              <w:ind w:left="32"/>
              <w:jc w:val="center"/>
              <w:rPr>
                <w:sz w:val="21"/>
              </w:rPr>
            </w:pPr>
            <w:r>
              <w:rPr>
                <w:sz w:val="21"/>
              </w:rPr>
              <w:t>火警</w:t>
            </w:r>
          </w:p>
        </w:tc>
        <w:tc>
          <w:tcPr>
            <w:tcW w:w="4814" w:type="dxa"/>
            <w:tcBorders>
              <w:top w:val="single" w:color="000000" w:sz="4" w:space="0"/>
              <w:left w:val="single" w:color="000000" w:sz="4" w:space="0"/>
              <w:bottom w:val="single" w:color="000000" w:sz="4" w:space="0"/>
              <w:right w:val="nil"/>
            </w:tcBorders>
          </w:tcPr>
          <w:p>
            <w:pPr>
              <w:pStyle w:val="24"/>
              <w:spacing w:before="47"/>
              <w:ind w:left="1292" w:right="1267"/>
              <w:jc w:val="center"/>
              <w:rPr>
                <w:rFonts w:ascii="Times New Roman"/>
                <w:sz w:val="21"/>
              </w:rPr>
            </w:pPr>
            <w:r>
              <w:rPr>
                <w:rFonts w:ascii="Times New Roman"/>
                <w:sz w:val="21"/>
              </w:rPr>
              <w:t>119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3"/>
              <w:ind w:left="30"/>
              <w:jc w:val="center"/>
              <w:rPr>
                <w:sz w:val="21"/>
              </w:rPr>
            </w:pPr>
            <w:r>
              <w:rPr>
                <w:sz w:val="21"/>
              </w:rPr>
              <w:t>交通事件</w:t>
            </w:r>
          </w:p>
        </w:tc>
        <w:tc>
          <w:tcPr>
            <w:tcW w:w="4814" w:type="dxa"/>
            <w:tcBorders>
              <w:top w:val="single" w:color="000000" w:sz="4" w:space="0"/>
              <w:left w:val="single" w:color="000000" w:sz="4" w:space="0"/>
              <w:bottom w:val="single" w:color="000000" w:sz="4" w:space="0"/>
              <w:right w:val="nil"/>
            </w:tcBorders>
          </w:tcPr>
          <w:p>
            <w:pPr>
              <w:pStyle w:val="24"/>
              <w:spacing w:before="47"/>
              <w:ind w:left="1292" w:right="1270"/>
              <w:jc w:val="center"/>
              <w:rPr>
                <w:rFonts w:ascii="Times New Roman"/>
                <w:sz w:val="21"/>
              </w:rPr>
            </w:pPr>
            <w:r>
              <w:rPr>
                <w:rFonts w:ascii="Times New Roman"/>
                <w:sz w:val="21"/>
              </w:rPr>
              <w:t>122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4"/>
              <w:ind w:left="32"/>
              <w:jc w:val="center"/>
              <w:rPr>
                <w:sz w:val="21"/>
              </w:rPr>
            </w:pPr>
            <w:r>
              <w:rPr>
                <w:sz w:val="21"/>
              </w:rPr>
              <w:t>公安</w:t>
            </w:r>
          </w:p>
        </w:tc>
        <w:tc>
          <w:tcPr>
            <w:tcW w:w="4814" w:type="dxa"/>
            <w:tcBorders>
              <w:top w:val="single" w:color="000000" w:sz="4" w:space="0"/>
              <w:left w:val="single" w:color="000000" w:sz="4" w:space="0"/>
              <w:bottom w:val="single" w:color="000000" w:sz="4" w:space="0"/>
              <w:right w:val="nil"/>
            </w:tcBorders>
          </w:tcPr>
          <w:p>
            <w:pPr>
              <w:pStyle w:val="24"/>
              <w:spacing w:before="48"/>
              <w:ind w:left="1292" w:right="1267"/>
              <w:jc w:val="center"/>
              <w:rPr>
                <w:rFonts w:ascii="Times New Roman"/>
                <w:sz w:val="21"/>
              </w:rPr>
            </w:pPr>
            <w:r>
              <w:rPr>
                <w:rFonts w:ascii="Times New Roman"/>
                <w:sz w:val="21"/>
              </w:rPr>
              <w:t>110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2"/>
              <w:ind w:left="30"/>
              <w:jc w:val="center"/>
              <w:rPr>
                <w:sz w:val="21"/>
              </w:rPr>
            </w:pPr>
            <w:r>
              <w:rPr>
                <w:sz w:val="21"/>
              </w:rPr>
              <w:t>急救中心</w:t>
            </w:r>
          </w:p>
        </w:tc>
        <w:tc>
          <w:tcPr>
            <w:tcW w:w="4814" w:type="dxa"/>
            <w:tcBorders>
              <w:top w:val="single" w:color="000000" w:sz="4" w:space="0"/>
              <w:left w:val="single" w:color="000000" w:sz="4" w:space="0"/>
              <w:bottom w:val="single" w:color="000000" w:sz="4" w:space="0"/>
              <w:right w:val="nil"/>
            </w:tcBorders>
          </w:tcPr>
          <w:p>
            <w:pPr>
              <w:pStyle w:val="24"/>
              <w:spacing w:before="48"/>
              <w:ind w:left="1292" w:right="1270"/>
              <w:jc w:val="center"/>
              <w:rPr>
                <w:rFonts w:ascii="Times New Roman"/>
                <w:sz w:val="21"/>
              </w:rPr>
            </w:pPr>
            <w:r>
              <w:rPr>
                <w:rFonts w:ascii="Times New Roman"/>
                <w:sz w:val="21"/>
              </w:rPr>
              <w:t>120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2"/>
              <w:ind w:left="32"/>
              <w:jc w:val="center"/>
              <w:rPr>
                <w:sz w:val="21"/>
              </w:rPr>
            </w:pPr>
            <w:r>
              <w:rPr>
                <w:sz w:val="21"/>
              </w:rPr>
              <w:t>赤壁市人民政府</w:t>
            </w:r>
          </w:p>
        </w:tc>
        <w:tc>
          <w:tcPr>
            <w:tcW w:w="4814" w:type="dxa"/>
            <w:tcBorders>
              <w:top w:val="single" w:color="000000" w:sz="4" w:space="0"/>
              <w:left w:val="single" w:color="000000" w:sz="4" w:space="0"/>
              <w:bottom w:val="single" w:color="000000" w:sz="4" w:space="0"/>
              <w:right w:val="nil"/>
            </w:tcBorders>
          </w:tcPr>
          <w:p>
            <w:pPr>
              <w:pStyle w:val="24"/>
              <w:spacing w:before="48"/>
              <w:ind w:left="1292" w:right="1267"/>
              <w:jc w:val="center"/>
              <w:rPr>
                <w:rFonts w:ascii="Times New Roman"/>
                <w:sz w:val="21"/>
              </w:rPr>
            </w:pPr>
            <w:r>
              <w:rPr>
                <w:rFonts w:ascii="Times New Roman"/>
                <w:sz w:val="21"/>
              </w:rPr>
              <w:t>0715-5353105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3"/>
              <w:ind w:left="32"/>
              <w:jc w:val="center"/>
              <w:rPr>
                <w:sz w:val="21"/>
              </w:rPr>
            </w:pPr>
            <w:r>
              <w:rPr>
                <w:sz w:val="21"/>
              </w:rPr>
              <w:t>咸宁市中心医院</w:t>
            </w:r>
          </w:p>
        </w:tc>
        <w:tc>
          <w:tcPr>
            <w:tcW w:w="4814" w:type="dxa"/>
            <w:tcBorders>
              <w:top w:val="single" w:color="000000" w:sz="4" w:space="0"/>
              <w:left w:val="single" w:color="000000" w:sz="4" w:space="0"/>
              <w:bottom w:val="single" w:color="000000" w:sz="4" w:space="0"/>
              <w:right w:val="nil"/>
            </w:tcBorders>
          </w:tcPr>
          <w:p>
            <w:pPr>
              <w:pStyle w:val="24"/>
              <w:spacing w:before="49"/>
              <w:ind w:left="1292" w:right="1267"/>
              <w:jc w:val="center"/>
              <w:rPr>
                <w:rFonts w:ascii="Times New Roman"/>
                <w:sz w:val="21"/>
              </w:rPr>
            </w:pPr>
            <w:r>
              <w:rPr>
                <w:rFonts w:ascii="Times New Roman"/>
                <w:sz w:val="21"/>
              </w:rPr>
              <w:t>0715-8896013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3"/>
              <w:ind w:left="32"/>
              <w:jc w:val="center"/>
              <w:rPr>
                <w:sz w:val="21"/>
              </w:rPr>
            </w:pPr>
            <w:r>
              <w:rPr>
                <w:sz w:val="21"/>
              </w:rPr>
              <w:t>赤壁市人民医院</w:t>
            </w:r>
          </w:p>
        </w:tc>
        <w:tc>
          <w:tcPr>
            <w:tcW w:w="4814" w:type="dxa"/>
            <w:tcBorders>
              <w:top w:val="single" w:color="000000" w:sz="4" w:space="0"/>
              <w:left w:val="single" w:color="000000" w:sz="4" w:space="0"/>
              <w:bottom w:val="single" w:color="000000" w:sz="4" w:space="0"/>
              <w:right w:val="nil"/>
            </w:tcBorders>
          </w:tcPr>
          <w:p>
            <w:pPr>
              <w:pStyle w:val="24"/>
              <w:spacing w:before="47"/>
              <w:ind w:left="1292" w:right="1267"/>
              <w:jc w:val="center"/>
              <w:rPr>
                <w:rFonts w:ascii="Times New Roman"/>
                <w:sz w:val="21"/>
              </w:rPr>
            </w:pPr>
            <w:r>
              <w:rPr>
                <w:rFonts w:ascii="Times New Roman"/>
                <w:sz w:val="21"/>
              </w:rPr>
              <w:t>0715-5369000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3"/>
              <w:ind w:left="30"/>
              <w:jc w:val="center"/>
              <w:rPr>
                <w:sz w:val="21"/>
              </w:rPr>
            </w:pPr>
            <w:r>
              <w:rPr>
                <w:sz w:val="21"/>
              </w:rPr>
              <w:t>咸宁市生态环境局</w:t>
            </w:r>
          </w:p>
        </w:tc>
        <w:tc>
          <w:tcPr>
            <w:tcW w:w="4814" w:type="dxa"/>
            <w:tcBorders>
              <w:top w:val="single" w:color="000000" w:sz="4" w:space="0"/>
              <w:left w:val="single" w:color="000000" w:sz="4" w:space="0"/>
              <w:bottom w:val="single" w:color="000000" w:sz="4" w:space="0"/>
              <w:right w:val="nil"/>
            </w:tcBorders>
          </w:tcPr>
          <w:p>
            <w:pPr>
              <w:pStyle w:val="24"/>
              <w:spacing w:before="47"/>
              <w:ind w:left="1292" w:right="1267"/>
              <w:jc w:val="center"/>
              <w:rPr>
                <w:rFonts w:ascii="Times New Roman"/>
                <w:sz w:val="21"/>
              </w:rPr>
            </w:pPr>
            <w:r>
              <w:rPr>
                <w:rFonts w:ascii="Times New Roman"/>
                <w:sz w:val="21"/>
              </w:rPr>
              <w:t>0715-8271319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4"/>
              <w:ind w:left="30"/>
              <w:jc w:val="center"/>
              <w:rPr>
                <w:sz w:val="21"/>
              </w:rPr>
            </w:pPr>
            <w:r>
              <w:rPr>
                <w:sz w:val="21"/>
              </w:rPr>
              <w:t>咸宁市生态环境局赤壁市分局</w:t>
            </w:r>
          </w:p>
        </w:tc>
        <w:tc>
          <w:tcPr>
            <w:tcW w:w="4814" w:type="dxa"/>
            <w:tcBorders>
              <w:top w:val="single" w:color="000000" w:sz="4" w:space="0"/>
              <w:left w:val="single" w:color="000000" w:sz="4" w:space="0"/>
              <w:bottom w:val="single" w:color="000000" w:sz="4" w:space="0"/>
              <w:right w:val="nil"/>
            </w:tcBorders>
          </w:tcPr>
          <w:p>
            <w:pPr>
              <w:pStyle w:val="24"/>
              <w:spacing w:before="48"/>
              <w:ind w:left="1292" w:right="1267"/>
              <w:jc w:val="center"/>
              <w:rPr>
                <w:rFonts w:ascii="Times New Roman"/>
                <w:sz w:val="21"/>
              </w:rPr>
            </w:pPr>
            <w:r>
              <w:rPr>
                <w:rFonts w:ascii="Times New Roman"/>
                <w:sz w:val="21"/>
              </w:rPr>
              <w:t>0715-5355351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2"/>
              <w:ind w:left="32"/>
              <w:jc w:val="center"/>
              <w:rPr>
                <w:sz w:val="21"/>
              </w:rPr>
            </w:pPr>
            <w:r>
              <w:rPr>
                <w:sz w:val="21"/>
              </w:rPr>
              <w:t>赤壁市公安局</w:t>
            </w:r>
          </w:p>
        </w:tc>
        <w:tc>
          <w:tcPr>
            <w:tcW w:w="4814" w:type="dxa"/>
            <w:tcBorders>
              <w:top w:val="single" w:color="000000" w:sz="4" w:space="0"/>
              <w:left w:val="single" w:color="000000" w:sz="4" w:space="0"/>
              <w:bottom w:val="single" w:color="000000" w:sz="4" w:space="0"/>
              <w:right w:val="nil"/>
            </w:tcBorders>
          </w:tcPr>
          <w:p>
            <w:pPr>
              <w:pStyle w:val="24"/>
              <w:spacing w:before="48"/>
              <w:ind w:left="1292" w:right="1263"/>
              <w:jc w:val="center"/>
              <w:rPr>
                <w:rFonts w:ascii="Times New Roman"/>
                <w:sz w:val="21"/>
              </w:rPr>
            </w:pPr>
            <w:r>
              <w:rPr>
                <w:rFonts w:ascii="Times New Roman"/>
                <w:sz w:val="21"/>
              </w:rPr>
              <w:t>0715-5263411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2"/>
              <w:ind w:left="30"/>
              <w:jc w:val="center"/>
              <w:rPr>
                <w:sz w:val="21"/>
              </w:rPr>
            </w:pPr>
            <w:r>
              <w:rPr>
                <w:sz w:val="21"/>
              </w:rPr>
              <w:t>赤壁市应急管理局</w:t>
            </w:r>
          </w:p>
        </w:tc>
        <w:tc>
          <w:tcPr>
            <w:tcW w:w="4814" w:type="dxa"/>
            <w:tcBorders>
              <w:top w:val="single" w:color="000000" w:sz="4" w:space="0"/>
              <w:left w:val="single" w:color="000000" w:sz="4" w:space="0"/>
              <w:bottom w:val="single" w:color="000000" w:sz="4" w:space="0"/>
              <w:right w:val="nil"/>
            </w:tcBorders>
          </w:tcPr>
          <w:p>
            <w:pPr>
              <w:pStyle w:val="24"/>
              <w:spacing w:before="48"/>
              <w:ind w:left="1292" w:right="1267"/>
              <w:jc w:val="center"/>
              <w:rPr>
                <w:rFonts w:ascii="Times New Roman"/>
                <w:sz w:val="21"/>
              </w:rPr>
            </w:pPr>
            <w:r>
              <w:rPr>
                <w:rFonts w:ascii="Times New Roman"/>
                <w:sz w:val="21"/>
              </w:rPr>
              <w:t>0715-5353630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3"/>
              <w:ind w:left="30"/>
              <w:jc w:val="center"/>
              <w:rPr>
                <w:sz w:val="21"/>
              </w:rPr>
            </w:pPr>
            <w:r>
              <w:rPr>
                <w:sz w:val="21"/>
              </w:rPr>
              <w:t>赤壁市水利和湖泊局</w:t>
            </w:r>
          </w:p>
        </w:tc>
        <w:tc>
          <w:tcPr>
            <w:tcW w:w="4814" w:type="dxa"/>
            <w:tcBorders>
              <w:top w:val="single" w:color="000000" w:sz="4" w:space="0"/>
              <w:left w:val="single" w:color="000000" w:sz="4" w:space="0"/>
              <w:bottom w:val="single" w:color="000000" w:sz="4" w:space="0"/>
              <w:right w:val="nil"/>
            </w:tcBorders>
          </w:tcPr>
          <w:p>
            <w:pPr>
              <w:pStyle w:val="24"/>
              <w:spacing w:before="49"/>
              <w:ind w:left="1292" w:right="1267"/>
              <w:jc w:val="center"/>
              <w:rPr>
                <w:rFonts w:ascii="Times New Roman"/>
                <w:sz w:val="21"/>
              </w:rPr>
            </w:pPr>
            <w:r>
              <w:rPr>
                <w:rFonts w:ascii="Times New Roman"/>
                <w:sz w:val="21"/>
              </w:rPr>
              <w:t>0715-5351315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3"/>
              <w:ind w:left="32"/>
              <w:jc w:val="center"/>
              <w:rPr>
                <w:sz w:val="21"/>
              </w:rPr>
            </w:pPr>
            <w:r>
              <w:rPr>
                <w:sz w:val="21"/>
              </w:rPr>
              <w:t>赤壁市自然资源和规划局</w:t>
            </w:r>
          </w:p>
        </w:tc>
        <w:tc>
          <w:tcPr>
            <w:tcW w:w="4814" w:type="dxa"/>
            <w:tcBorders>
              <w:top w:val="single" w:color="000000" w:sz="4" w:space="0"/>
              <w:left w:val="single" w:color="000000" w:sz="4" w:space="0"/>
              <w:bottom w:val="single" w:color="000000" w:sz="4" w:space="0"/>
              <w:right w:val="nil"/>
            </w:tcBorders>
          </w:tcPr>
          <w:p>
            <w:pPr>
              <w:pStyle w:val="24"/>
              <w:spacing w:before="47"/>
              <w:ind w:left="1292" w:right="1267"/>
              <w:jc w:val="center"/>
              <w:rPr>
                <w:rFonts w:ascii="Times New Roman"/>
                <w:sz w:val="21"/>
              </w:rPr>
            </w:pPr>
            <w:r>
              <w:rPr>
                <w:rFonts w:ascii="Times New Roman"/>
                <w:sz w:val="21"/>
              </w:rPr>
              <w:t>0715-5350659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2"/>
              <w:ind w:left="30"/>
              <w:jc w:val="center"/>
              <w:rPr>
                <w:sz w:val="21"/>
              </w:rPr>
            </w:pPr>
            <w:r>
              <w:rPr>
                <w:rFonts w:hint="eastAsia"/>
                <w:sz w:val="21"/>
              </w:rPr>
              <w:t>陆水湖街道办</w:t>
            </w:r>
          </w:p>
        </w:tc>
        <w:tc>
          <w:tcPr>
            <w:tcW w:w="4814" w:type="dxa"/>
            <w:tcBorders>
              <w:top w:val="single" w:color="000000" w:sz="4" w:space="0"/>
              <w:left w:val="single" w:color="000000" w:sz="4" w:space="0"/>
              <w:bottom w:val="single" w:color="000000" w:sz="4" w:space="0"/>
              <w:right w:val="nil"/>
            </w:tcBorders>
          </w:tcPr>
          <w:p>
            <w:pPr>
              <w:pStyle w:val="24"/>
              <w:spacing w:before="48"/>
              <w:ind w:left="1292" w:right="1267"/>
              <w:jc w:val="center"/>
              <w:rPr>
                <w:rFonts w:ascii="Times New Roman"/>
                <w:sz w:val="21"/>
                <w:lang w:val="en-US"/>
              </w:rPr>
            </w:pPr>
            <w:r>
              <w:rPr>
                <w:rFonts w:ascii="Times New Roman"/>
                <w:sz w:val="21"/>
              </w:rPr>
              <w:t>0715-5</w:t>
            </w:r>
            <w:r>
              <w:rPr>
                <w:rFonts w:hint="eastAsia" w:ascii="Times New Roman"/>
                <w:sz w:val="21"/>
                <w:lang w:val="en-US"/>
              </w:rPr>
              <w:t>510037</w:t>
            </w:r>
          </w:p>
        </w:tc>
      </w:tr>
    </w:tbl>
    <w:p>
      <w:pPr>
        <w:jc w:val="center"/>
        <w:rPr>
          <w:sz w:val="21"/>
        </w:rPr>
        <w:sectPr>
          <w:headerReference r:id="rId9" w:type="default"/>
          <w:footerReference r:id="rId10" w:type="default"/>
          <w:pgSz w:w="11910" w:h="16840"/>
          <w:pgMar w:top="1360" w:right="840" w:bottom="1180" w:left="840" w:header="882" w:footer="993" w:gutter="0"/>
          <w:pgNumType w:start="23"/>
          <w:cols w:space="720" w:num="1"/>
        </w:sectPr>
      </w:pPr>
    </w:p>
    <w:p>
      <w:pPr>
        <w:pStyle w:val="10"/>
        <w:spacing w:before="3"/>
        <w:rPr>
          <w:b/>
          <w:sz w:val="12"/>
        </w:rPr>
      </w:pPr>
    </w:p>
    <w:p>
      <w:pPr>
        <w:pStyle w:val="5"/>
        <w:numPr>
          <w:ilvl w:val="0"/>
          <w:numId w:val="6"/>
        </w:numPr>
        <w:tabs>
          <w:tab w:val="left" w:pos="560"/>
        </w:tabs>
        <w:ind w:left="559" w:hanging="320"/>
      </w:pPr>
      <w:bookmarkStart w:id="85" w:name="_bookmark42"/>
      <w:bookmarkEnd w:id="85"/>
      <w:bookmarkStart w:id="86" w:name="4_预防与预警机制"/>
      <w:bookmarkEnd w:id="86"/>
      <w:r>
        <w:t>预防与预警机制</w:t>
      </w:r>
    </w:p>
    <w:p>
      <w:pPr>
        <w:pStyle w:val="10"/>
        <w:spacing w:before="10"/>
        <w:rPr>
          <w:b/>
          <w:sz w:val="28"/>
        </w:rPr>
      </w:pPr>
    </w:p>
    <w:p>
      <w:pPr>
        <w:pStyle w:val="10"/>
        <w:spacing w:line="364" w:lineRule="auto"/>
        <w:ind w:left="240" w:right="145" w:firstLine="480"/>
      </w:pPr>
      <w:r>
        <w:rPr>
          <w:spacing w:val="-1"/>
        </w:rPr>
        <w:t xml:space="preserve">针对企业危险源，企业采取了相应的安全防范措施，以便能够及时地对发现的事故隐患， </w:t>
      </w:r>
      <w:r>
        <w:rPr>
          <w:spacing w:val="-6"/>
        </w:rPr>
        <w:t>第一时间采取相应的紧急措施，避免事故的发生或事态的扩大，确保装置安全运行，避免环境事故发生。</w:t>
      </w:r>
    </w:p>
    <w:p>
      <w:pPr>
        <w:pStyle w:val="6"/>
        <w:numPr>
          <w:ilvl w:val="1"/>
          <w:numId w:val="6"/>
        </w:numPr>
        <w:tabs>
          <w:tab w:val="left" w:pos="766"/>
        </w:tabs>
        <w:spacing w:before="155"/>
      </w:pPr>
      <w:bookmarkStart w:id="87" w:name="_bookmark43"/>
      <w:bookmarkEnd w:id="87"/>
      <w:bookmarkStart w:id="88" w:name="4.1_预防"/>
      <w:bookmarkEnd w:id="88"/>
      <w:r>
        <w:t>预防</w:t>
      </w:r>
    </w:p>
    <w:p>
      <w:pPr>
        <w:pStyle w:val="10"/>
        <w:spacing w:before="8"/>
        <w:rPr>
          <w:b/>
          <w:sz w:val="27"/>
        </w:rPr>
      </w:pPr>
    </w:p>
    <w:p>
      <w:pPr>
        <w:pStyle w:val="23"/>
        <w:numPr>
          <w:ilvl w:val="2"/>
          <w:numId w:val="6"/>
        </w:numPr>
        <w:tabs>
          <w:tab w:val="left" w:pos="941"/>
        </w:tabs>
        <w:ind w:left="940" w:hanging="701"/>
        <w:rPr>
          <w:b/>
          <w:sz w:val="28"/>
        </w:rPr>
      </w:pPr>
      <w:bookmarkStart w:id="89" w:name="4.1.1_管理制度保障"/>
      <w:bookmarkEnd w:id="89"/>
      <w:bookmarkStart w:id="90" w:name="_bookmark44"/>
      <w:bookmarkEnd w:id="90"/>
      <w:r>
        <w:rPr>
          <w:b/>
          <w:sz w:val="28"/>
        </w:rPr>
        <w:t>管理制度保障</w:t>
      </w:r>
    </w:p>
    <w:p>
      <w:pPr>
        <w:pStyle w:val="10"/>
        <w:spacing w:before="8"/>
        <w:rPr>
          <w:b/>
          <w:sz w:val="26"/>
        </w:rPr>
      </w:pPr>
    </w:p>
    <w:p>
      <w:pPr>
        <w:pStyle w:val="10"/>
        <w:ind w:left="720"/>
      </w:pPr>
      <w:r>
        <w:t>企业建立、实施适用的环境保护制度和标准化作业规范，包括但不限于以下制度：</w:t>
      </w:r>
    </w:p>
    <w:p>
      <w:pPr>
        <w:pStyle w:val="23"/>
        <w:numPr>
          <w:ilvl w:val="0"/>
          <w:numId w:val="19"/>
        </w:numPr>
        <w:tabs>
          <w:tab w:val="left" w:pos="1321"/>
        </w:tabs>
        <w:spacing w:before="160" w:line="364" w:lineRule="auto"/>
        <w:ind w:right="237" w:firstLine="480"/>
        <w:jc w:val="both"/>
        <w:rPr>
          <w:sz w:val="24"/>
        </w:rPr>
      </w:pPr>
      <w:r>
        <w:rPr>
          <w:spacing w:val="-1"/>
          <w:sz w:val="24"/>
        </w:rPr>
        <w:t>环境保护责任制度。企业成立应急工作领导小组、特种设备安全生产领导小组，明</w:t>
      </w:r>
      <w:r>
        <w:rPr>
          <w:spacing w:val="-7"/>
          <w:sz w:val="24"/>
        </w:rPr>
        <w:t>确从企业领导到各车间、工作人员的环境保护职责，特别是环境保护装置的维护、维修岗位人</w:t>
      </w:r>
      <w:r>
        <w:rPr>
          <w:sz w:val="24"/>
        </w:rPr>
        <w:t>员的职责。</w:t>
      </w:r>
    </w:p>
    <w:p>
      <w:pPr>
        <w:pStyle w:val="23"/>
        <w:numPr>
          <w:ilvl w:val="0"/>
          <w:numId w:val="19"/>
        </w:numPr>
        <w:tabs>
          <w:tab w:val="left" w:pos="1321"/>
        </w:tabs>
        <w:spacing w:line="364" w:lineRule="auto"/>
        <w:ind w:right="240" w:firstLine="480"/>
        <w:rPr>
          <w:sz w:val="24"/>
        </w:rPr>
      </w:pPr>
      <w:r>
        <w:rPr>
          <w:spacing w:val="-1"/>
          <w:sz w:val="24"/>
        </w:rPr>
        <w:t>环境保护目标与考核制度。明确环境保护目标，将环境保护目标纳入年度部门、个</w:t>
      </w:r>
      <w:r>
        <w:rPr>
          <w:sz w:val="24"/>
        </w:rPr>
        <w:t>人的绩效考核中，对出现管理失误导致突发环境事件的，予以</w:t>
      </w:r>
      <w:r>
        <w:rPr>
          <w:rFonts w:ascii="Times New Roman" w:hAnsi="Times New Roman" w:eastAsia="Times New Roman"/>
          <w:sz w:val="24"/>
        </w:rPr>
        <w:t>“</w:t>
      </w:r>
      <w:r>
        <w:rPr>
          <w:sz w:val="24"/>
        </w:rPr>
        <w:t>一票否决</w:t>
      </w:r>
      <w:r>
        <w:rPr>
          <w:rFonts w:ascii="Times New Roman" w:hAnsi="Times New Roman" w:eastAsia="Times New Roman"/>
          <w:sz w:val="24"/>
        </w:rPr>
        <w:t>”</w:t>
      </w:r>
      <w:r>
        <w:rPr>
          <w:sz w:val="24"/>
        </w:rPr>
        <w:t>。</w:t>
      </w:r>
    </w:p>
    <w:p>
      <w:pPr>
        <w:pStyle w:val="23"/>
        <w:numPr>
          <w:ilvl w:val="0"/>
          <w:numId w:val="19"/>
        </w:numPr>
        <w:tabs>
          <w:tab w:val="left" w:pos="1321"/>
        </w:tabs>
        <w:spacing w:line="364" w:lineRule="auto"/>
        <w:ind w:right="237" w:firstLine="480"/>
        <w:rPr>
          <w:sz w:val="24"/>
        </w:rPr>
      </w:pPr>
      <w:r>
        <w:rPr>
          <w:spacing w:val="-1"/>
          <w:sz w:val="24"/>
        </w:rPr>
        <w:t>环境保护装置的维修保养制度及操作规程，明确维修保养周期及要求，明确应急物</w:t>
      </w:r>
      <w:r>
        <w:rPr>
          <w:sz w:val="24"/>
        </w:rPr>
        <w:t>资的检查巡查制度要求。</w:t>
      </w:r>
    </w:p>
    <w:p>
      <w:pPr>
        <w:pStyle w:val="23"/>
        <w:numPr>
          <w:ilvl w:val="0"/>
          <w:numId w:val="19"/>
        </w:numPr>
        <w:tabs>
          <w:tab w:val="left" w:pos="1321"/>
        </w:tabs>
        <w:spacing w:line="362" w:lineRule="auto"/>
        <w:ind w:right="240" w:firstLine="480"/>
        <w:rPr>
          <w:sz w:val="24"/>
        </w:rPr>
      </w:pPr>
      <w:r>
        <w:rPr>
          <w:spacing w:val="-1"/>
          <w:sz w:val="24"/>
        </w:rPr>
        <w:t>企业针对各个可能发生环境污染事件的环节，制定《安全生产制度》《消防安全管</w:t>
      </w:r>
      <w:r>
        <w:rPr>
          <w:sz w:val="24"/>
        </w:rPr>
        <w:t>理制度》等一系列规章制度。</w:t>
      </w:r>
    </w:p>
    <w:p>
      <w:pPr>
        <w:pStyle w:val="23"/>
        <w:numPr>
          <w:ilvl w:val="2"/>
          <w:numId w:val="6"/>
        </w:numPr>
        <w:tabs>
          <w:tab w:val="left" w:pos="941"/>
        </w:tabs>
        <w:spacing w:before="159"/>
        <w:ind w:left="940" w:hanging="701"/>
        <w:rPr>
          <w:b/>
          <w:sz w:val="28"/>
        </w:rPr>
      </w:pPr>
      <w:bookmarkStart w:id="91" w:name="4.1.2_环境风险隐患排查和监控"/>
      <w:bookmarkEnd w:id="91"/>
      <w:bookmarkStart w:id="92" w:name="_bookmark45"/>
      <w:bookmarkEnd w:id="92"/>
      <w:r>
        <w:rPr>
          <w:b/>
          <w:sz w:val="28"/>
        </w:rPr>
        <w:t>环境风险隐患排查和监控</w:t>
      </w:r>
    </w:p>
    <w:p>
      <w:pPr>
        <w:pStyle w:val="10"/>
        <w:spacing w:before="6"/>
        <w:rPr>
          <w:b/>
          <w:sz w:val="26"/>
        </w:rPr>
      </w:pPr>
    </w:p>
    <w:p>
      <w:pPr>
        <w:pStyle w:val="10"/>
        <w:spacing w:line="364" w:lineRule="auto"/>
        <w:ind w:left="240" w:right="117" w:firstLine="480"/>
      </w:pPr>
      <w:r>
        <w:rPr>
          <w:spacing w:val="-6"/>
        </w:rPr>
        <w:t>企业严格落实环境安全主体责任，定期排查环境安全隐患，开展环境风险评估，健全风险</w:t>
      </w:r>
      <w:r>
        <w:rPr>
          <w:spacing w:val="-17"/>
        </w:rPr>
        <w:t>防控措施。当出现可能导致突发环境事件的情况时，要立即报告咸宁市生态环境局赤壁市分局。</w:t>
      </w:r>
    </w:p>
    <w:p>
      <w:pPr>
        <w:pStyle w:val="10"/>
        <w:spacing w:before="1"/>
        <w:ind w:left="720"/>
      </w:pPr>
      <w:r>
        <w:rPr>
          <w:rFonts w:ascii="Times New Roman" w:eastAsia="Times New Roman"/>
        </w:rPr>
        <w:t>1</w:t>
      </w:r>
      <w:r>
        <w:t>、为加强危险源的日常监控，工作人员采取以下监控措施：</w:t>
      </w:r>
    </w:p>
    <w:p>
      <w:pPr>
        <w:pStyle w:val="23"/>
        <w:numPr>
          <w:ilvl w:val="0"/>
          <w:numId w:val="20"/>
        </w:numPr>
        <w:tabs>
          <w:tab w:val="left" w:pos="1321"/>
        </w:tabs>
        <w:spacing w:before="158" w:line="364" w:lineRule="auto"/>
        <w:ind w:right="240" w:firstLine="480"/>
        <w:rPr>
          <w:sz w:val="24"/>
        </w:rPr>
      </w:pPr>
      <w:r>
        <w:rPr>
          <w:spacing w:val="-1"/>
          <w:sz w:val="24"/>
        </w:rPr>
        <w:t>设立专门的机构负责人员安全、环境工作，建立日常巡回检查制度，每次检查都做</w:t>
      </w:r>
      <w:r>
        <w:rPr>
          <w:sz w:val="24"/>
        </w:rPr>
        <w:t>情况记录，发现隐患及时汇报。</w:t>
      </w:r>
    </w:p>
    <w:p>
      <w:pPr>
        <w:pStyle w:val="23"/>
        <w:numPr>
          <w:ilvl w:val="0"/>
          <w:numId w:val="20"/>
        </w:numPr>
        <w:tabs>
          <w:tab w:val="left" w:pos="1321"/>
        </w:tabs>
        <w:spacing w:line="306" w:lineRule="exact"/>
        <w:ind w:left="1321"/>
        <w:rPr>
          <w:sz w:val="24"/>
        </w:rPr>
      </w:pPr>
      <w:r>
        <w:rPr>
          <w:sz w:val="24"/>
        </w:rPr>
        <w:t>员工必须熟练掌握各种应急设施的使用方法。</w:t>
      </w:r>
    </w:p>
    <w:p>
      <w:pPr>
        <w:pStyle w:val="23"/>
        <w:numPr>
          <w:ilvl w:val="0"/>
          <w:numId w:val="20"/>
        </w:numPr>
        <w:tabs>
          <w:tab w:val="left" w:pos="1321"/>
        </w:tabs>
        <w:spacing w:before="161"/>
        <w:ind w:left="1321"/>
        <w:rPr>
          <w:sz w:val="24"/>
        </w:rPr>
      </w:pPr>
      <w:r>
        <w:rPr>
          <w:sz w:val="24"/>
        </w:rPr>
        <w:t>了解掌握项目内风险物质的危险特性及应急处理方法。</w:t>
      </w:r>
    </w:p>
    <w:p>
      <w:pPr>
        <w:pStyle w:val="23"/>
        <w:numPr>
          <w:ilvl w:val="0"/>
          <w:numId w:val="20"/>
        </w:numPr>
        <w:tabs>
          <w:tab w:val="left" w:pos="1321"/>
        </w:tabs>
        <w:spacing w:before="158" w:line="364" w:lineRule="auto"/>
        <w:ind w:right="240" w:firstLine="480"/>
        <w:rPr>
          <w:sz w:val="24"/>
        </w:rPr>
      </w:pPr>
      <w:r>
        <w:rPr>
          <w:spacing w:val="-1"/>
          <w:sz w:val="24"/>
        </w:rPr>
        <w:t>加强管理，在生产、储存、废物处置等各个环节明确责任主体，建立相应的管理制</w:t>
      </w:r>
      <w:r>
        <w:rPr>
          <w:sz w:val="24"/>
        </w:rPr>
        <w:t>度，使企业的各项工作有章可循，各项运行状况可控。</w:t>
      </w:r>
    </w:p>
    <w:p>
      <w:pPr>
        <w:spacing w:line="364" w:lineRule="auto"/>
        <w:rPr>
          <w:sz w:val="24"/>
        </w:rPr>
        <w:sectPr>
          <w:pgSz w:w="11910" w:h="16840"/>
          <w:pgMar w:top="1360" w:right="840" w:bottom="1180" w:left="840" w:header="882" w:footer="993" w:gutter="0"/>
          <w:cols w:space="720" w:num="1"/>
        </w:sectPr>
      </w:pPr>
    </w:p>
    <w:p>
      <w:pPr>
        <w:pStyle w:val="10"/>
        <w:spacing w:before="64"/>
        <w:ind w:left="720"/>
      </w:pPr>
      <w:r>
        <w:rPr>
          <w:rFonts w:ascii="Times New Roman" w:eastAsia="Times New Roman"/>
        </w:rPr>
        <w:t>2</w:t>
      </w:r>
      <w:r>
        <w:t>、项目内风险源主要为生产区，重点采取以下监控措施：</w:t>
      </w:r>
    </w:p>
    <w:p>
      <w:pPr>
        <w:pStyle w:val="23"/>
        <w:numPr>
          <w:ilvl w:val="0"/>
          <w:numId w:val="21"/>
        </w:numPr>
        <w:tabs>
          <w:tab w:val="left" w:pos="1321"/>
        </w:tabs>
        <w:spacing w:before="160" w:line="364" w:lineRule="auto"/>
        <w:ind w:right="115" w:firstLine="480"/>
        <w:rPr>
          <w:sz w:val="24"/>
        </w:rPr>
      </w:pPr>
      <w:r>
        <w:rPr>
          <w:sz w:val="24"/>
        </w:rPr>
        <w:t>所在区域设置专职的安全管理员，实行轮岗制，班班到位，安全交接，责任人对各</w:t>
      </w:r>
      <w:r>
        <w:rPr>
          <w:spacing w:val="-15"/>
          <w:sz w:val="24"/>
        </w:rPr>
        <w:t xml:space="preserve">风险点进行安全检查，发现污染处理设备故障，污染物外溢、渗漏及泄漏等情况第一时间上报， </w:t>
      </w:r>
      <w:r>
        <w:rPr>
          <w:sz w:val="24"/>
        </w:rPr>
        <w:t>采取应急措施，并疏散在岗人员；</w:t>
      </w:r>
    </w:p>
    <w:p>
      <w:pPr>
        <w:pStyle w:val="23"/>
        <w:numPr>
          <w:ilvl w:val="0"/>
          <w:numId w:val="21"/>
        </w:numPr>
        <w:tabs>
          <w:tab w:val="left" w:pos="1321"/>
        </w:tabs>
        <w:spacing w:line="304" w:lineRule="exact"/>
        <w:ind w:left="1321"/>
        <w:rPr>
          <w:sz w:val="24"/>
        </w:rPr>
      </w:pPr>
      <w:r>
        <w:rPr>
          <w:sz w:val="24"/>
        </w:rPr>
        <w:t>关注天气情况，收集气象资料，暴雨、雷电等极端天气和汛期来临之际停止作业。</w:t>
      </w:r>
    </w:p>
    <w:p>
      <w:pPr>
        <w:pStyle w:val="10"/>
        <w:spacing w:before="10"/>
      </w:pPr>
    </w:p>
    <w:p>
      <w:pPr>
        <w:pStyle w:val="23"/>
        <w:numPr>
          <w:ilvl w:val="2"/>
          <w:numId w:val="6"/>
        </w:numPr>
        <w:tabs>
          <w:tab w:val="left" w:pos="941"/>
        </w:tabs>
        <w:ind w:left="940" w:hanging="701"/>
        <w:rPr>
          <w:b/>
          <w:sz w:val="28"/>
        </w:rPr>
      </w:pPr>
      <w:bookmarkStart w:id="93" w:name="4.1.3_事件的预防措施"/>
      <w:bookmarkEnd w:id="93"/>
      <w:bookmarkStart w:id="94" w:name="_bookmark46"/>
      <w:bookmarkEnd w:id="94"/>
      <w:r>
        <w:rPr>
          <w:b/>
          <w:sz w:val="28"/>
        </w:rPr>
        <w:t>事件的预防措施</w:t>
      </w:r>
    </w:p>
    <w:p>
      <w:pPr>
        <w:pStyle w:val="10"/>
        <w:spacing w:before="8"/>
        <w:rPr>
          <w:b/>
          <w:sz w:val="26"/>
        </w:rPr>
      </w:pPr>
    </w:p>
    <w:p>
      <w:pPr>
        <w:pStyle w:val="10"/>
        <w:ind w:left="720"/>
      </w:pPr>
      <w:r>
        <w:rPr>
          <w:rFonts w:ascii="Times New Roman" w:eastAsia="Times New Roman"/>
        </w:rPr>
        <w:t>1</w:t>
      </w:r>
      <w:r>
        <w:t>、总平面布置和建筑方面安全防范措施</w:t>
      </w:r>
    </w:p>
    <w:p>
      <w:pPr>
        <w:pStyle w:val="23"/>
        <w:numPr>
          <w:ilvl w:val="0"/>
          <w:numId w:val="22"/>
        </w:numPr>
        <w:tabs>
          <w:tab w:val="left" w:pos="1321"/>
        </w:tabs>
        <w:spacing w:before="158" w:line="364" w:lineRule="auto"/>
        <w:ind w:right="240" w:firstLine="480"/>
        <w:rPr>
          <w:sz w:val="24"/>
        </w:rPr>
      </w:pPr>
      <w:r>
        <w:rPr>
          <w:spacing w:val="-1"/>
          <w:sz w:val="24"/>
        </w:rPr>
        <w:t>在选址、设计、施工过程中给予充分重视。建、构筑物的防火距离达到规范设计要</w:t>
      </w:r>
      <w:r>
        <w:rPr>
          <w:sz w:val="24"/>
        </w:rPr>
        <w:t>求，提高基础结构的抗震强度，确保环境污染物在一般的自然灾害下不发生泄漏。</w:t>
      </w:r>
    </w:p>
    <w:p>
      <w:pPr>
        <w:pStyle w:val="23"/>
        <w:numPr>
          <w:ilvl w:val="0"/>
          <w:numId w:val="22"/>
        </w:numPr>
        <w:tabs>
          <w:tab w:val="left" w:pos="1321"/>
        </w:tabs>
        <w:spacing w:line="364" w:lineRule="auto"/>
        <w:ind w:right="240" w:firstLine="480"/>
        <w:rPr>
          <w:sz w:val="24"/>
        </w:rPr>
      </w:pPr>
      <w:r>
        <w:rPr>
          <w:spacing w:val="-1"/>
          <w:sz w:val="24"/>
        </w:rPr>
        <w:t>为了企业环境安全，设有安防、消防系统，包括：监控系统、有毒</w:t>
      </w:r>
      <w:r>
        <w:rPr>
          <w:rFonts w:hint="eastAsia"/>
          <w:spacing w:val="-1"/>
          <w:sz w:val="24"/>
        </w:rPr>
        <w:t>液态</w:t>
      </w:r>
      <w:r>
        <w:rPr>
          <w:spacing w:val="-1"/>
          <w:sz w:val="24"/>
        </w:rPr>
        <w:t>报警装置、</w:t>
      </w:r>
      <w:r>
        <w:rPr>
          <w:sz w:val="24"/>
        </w:rPr>
        <w:t>消防系统等。</w:t>
      </w:r>
    </w:p>
    <w:p>
      <w:pPr>
        <w:pStyle w:val="23"/>
        <w:numPr>
          <w:ilvl w:val="0"/>
          <w:numId w:val="22"/>
        </w:numPr>
        <w:tabs>
          <w:tab w:val="left" w:pos="1321"/>
        </w:tabs>
        <w:spacing w:line="306" w:lineRule="exact"/>
        <w:ind w:left="1321"/>
        <w:rPr>
          <w:sz w:val="24"/>
        </w:rPr>
      </w:pPr>
      <w:r>
        <w:rPr>
          <w:sz w:val="24"/>
        </w:rPr>
        <w:t>禁止向未经许可的区域内倾倒、堆放、填埋和排放危险废物。</w:t>
      </w:r>
    </w:p>
    <w:p>
      <w:pPr>
        <w:pStyle w:val="10"/>
        <w:spacing w:before="159"/>
        <w:ind w:left="720"/>
      </w:pPr>
      <w:r>
        <w:rPr>
          <w:rFonts w:ascii="Times New Roman" w:eastAsia="Times New Roman"/>
        </w:rPr>
        <w:t>2</w:t>
      </w:r>
      <w:r>
        <w:t>、火灾爆炸事故预防措施</w:t>
      </w:r>
    </w:p>
    <w:p>
      <w:pPr>
        <w:pStyle w:val="23"/>
        <w:numPr>
          <w:ilvl w:val="0"/>
          <w:numId w:val="23"/>
        </w:numPr>
        <w:tabs>
          <w:tab w:val="left" w:pos="1321"/>
        </w:tabs>
        <w:spacing w:before="161"/>
        <w:rPr>
          <w:sz w:val="24"/>
        </w:rPr>
      </w:pPr>
      <w:r>
        <w:rPr>
          <w:sz w:val="24"/>
        </w:rPr>
        <w:t>设置醒目的杜绝明火标志、标语。</w:t>
      </w:r>
    </w:p>
    <w:p>
      <w:pPr>
        <w:pStyle w:val="23"/>
        <w:numPr>
          <w:ilvl w:val="0"/>
          <w:numId w:val="23"/>
        </w:numPr>
        <w:tabs>
          <w:tab w:val="left" w:pos="1323"/>
        </w:tabs>
        <w:spacing w:before="158" w:line="362" w:lineRule="auto"/>
        <w:ind w:left="240" w:right="237" w:firstLine="480"/>
        <w:rPr>
          <w:sz w:val="24"/>
        </w:rPr>
      </w:pPr>
      <w:r>
        <w:rPr>
          <w:spacing w:val="-1"/>
          <w:sz w:val="24"/>
        </w:rPr>
        <w:t>原辅材料、成品、油品区、管道途经区域等危险品、易燃品所在区域应当指定专人</w:t>
      </w:r>
      <w:r>
        <w:rPr>
          <w:sz w:val="24"/>
        </w:rPr>
        <w:t>管理、看护，严禁在上述区域及附近吸烟和用火。</w:t>
      </w:r>
    </w:p>
    <w:p>
      <w:pPr>
        <w:pStyle w:val="23"/>
        <w:numPr>
          <w:ilvl w:val="0"/>
          <w:numId w:val="23"/>
        </w:numPr>
        <w:tabs>
          <w:tab w:val="left" w:pos="1321"/>
        </w:tabs>
        <w:spacing w:before="5"/>
        <w:rPr>
          <w:sz w:val="24"/>
        </w:rPr>
      </w:pPr>
      <w:r>
        <w:rPr>
          <w:sz w:val="24"/>
        </w:rPr>
        <w:t>健全、完善消防设施，配齐干粉灭火器，并培训员工熟练使用。</w:t>
      </w:r>
    </w:p>
    <w:p>
      <w:pPr>
        <w:pStyle w:val="10"/>
        <w:spacing w:before="160"/>
        <w:ind w:left="720"/>
      </w:pPr>
      <w:r>
        <w:rPr>
          <w:rFonts w:ascii="Times New Roman" w:eastAsia="Times New Roman"/>
        </w:rPr>
        <w:t>3</w:t>
      </w:r>
      <w:r>
        <w:t>、物料及有</w:t>
      </w:r>
      <w:r>
        <w:rPr>
          <w:rFonts w:hint="eastAsia"/>
        </w:rPr>
        <w:t>毒液态</w:t>
      </w:r>
      <w:r>
        <w:t>泄漏预防措施</w:t>
      </w:r>
    </w:p>
    <w:p>
      <w:pPr>
        <w:pStyle w:val="23"/>
        <w:numPr>
          <w:ilvl w:val="0"/>
          <w:numId w:val="24"/>
        </w:numPr>
        <w:tabs>
          <w:tab w:val="left" w:pos="1321"/>
        </w:tabs>
        <w:spacing w:before="159"/>
        <w:rPr>
          <w:sz w:val="24"/>
        </w:rPr>
      </w:pPr>
      <w:r>
        <w:rPr>
          <w:sz w:val="24"/>
        </w:rPr>
        <w:t>原辅材料、产品、副产品定人管理，培训合格，持证上岗。</w:t>
      </w:r>
    </w:p>
    <w:p>
      <w:pPr>
        <w:pStyle w:val="23"/>
        <w:numPr>
          <w:ilvl w:val="0"/>
          <w:numId w:val="24"/>
        </w:numPr>
        <w:tabs>
          <w:tab w:val="left" w:pos="1321"/>
        </w:tabs>
        <w:spacing w:before="160" w:line="364" w:lineRule="auto"/>
        <w:ind w:left="240" w:right="145" w:firstLine="480"/>
        <w:rPr>
          <w:sz w:val="24"/>
        </w:rPr>
      </w:pPr>
      <w:r>
        <w:rPr>
          <w:sz w:val="24"/>
        </w:rPr>
        <w:t>设置专用储存房间和专用容器，设置醒目警示标志。原辅材料、产品、副产品分类</w:t>
      </w:r>
      <w:r>
        <w:rPr>
          <w:spacing w:val="-1"/>
          <w:sz w:val="24"/>
        </w:rPr>
        <w:t>分区堆放。房间设置防爆、防火、防潮、防静电、防泄漏、防火花等措施，原辅材料、产品、</w:t>
      </w:r>
      <w:r>
        <w:rPr>
          <w:spacing w:val="-4"/>
          <w:sz w:val="24"/>
        </w:rPr>
        <w:t>副产品管理岗位熟知化学品安全技术说明书和应急处置卡，原辅材料、产品、副产品建立进出库登记制度。</w:t>
      </w:r>
    </w:p>
    <w:p>
      <w:pPr>
        <w:pStyle w:val="23"/>
        <w:numPr>
          <w:ilvl w:val="0"/>
          <w:numId w:val="24"/>
        </w:numPr>
        <w:tabs>
          <w:tab w:val="left" w:pos="1321"/>
        </w:tabs>
        <w:spacing w:line="305" w:lineRule="exact"/>
        <w:rPr>
          <w:sz w:val="24"/>
        </w:rPr>
      </w:pPr>
      <w:r>
        <w:rPr>
          <w:sz w:val="24"/>
        </w:rPr>
        <w:t>储存房间电气设备、线路、照明灯具具备防爆功能。</w:t>
      </w:r>
    </w:p>
    <w:p>
      <w:pPr>
        <w:pStyle w:val="23"/>
        <w:numPr>
          <w:ilvl w:val="0"/>
          <w:numId w:val="24"/>
        </w:numPr>
        <w:tabs>
          <w:tab w:val="left" w:pos="1321"/>
        </w:tabs>
        <w:spacing w:before="158"/>
        <w:rPr>
          <w:sz w:val="24"/>
        </w:rPr>
      </w:pPr>
      <w:r>
        <w:rPr>
          <w:sz w:val="24"/>
        </w:rPr>
        <w:t>严禁烟火。不得携带火种进入堆放区，上述区域禁止一切明火作业。</w:t>
      </w:r>
    </w:p>
    <w:p>
      <w:pPr>
        <w:pStyle w:val="23"/>
        <w:numPr>
          <w:ilvl w:val="0"/>
          <w:numId w:val="24"/>
        </w:numPr>
        <w:tabs>
          <w:tab w:val="left" w:pos="1321"/>
        </w:tabs>
        <w:spacing w:before="161"/>
        <w:rPr>
          <w:sz w:val="24"/>
        </w:rPr>
      </w:pPr>
      <w:r>
        <w:rPr>
          <w:sz w:val="24"/>
        </w:rPr>
        <w:t>操作中按规范穿戴个体劳动防护用品和整理装束，并及时清理个体劳动防护用品。</w:t>
      </w:r>
    </w:p>
    <w:p>
      <w:pPr>
        <w:pStyle w:val="23"/>
        <w:numPr>
          <w:ilvl w:val="0"/>
          <w:numId w:val="24"/>
        </w:numPr>
        <w:tabs>
          <w:tab w:val="left" w:pos="1321"/>
        </w:tabs>
        <w:spacing w:before="158" w:line="364" w:lineRule="auto"/>
        <w:ind w:left="240" w:right="237" w:firstLine="480"/>
        <w:jc w:val="both"/>
        <w:rPr>
          <w:sz w:val="24"/>
        </w:rPr>
      </w:pPr>
      <w:r>
        <w:rPr>
          <w:spacing w:val="-1"/>
          <w:sz w:val="24"/>
        </w:rPr>
        <w:t>使用安全有效的工具，定期检查设备状态，机械设备运转时，操作者不得离开工作</w:t>
      </w:r>
      <w:r>
        <w:rPr>
          <w:spacing w:val="-10"/>
          <w:sz w:val="24"/>
        </w:rPr>
        <w:t>岗位，机械安全装置必须按规定正确使用，严禁拆卸，严格按照规程操作。使用的刀具、工夹</w:t>
      </w:r>
      <w:r>
        <w:rPr>
          <w:sz w:val="24"/>
        </w:rPr>
        <w:t>具以及加工的零件等一定要装卡牢固，不得松动。</w:t>
      </w:r>
    </w:p>
    <w:p>
      <w:pPr>
        <w:spacing w:line="364" w:lineRule="auto"/>
        <w:jc w:val="both"/>
        <w:rPr>
          <w:sz w:val="24"/>
        </w:rPr>
        <w:sectPr>
          <w:pgSz w:w="11910" w:h="16840"/>
          <w:pgMar w:top="1360" w:right="840" w:bottom="1180" w:left="840" w:header="882" w:footer="993" w:gutter="0"/>
          <w:cols w:space="720" w:num="1"/>
        </w:sectPr>
      </w:pPr>
    </w:p>
    <w:p>
      <w:pPr>
        <w:pStyle w:val="23"/>
        <w:numPr>
          <w:ilvl w:val="0"/>
          <w:numId w:val="24"/>
        </w:numPr>
        <w:tabs>
          <w:tab w:val="left" w:pos="1321"/>
        </w:tabs>
        <w:spacing w:before="64"/>
        <w:rPr>
          <w:sz w:val="24"/>
        </w:rPr>
      </w:pPr>
      <w:r>
        <w:rPr>
          <w:sz w:val="24"/>
        </w:rPr>
        <w:t>设置有毒</w:t>
      </w:r>
      <w:r>
        <w:rPr>
          <w:rFonts w:hint="eastAsia"/>
          <w:sz w:val="24"/>
        </w:rPr>
        <w:t>液态</w:t>
      </w:r>
      <w:r>
        <w:rPr>
          <w:sz w:val="24"/>
        </w:rPr>
        <w:t>报警装置，当发生泄漏时及时做好人员疏散、防护和应急救援工作。</w:t>
      </w:r>
    </w:p>
    <w:p>
      <w:pPr>
        <w:pStyle w:val="10"/>
        <w:spacing w:before="160"/>
        <w:ind w:left="710"/>
      </w:pPr>
      <w:r>
        <w:rPr>
          <w:rFonts w:ascii="Times New Roman" w:eastAsia="Times New Roman"/>
        </w:rPr>
        <w:t>4</w:t>
      </w:r>
      <w:r>
        <w:t>、危废泄漏预防措施</w:t>
      </w:r>
    </w:p>
    <w:p>
      <w:pPr>
        <w:pStyle w:val="10"/>
        <w:spacing w:before="158" w:line="364" w:lineRule="auto"/>
        <w:ind w:left="240" w:right="237" w:firstLine="470"/>
      </w:pPr>
      <w:r>
        <w:rPr>
          <w:spacing w:val="-8"/>
        </w:rPr>
        <w:t>危险废物主要是</w:t>
      </w:r>
      <w:r>
        <w:rPr>
          <w:rFonts w:hint="eastAsia"/>
          <w:spacing w:val="-8"/>
        </w:rPr>
        <w:t>废油墨罐、废活性炭</w:t>
      </w:r>
      <w:r>
        <w:rPr>
          <w:spacing w:val="-8"/>
        </w:rPr>
        <w:t xml:space="preserve">，常规设备维修、检修过程中产生废机油，厂区设置 </w:t>
      </w:r>
      <w:r>
        <w:rPr>
          <w:rFonts w:ascii="Times New Roman" w:eastAsia="Times New Roman"/>
        </w:rPr>
        <w:t xml:space="preserve">1 </w:t>
      </w:r>
      <w:r>
        <w:rPr>
          <w:spacing w:val="-3"/>
        </w:rPr>
        <w:t>间危废暂存</w:t>
      </w:r>
      <w:r>
        <w:t>间，用于存放废机油</w:t>
      </w:r>
      <w:r>
        <w:rPr>
          <w:rFonts w:hint="eastAsia"/>
        </w:rPr>
        <w:t>、</w:t>
      </w:r>
      <w:r>
        <w:rPr>
          <w:rFonts w:hint="eastAsia"/>
          <w:spacing w:val="-8"/>
        </w:rPr>
        <w:t>废油墨罐、废活性炭</w:t>
      </w:r>
      <w:r>
        <w:t>。</w:t>
      </w:r>
    </w:p>
    <w:p>
      <w:pPr>
        <w:pStyle w:val="10"/>
        <w:spacing w:line="306" w:lineRule="exact"/>
        <w:ind w:left="720"/>
      </w:pPr>
      <w:r>
        <w:rPr>
          <w:rFonts w:ascii="Times New Roman" w:eastAsia="Times New Roman"/>
        </w:rPr>
        <w:t>5</w:t>
      </w:r>
      <w:r>
        <w:t>、事故发生后污染治理对策措施</w:t>
      </w:r>
    </w:p>
    <w:p>
      <w:pPr>
        <w:pStyle w:val="23"/>
        <w:numPr>
          <w:ilvl w:val="0"/>
          <w:numId w:val="25"/>
        </w:numPr>
        <w:tabs>
          <w:tab w:val="left" w:pos="1321"/>
        </w:tabs>
        <w:spacing w:before="161" w:line="362" w:lineRule="auto"/>
        <w:ind w:right="240" w:firstLine="480"/>
        <w:rPr>
          <w:sz w:val="24"/>
        </w:rPr>
      </w:pPr>
      <w:r>
        <w:rPr>
          <w:spacing w:val="-1"/>
          <w:sz w:val="24"/>
        </w:rPr>
        <w:t>在消除污染过程中要防范次生污染的发生，同时注意人员安全，避免发生次生安全</w:t>
      </w:r>
      <w:r>
        <w:rPr>
          <w:sz w:val="24"/>
        </w:rPr>
        <w:t>事故；</w:t>
      </w:r>
    </w:p>
    <w:p>
      <w:pPr>
        <w:pStyle w:val="23"/>
        <w:numPr>
          <w:ilvl w:val="0"/>
          <w:numId w:val="25"/>
        </w:numPr>
        <w:tabs>
          <w:tab w:val="left" w:pos="1321"/>
        </w:tabs>
        <w:spacing w:before="5"/>
        <w:ind w:left="1321"/>
        <w:rPr>
          <w:sz w:val="24"/>
        </w:rPr>
      </w:pPr>
      <w:r>
        <w:rPr>
          <w:sz w:val="24"/>
        </w:rPr>
        <w:t>及时向当地生态环境部门汇报事故发生后的工作情况，建立工作记录制度；</w:t>
      </w:r>
    </w:p>
    <w:p>
      <w:pPr>
        <w:pStyle w:val="23"/>
        <w:numPr>
          <w:ilvl w:val="0"/>
          <w:numId w:val="25"/>
        </w:numPr>
        <w:tabs>
          <w:tab w:val="left" w:pos="1321"/>
        </w:tabs>
        <w:spacing w:before="160" w:line="362" w:lineRule="auto"/>
        <w:ind w:right="240" w:firstLine="480"/>
        <w:rPr>
          <w:sz w:val="24"/>
        </w:rPr>
      </w:pPr>
      <w:r>
        <w:rPr>
          <w:spacing w:val="-1"/>
          <w:sz w:val="24"/>
        </w:rPr>
        <w:t>恢复工程正常运行，对事故发生后存在安全隐患的地方进行修理改进，保障员工生</w:t>
      </w:r>
      <w:r>
        <w:rPr>
          <w:sz w:val="24"/>
        </w:rPr>
        <w:t>命财产安全；</w:t>
      </w:r>
    </w:p>
    <w:p>
      <w:pPr>
        <w:pStyle w:val="23"/>
        <w:numPr>
          <w:ilvl w:val="0"/>
          <w:numId w:val="25"/>
        </w:numPr>
        <w:tabs>
          <w:tab w:val="left" w:pos="1321"/>
        </w:tabs>
        <w:spacing w:before="3" w:line="364" w:lineRule="auto"/>
        <w:ind w:right="240" w:firstLine="480"/>
        <w:rPr>
          <w:sz w:val="24"/>
        </w:rPr>
      </w:pPr>
      <w:r>
        <w:rPr>
          <w:spacing w:val="-1"/>
          <w:sz w:val="24"/>
        </w:rPr>
        <w:t>事故救援结束后对地表水环境和空气质量状况进行了解，对事故造成的环境污染及</w:t>
      </w:r>
      <w:r>
        <w:rPr>
          <w:sz w:val="24"/>
        </w:rPr>
        <w:t>时作出治理方案，并配合环保部门的应急监理。</w:t>
      </w:r>
    </w:p>
    <w:p>
      <w:pPr>
        <w:pStyle w:val="6"/>
        <w:numPr>
          <w:ilvl w:val="1"/>
          <w:numId w:val="6"/>
        </w:numPr>
        <w:tabs>
          <w:tab w:val="left" w:pos="766"/>
        </w:tabs>
        <w:spacing w:before="157"/>
      </w:pPr>
      <w:bookmarkStart w:id="95" w:name="_bookmark47"/>
      <w:bookmarkEnd w:id="95"/>
      <w:bookmarkStart w:id="96" w:name="4.2_预警行动"/>
      <w:bookmarkEnd w:id="96"/>
      <w:r>
        <w:t>预警行动</w:t>
      </w:r>
    </w:p>
    <w:p>
      <w:pPr>
        <w:pStyle w:val="10"/>
        <w:spacing w:before="9"/>
        <w:rPr>
          <w:b/>
          <w:sz w:val="27"/>
        </w:rPr>
      </w:pPr>
    </w:p>
    <w:p>
      <w:pPr>
        <w:pStyle w:val="10"/>
        <w:spacing w:line="362" w:lineRule="auto"/>
        <w:ind w:left="240" w:right="117" w:firstLine="480"/>
      </w:pPr>
      <w:r>
        <w:rPr>
          <w:spacing w:val="-16"/>
        </w:rPr>
        <w:t>按照突发事件严重性、紧急程度和可能波及的范围，对突发环境污染事件的预警进行分级。</w:t>
      </w:r>
      <w:r>
        <w:t>根据事态的发展情况和采取措施的效果，预警可以升级、降级或解除。具体流程图如下：</w:t>
      </w:r>
    </w:p>
    <w:p>
      <w:pPr>
        <w:pStyle w:val="10"/>
        <w:ind w:left="1260"/>
        <w:rPr>
          <w:sz w:val="20"/>
        </w:rPr>
      </w:pPr>
      <w:r>
        <w:rPr>
          <w:sz w:val="20"/>
          <w:lang w:val="en-US" w:bidi="ar-SA"/>
        </w:rPr>
        <w:drawing>
          <wp:inline distT="0" distB="0" distL="0" distR="0">
            <wp:extent cx="4820285" cy="37719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26" cstate="print"/>
                    <a:stretch>
                      <a:fillRect/>
                    </a:stretch>
                  </pic:blipFill>
                  <pic:spPr>
                    <a:xfrm>
                      <a:off x="0" y="0"/>
                      <a:ext cx="4820790" cy="3771900"/>
                    </a:xfrm>
                    <a:prstGeom prst="rect">
                      <a:avLst/>
                    </a:prstGeom>
                  </pic:spPr>
                </pic:pic>
              </a:graphicData>
            </a:graphic>
          </wp:inline>
        </w:drawing>
      </w:r>
    </w:p>
    <w:p>
      <w:pPr>
        <w:pStyle w:val="9"/>
        <w:spacing w:before="207"/>
        <w:ind w:left="6" w:right="1"/>
      </w:pPr>
      <w:r>
        <w:t>图</w:t>
      </w:r>
      <w:r>
        <w:rPr>
          <w:rFonts w:ascii="Times New Roman" w:eastAsia="Times New Roman"/>
        </w:rPr>
        <w:t xml:space="preserve">4.2-1  </w:t>
      </w:r>
      <w:r>
        <w:t>预警流程图</w:t>
      </w:r>
    </w:p>
    <w:p>
      <w:pPr>
        <w:sectPr>
          <w:pgSz w:w="11910" w:h="16840"/>
          <w:pgMar w:top="1360" w:right="840" w:bottom="1180" w:left="840" w:header="882" w:footer="993" w:gutter="0"/>
          <w:cols w:space="720" w:num="1"/>
        </w:sectPr>
      </w:pPr>
    </w:p>
    <w:p>
      <w:pPr>
        <w:pStyle w:val="10"/>
        <w:spacing w:before="64"/>
        <w:ind w:left="720"/>
      </w:pPr>
      <w:r>
        <w:t>根据生产过程中发现的事件预兆，企业应急救援指挥机构应采取以下措施：</w:t>
      </w:r>
    </w:p>
    <w:p>
      <w:pPr>
        <w:pStyle w:val="23"/>
        <w:numPr>
          <w:ilvl w:val="0"/>
          <w:numId w:val="26"/>
        </w:numPr>
        <w:tabs>
          <w:tab w:val="left" w:pos="1321"/>
        </w:tabs>
        <w:spacing w:before="160"/>
        <w:rPr>
          <w:sz w:val="24"/>
        </w:rPr>
      </w:pPr>
      <w:r>
        <w:rPr>
          <w:sz w:val="24"/>
        </w:rPr>
        <w:t>及时发布和传递预警信息，按程序向相关领导报告；</w:t>
      </w:r>
    </w:p>
    <w:p>
      <w:pPr>
        <w:pStyle w:val="23"/>
        <w:numPr>
          <w:ilvl w:val="0"/>
          <w:numId w:val="26"/>
        </w:numPr>
        <w:tabs>
          <w:tab w:val="left" w:pos="1321"/>
        </w:tabs>
        <w:spacing w:before="158"/>
        <w:rPr>
          <w:sz w:val="24"/>
        </w:rPr>
      </w:pPr>
      <w:r>
        <w:rPr>
          <w:sz w:val="24"/>
        </w:rPr>
        <w:t>下达预警指令，启动预警行动方案，执行相应预防性处置措施；</w:t>
      </w:r>
    </w:p>
    <w:p>
      <w:pPr>
        <w:pStyle w:val="23"/>
        <w:numPr>
          <w:ilvl w:val="0"/>
          <w:numId w:val="26"/>
        </w:numPr>
        <w:tabs>
          <w:tab w:val="left" w:pos="1321"/>
        </w:tabs>
        <w:spacing w:before="161"/>
        <w:rPr>
          <w:sz w:val="24"/>
        </w:rPr>
      </w:pPr>
      <w:r>
        <w:rPr>
          <w:sz w:val="24"/>
        </w:rPr>
        <w:t>密切跟踪事态发展，检查措施执行情况做好相应的应急准备；</w:t>
      </w:r>
    </w:p>
    <w:p>
      <w:pPr>
        <w:pStyle w:val="23"/>
        <w:numPr>
          <w:ilvl w:val="0"/>
          <w:numId w:val="26"/>
        </w:numPr>
        <w:tabs>
          <w:tab w:val="left" w:pos="1321"/>
        </w:tabs>
        <w:spacing w:before="158"/>
        <w:rPr>
          <w:sz w:val="24"/>
        </w:rPr>
      </w:pPr>
      <w:r>
        <w:rPr>
          <w:sz w:val="24"/>
        </w:rPr>
        <w:t>企业应急机构根据现场情况进入应急准备阶段；</w:t>
      </w:r>
    </w:p>
    <w:p>
      <w:pPr>
        <w:pStyle w:val="23"/>
        <w:numPr>
          <w:ilvl w:val="0"/>
          <w:numId w:val="26"/>
        </w:numPr>
        <w:tabs>
          <w:tab w:val="left" w:pos="1321"/>
        </w:tabs>
        <w:spacing w:before="160"/>
        <w:rPr>
          <w:sz w:val="24"/>
        </w:rPr>
      </w:pPr>
      <w:r>
        <w:rPr>
          <w:sz w:val="24"/>
        </w:rPr>
        <w:t>一旦达到事件标准时，启动相应的应急预案。</w:t>
      </w:r>
    </w:p>
    <w:p>
      <w:pPr>
        <w:pStyle w:val="10"/>
        <w:spacing w:before="10"/>
      </w:pPr>
    </w:p>
    <w:p>
      <w:pPr>
        <w:pStyle w:val="23"/>
        <w:numPr>
          <w:ilvl w:val="2"/>
          <w:numId w:val="6"/>
        </w:numPr>
        <w:tabs>
          <w:tab w:val="left" w:pos="869"/>
        </w:tabs>
        <w:rPr>
          <w:b/>
          <w:sz w:val="28"/>
        </w:rPr>
      </w:pPr>
      <w:bookmarkStart w:id="97" w:name="_bookmark48"/>
      <w:bookmarkEnd w:id="97"/>
      <w:bookmarkStart w:id="98" w:name="4.2.1预警分级"/>
      <w:bookmarkEnd w:id="98"/>
      <w:r>
        <w:rPr>
          <w:b/>
          <w:sz w:val="28"/>
        </w:rPr>
        <w:t>预警分级</w:t>
      </w:r>
    </w:p>
    <w:p>
      <w:pPr>
        <w:pStyle w:val="10"/>
        <w:spacing w:before="6"/>
        <w:rPr>
          <w:b/>
          <w:sz w:val="26"/>
        </w:rPr>
      </w:pPr>
    </w:p>
    <w:p>
      <w:pPr>
        <w:pStyle w:val="10"/>
        <w:spacing w:line="364" w:lineRule="auto"/>
        <w:ind w:left="240" w:right="237" w:firstLine="480"/>
      </w:pPr>
      <w:r>
        <w:rPr>
          <w:spacing w:val="-8"/>
        </w:rPr>
        <w:t>当发生突发环境事件时，应立即预警，并启动本预案，企业报警信号系统按照突发事故严</w:t>
      </w:r>
      <w:r>
        <w:t>重性、紧急程度和可能波及的范围，对突发环境污染事故的预警分为三级，具体如下：</w:t>
      </w:r>
    </w:p>
    <w:p>
      <w:pPr>
        <w:pStyle w:val="10"/>
        <w:spacing w:line="306" w:lineRule="exact"/>
        <w:ind w:left="720"/>
      </w:pPr>
      <w:r>
        <w:t>一级预警：当符合下列条件之一时，可发布一级预警：</w:t>
      </w:r>
    </w:p>
    <w:p>
      <w:pPr>
        <w:pStyle w:val="10"/>
        <w:spacing w:before="160" w:line="364" w:lineRule="auto"/>
        <w:ind w:left="240" w:right="145" w:firstLine="480"/>
      </w:pPr>
      <w:r>
        <w:rPr>
          <w:rFonts w:hint="eastAsia" w:ascii="宋体" w:hAnsi="宋体" w:eastAsia="宋体"/>
        </w:rPr>
        <w:t>①</w:t>
      </w:r>
      <w:r>
        <w:rPr>
          <w:spacing w:val="-1"/>
        </w:rPr>
        <w:t>操作失误、违章作业，电气线路、电气设备运行时短路、过载、接触不良、散热不良、</w:t>
      </w:r>
      <w:r>
        <w:rPr>
          <w:spacing w:val="-10"/>
        </w:rPr>
        <w:t>漏电、断线碰壳、绝缘老化损坏，可燃</w:t>
      </w:r>
      <w:r>
        <w:rPr>
          <w:rFonts w:hint="eastAsia"/>
          <w:spacing w:val="-10"/>
        </w:rPr>
        <w:t>液态</w:t>
      </w:r>
      <w:r>
        <w:rPr>
          <w:spacing w:val="-10"/>
        </w:rPr>
        <w:t>泄漏以及原材料、</w:t>
      </w:r>
      <w:r>
        <w:rPr>
          <w:rFonts w:hint="eastAsia"/>
          <w:spacing w:val="-10"/>
        </w:rPr>
        <w:t>塑料成品</w:t>
      </w:r>
      <w:r>
        <w:rPr>
          <w:spacing w:val="-10"/>
        </w:rPr>
        <w:t>等管理不善，导致大规模火灾爆炸，造成人员中毒或伤亡，依靠厂区应急力量无法控制的。</w:t>
      </w:r>
    </w:p>
    <w:p>
      <w:pPr>
        <w:pStyle w:val="10"/>
        <w:spacing w:line="362" w:lineRule="auto"/>
        <w:ind w:left="240" w:right="237" w:firstLine="480"/>
      </w:pPr>
      <w:r>
        <w:rPr>
          <w:rFonts w:hint="eastAsia" w:ascii="宋体" w:hAnsi="宋体" w:eastAsia="宋体"/>
        </w:rPr>
        <w:t>②</w:t>
      </w:r>
      <w:r>
        <w:rPr>
          <w:spacing w:val="-7"/>
        </w:rPr>
        <w:t>有毒</w:t>
      </w:r>
      <w:r>
        <w:rPr>
          <w:rFonts w:hint="eastAsia"/>
          <w:spacing w:val="-7"/>
        </w:rPr>
        <w:t>液态</w:t>
      </w:r>
      <w:r>
        <w:rPr>
          <w:spacing w:val="-7"/>
        </w:rPr>
        <w:t>输送管道破损，有毒</w:t>
      </w:r>
      <w:r>
        <w:rPr>
          <w:rFonts w:hint="eastAsia"/>
          <w:spacing w:val="-7"/>
        </w:rPr>
        <w:t>液态</w:t>
      </w:r>
      <w:r>
        <w:rPr>
          <w:spacing w:val="-7"/>
        </w:rPr>
        <w:t>泄漏造成环境安全隐患，导致人员中毒或伤</w:t>
      </w:r>
      <w:r>
        <w:t>亡的。</w:t>
      </w:r>
    </w:p>
    <w:p>
      <w:pPr>
        <w:pStyle w:val="10"/>
        <w:spacing w:before="2"/>
        <w:ind w:left="720"/>
      </w:pPr>
      <w:r>
        <w:t>二级预警：当符合下列条件之一时，可发布二级预警：</w:t>
      </w:r>
    </w:p>
    <w:p>
      <w:pPr>
        <w:pStyle w:val="10"/>
        <w:spacing w:before="161" w:line="364" w:lineRule="auto"/>
        <w:ind w:left="240" w:right="145" w:firstLine="480"/>
      </w:pPr>
      <w:r>
        <w:rPr>
          <w:rFonts w:hint="eastAsia" w:ascii="宋体" w:hAnsi="宋体" w:eastAsia="宋体"/>
        </w:rPr>
        <w:t>①</w:t>
      </w:r>
      <w:r>
        <w:rPr>
          <w:spacing w:val="-1"/>
        </w:rPr>
        <w:t>操作失误、违章作业，电气线路、电气设备运行时短路、过载、接触不良、散热不良、</w:t>
      </w:r>
      <w:r>
        <w:rPr>
          <w:spacing w:val="-10"/>
        </w:rPr>
        <w:t>漏电、断线碰壳、绝缘老化损坏等导致电气火灾爆炸，可燃</w:t>
      </w:r>
      <w:r>
        <w:rPr>
          <w:rFonts w:hint="eastAsia"/>
          <w:spacing w:val="-10"/>
        </w:rPr>
        <w:t>液态</w:t>
      </w:r>
      <w:r>
        <w:rPr>
          <w:spacing w:val="-10"/>
        </w:rPr>
        <w:t>泄漏以及原材料、</w:t>
      </w:r>
      <w:r>
        <w:rPr>
          <w:rFonts w:hint="eastAsia"/>
          <w:spacing w:val="-10"/>
        </w:rPr>
        <w:t>塑料成品</w:t>
      </w:r>
      <w:r>
        <w:rPr>
          <w:spacing w:val="-11"/>
        </w:rPr>
        <w:t>等管理不善，导致火灾爆炸，未造成人员中毒或伤亡，环境影响依靠厂区应急力量可以控制的。</w:t>
      </w:r>
    </w:p>
    <w:p>
      <w:pPr>
        <w:pStyle w:val="10"/>
        <w:spacing w:line="364" w:lineRule="auto"/>
        <w:ind w:left="240" w:right="237" w:firstLine="480"/>
      </w:pPr>
      <w:r>
        <w:rPr>
          <w:rFonts w:hint="eastAsia" w:ascii="宋体" w:hAnsi="宋体" w:eastAsia="宋体"/>
        </w:rPr>
        <w:t>②</w:t>
      </w:r>
      <w:r>
        <w:rPr>
          <w:rFonts w:hint="eastAsia"/>
          <w:spacing w:val="-7"/>
        </w:rPr>
        <w:t>有</w:t>
      </w:r>
      <w:r>
        <w:rPr>
          <w:spacing w:val="-7"/>
        </w:rPr>
        <w:t>毒</w:t>
      </w:r>
      <w:r>
        <w:rPr>
          <w:rFonts w:hint="eastAsia"/>
          <w:spacing w:val="-7"/>
        </w:rPr>
        <w:t>液态</w:t>
      </w:r>
      <w:r>
        <w:rPr>
          <w:spacing w:val="-7"/>
        </w:rPr>
        <w:t>输送管道破损，有毒</w:t>
      </w:r>
      <w:r>
        <w:rPr>
          <w:rFonts w:hint="eastAsia"/>
          <w:spacing w:val="-7"/>
        </w:rPr>
        <w:t>液态</w:t>
      </w:r>
      <w:r>
        <w:rPr>
          <w:spacing w:val="-7"/>
        </w:rPr>
        <w:t>泄漏造成环境安全隐患，未造成人员中毒或</w:t>
      </w:r>
      <w:r>
        <w:t>伤亡，可依靠厂区应急能力及时处置的。</w:t>
      </w:r>
    </w:p>
    <w:p>
      <w:pPr>
        <w:pStyle w:val="10"/>
        <w:spacing w:line="364" w:lineRule="auto"/>
        <w:ind w:left="720" w:right="145"/>
      </w:pPr>
      <w:r>
        <w:rPr>
          <w:rFonts w:hint="eastAsia" w:ascii="宋体" w:hAnsi="宋体" w:eastAsia="宋体"/>
        </w:rPr>
        <w:t>③</w:t>
      </w:r>
      <w:r>
        <w:t>机械故障等导致</w:t>
      </w:r>
      <w:r>
        <w:rPr>
          <w:rFonts w:hint="eastAsia"/>
        </w:rPr>
        <w:t>热切工序与印刷</w:t>
      </w:r>
      <w:r>
        <w:t>等废气</w:t>
      </w:r>
      <w:r>
        <w:rPr>
          <w:rFonts w:hint="eastAsia"/>
        </w:rPr>
        <w:t>集气罩收集治</w:t>
      </w:r>
      <w:r>
        <w:t>理设施效率下降，废气大量泄漏造成环境污染的。三级预警：当符合下列条件之一时，可发布三级预警：</w:t>
      </w:r>
    </w:p>
    <w:p>
      <w:pPr>
        <w:pStyle w:val="10"/>
        <w:spacing w:before="161"/>
        <w:ind w:left="720"/>
      </w:pPr>
      <w:r>
        <w:rPr>
          <w:rFonts w:hint="eastAsia" w:ascii="宋体" w:hAnsi="宋体" w:eastAsia="宋体"/>
        </w:rPr>
        <w:t>①</w:t>
      </w:r>
      <w:r>
        <w:t>机械故障等导致</w:t>
      </w:r>
      <w:r>
        <w:rPr>
          <w:rFonts w:hint="eastAsia"/>
        </w:rPr>
        <w:t>热切工序与印刷</w:t>
      </w:r>
      <w:r>
        <w:t>等废气</w:t>
      </w:r>
      <w:r>
        <w:rPr>
          <w:rFonts w:hint="eastAsia"/>
        </w:rPr>
        <w:t>集气罩收集治</w:t>
      </w:r>
      <w:r>
        <w:t>理设施</w:t>
      </w:r>
      <w:r>
        <w:rPr>
          <w:rFonts w:hint="eastAsia"/>
        </w:rPr>
        <w:t>停止运行</w:t>
      </w:r>
      <w:r>
        <w:t>，废气泄漏造成环境污染的。</w:t>
      </w:r>
    </w:p>
    <w:p>
      <w:pPr>
        <w:pStyle w:val="10"/>
        <w:spacing w:line="306" w:lineRule="exact"/>
        <w:ind w:left="720"/>
      </w:pPr>
    </w:p>
    <w:p>
      <w:pPr>
        <w:pStyle w:val="10"/>
        <w:spacing w:before="157" w:line="362" w:lineRule="auto"/>
        <w:ind w:left="240" w:right="237" w:firstLine="480"/>
      </w:pPr>
      <w:r>
        <w:rPr>
          <w:rFonts w:hint="eastAsia" w:ascii="宋体" w:hAnsi="宋体" w:eastAsia="宋体"/>
        </w:rPr>
        <w:t>②</w:t>
      </w:r>
      <w:r>
        <w:rPr>
          <w:spacing w:val="-9"/>
        </w:rPr>
        <w:t>因管理不善，人为事故，随意丢弃危废，或一般固废与废机油</w:t>
      </w:r>
      <w:r>
        <w:rPr>
          <w:rFonts w:hint="eastAsia"/>
          <w:spacing w:val="-9"/>
        </w:rPr>
        <w:t>、废油墨罐、废活性</w:t>
      </w:r>
      <w:r>
        <w:rPr>
          <w:rFonts w:hint="eastAsia"/>
          <w:spacing w:val="-8"/>
        </w:rPr>
        <w:t>炭</w:t>
      </w:r>
      <w:r>
        <w:rPr>
          <w:spacing w:val="-9"/>
        </w:rPr>
        <w:t>等危废混装，造成危废弃</w:t>
      </w:r>
      <w:r>
        <w:t>置、泄漏的。</w:t>
      </w:r>
    </w:p>
    <w:p>
      <w:pPr>
        <w:pStyle w:val="10"/>
        <w:spacing w:before="5" w:line="364" w:lineRule="auto"/>
        <w:ind w:left="240" w:right="237" w:firstLine="480"/>
      </w:pPr>
      <w:r>
        <w:rPr>
          <w:rFonts w:hint="eastAsia" w:ascii="宋体" w:hAnsi="宋体" w:eastAsia="宋体"/>
        </w:rPr>
        <w:t>③</w:t>
      </w:r>
      <w:r>
        <w:rPr>
          <w:spacing w:val="-10"/>
        </w:rPr>
        <w:t>因管理不善，人为事故，容器破损等导致</w:t>
      </w:r>
      <w:r>
        <w:rPr>
          <w:rFonts w:hint="eastAsia"/>
          <w:spacing w:val="-10"/>
        </w:rPr>
        <w:t>油墨</w:t>
      </w:r>
      <w:r>
        <w:rPr>
          <w:spacing w:val="-10"/>
        </w:rPr>
        <w:t>，造成环境安全隐患，污</w:t>
      </w:r>
      <w:r>
        <w:t>染周边环境的。</w:t>
      </w:r>
    </w:p>
    <w:p>
      <w:pPr>
        <w:spacing w:line="364" w:lineRule="auto"/>
        <w:sectPr>
          <w:pgSz w:w="11910" w:h="16840"/>
          <w:pgMar w:top="1360" w:right="840" w:bottom="1180" w:left="840" w:header="882" w:footer="993" w:gutter="0"/>
          <w:cols w:space="720" w:num="1"/>
        </w:sectPr>
      </w:pPr>
    </w:p>
    <w:p>
      <w:pPr>
        <w:pStyle w:val="10"/>
        <w:spacing w:before="64" w:line="364" w:lineRule="auto"/>
        <w:ind w:left="240" w:right="145" w:firstLine="480"/>
      </w:pPr>
      <w:r>
        <w:rPr>
          <w:rFonts w:hint="eastAsia" w:ascii="宋体" w:hAnsi="宋体" w:eastAsia="宋体"/>
        </w:rPr>
        <w:t>④</w:t>
      </w:r>
      <w:r>
        <w:t>消防废水未有效收集， 污染周边环境的。</w:t>
      </w:r>
    </w:p>
    <w:p>
      <w:pPr>
        <w:pStyle w:val="23"/>
        <w:numPr>
          <w:ilvl w:val="2"/>
          <w:numId w:val="6"/>
        </w:numPr>
        <w:tabs>
          <w:tab w:val="left" w:pos="869"/>
        </w:tabs>
        <w:spacing w:before="155"/>
        <w:rPr>
          <w:b/>
          <w:sz w:val="28"/>
        </w:rPr>
      </w:pPr>
      <w:bookmarkStart w:id="99" w:name="4.2.2预警信息发布"/>
      <w:bookmarkEnd w:id="99"/>
      <w:bookmarkStart w:id="100" w:name="_bookmark49"/>
      <w:bookmarkEnd w:id="100"/>
      <w:r>
        <w:rPr>
          <w:b/>
          <w:sz w:val="28"/>
        </w:rPr>
        <w:t>预警信息发布</w:t>
      </w:r>
    </w:p>
    <w:p>
      <w:pPr>
        <w:pStyle w:val="10"/>
        <w:spacing w:before="8"/>
        <w:rPr>
          <w:b/>
          <w:sz w:val="26"/>
        </w:rPr>
      </w:pPr>
    </w:p>
    <w:p>
      <w:pPr>
        <w:pStyle w:val="10"/>
        <w:spacing w:line="364" w:lineRule="auto"/>
        <w:ind w:left="240" w:right="237" w:firstLine="480"/>
      </w:pPr>
      <w:r>
        <w:rPr>
          <w:spacing w:val="-8"/>
        </w:rPr>
        <w:t>企业及时通过互联网、电话、手机短信、当面告知等渠道、方式向附近有可能受到影响的</w:t>
      </w:r>
      <w:r>
        <w:t>居民发布预警信息。</w:t>
      </w:r>
    </w:p>
    <w:p>
      <w:pPr>
        <w:pStyle w:val="23"/>
        <w:numPr>
          <w:ilvl w:val="2"/>
          <w:numId w:val="6"/>
        </w:numPr>
        <w:tabs>
          <w:tab w:val="left" w:pos="869"/>
        </w:tabs>
        <w:spacing w:line="358" w:lineRule="exact"/>
        <w:rPr>
          <w:b/>
          <w:sz w:val="28"/>
        </w:rPr>
      </w:pPr>
      <w:bookmarkStart w:id="101" w:name="4.2.3行动"/>
      <w:bookmarkEnd w:id="101"/>
      <w:bookmarkStart w:id="102" w:name="_bookmark50"/>
      <w:bookmarkEnd w:id="102"/>
      <w:r>
        <w:rPr>
          <w:b/>
          <w:spacing w:val="-1"/>
          <w:w w:val="95"/>
          <w:sz w:val="28"/>
        </w:rPr>
        <w:t>行动</w:t>
      </w:r>
    </w:p>
    <w:p>
      <w:pPr>
        <w:pStyle w:val="10"/>
        <w:spacing w:before="186" w:line="364" w:lineRule="auto"/>
        <w:ind w:left="240" w:right="237" w:firstLine="480"/>
      </w:pPr>
      <w:r>
        <w:rPr>
          <w:spacing w:val="-8"/>
        </w:rPr>
        <w:t>当发生突发环境事件时，应立即预警，并启动本预案，企业报警信号系统按照突发事故严</w:t>
      </w:r>
      <w:r>
        <w:t>重性、紧急程度和可能波及的范围，对突发环境污染事故的预警分为两级，具体如下：</w:t>
      </w:r>
    </w:p>
    <w:p>
      <w:pPr>
        <w:pStyle w:val="10"/>
        <w:spacing w:line="364" w:lineRule="auto"/>
        <w:ind w:left="240" w:right="232" w:firstLine="480"/>
      </w:pPr>
      <w:r>
        <w:rPr>
          <w:b/>
          <w:spacing w:val="-3"/>
        </w:rPr>
        <w:t>一级预警：</w:t>
      </w:r>
      <w:r>
        <w:rPr>
          <w:spacing w:val="-20"/>
        </w:rPr>
        <w:t xml:space="preserve">发生 </w:t>
      </w:r>
      <w:r>
        <w:rPr>
          <w:rFonts w:ascii="Times New Roman" w:eastAsia="Times New Roman"/>
        </w:rPr>
        <w:t xml:space="preserve">I </w:t>
      </w:r>
      <w:r>
        <w:rPr>
          <w:spacing w:val="-6"/>
        </w:rPr>
        <w:t>级事故启动一级警报，展开应急救援，第一时间阻断污染源，控制污染</w:t>
      </w:r>
      <w:r>
        <w:t>扩散范围，同时依照程序立即向政府相关职能部门报告。</w:t>
      </w:r>
    </w:p>
    <w:p>
      <w:pPr>
        <w:pStyle w:val="10"/>
        <w:spacing w:line="364" w:lineRule="auto"/>
        <w:ind w:left="240" w:right="233" w:firstLine="480"/>
      </w:pPr>
      <w:r>
        <w:rPr>
          <w:b/>
          <w:spacing w:val="1"/>
        </w:rPr>
        <w:t>二级预警：</w:t>
      </w:r>
      <w:r>
        <w:rPr>
          <w:spacing w:val="-14"/>
        </w:rPr>
        <w:t xml:space="preserve">发生 </w:t>
      </w:r>
      <w:r>
        <w:rPr>
          <w:rFonts w:ascii="Times New Roman" w:eastAsia="Times New Roman"/>
        </w:rPr>
        <w:t>II</w:t>
      </w:r>
      <w:r>
        <w:rPr>
          <w:rFonts w:ascii="Times New Roman" w:eastAsia="Times New Roman"/>
          <w:spacing w:val="25"/>
        </w:rPr>
        <w:t xml:space="preserve"> </w:t>
      </w:r>
      <w:r>
        <w:t>级事故启动二级警报，展开应急控制措施，依照程序对存在的危险源进行处置，并举一反三对其他可能存在的风险源进行排查，立即向厂区内应急指挥部报告。</w:t>
      </w:r>
    </w:p>
    <w:p>
      <w:pPr>
        <w:pStyle w:val="10"/>
        <w:spacing w:line="362" w:lineRule="auto"/>
        <w:ind w:left="240" w:right="232" w:firstLine="480"/>
      </w:pPr>
      <w:r>
        <w:rPr>
          <w:b/>
        </w:rPr>
        <w:t>三级预警：</w:t>
      </w:r>
      <w:r>
        <w:rPr>
          <w:spacing w:val="-18"/>
        </w:rPr>
        <w:t xml:space="preserve">发生 </w:t>
      </w:r>
      <w:r>
        <w:rPr>
          <w:rFonts w:ascii="Times New Roman" w:eastAsia="Times New Roman"/>
        </w:rPr>
        <w:t>III</w:t>
      </w:r>
      <w:r>
        <w:rPr>
          <w:rFonts w:ascii="Times New Roman" w:eastAsia="Times New Roman"/>
          <w:spacing w:val="10"/>
        </w:rPr>
        <w:t xml:space="preserve"> </w:t>
      </w:r>
      <w:r>
        <w:rPr>
          <w:spacing w:val="-1"/>
        </w:rPr>
        <w:t>级事故启动三级警报，展开应急控制措施，依照程序对存在的危险源</w:t>
      </w:r>
      <w:r>
        <w:t>进行处置，并举一反三对其他可能存在的风险源进行排查，立即向厂区内应急指挥部报告。</w:t>
      </w:r>
    </w:p>
    <w:p>
      <w:pPr>
        <w:pStyle w:val="10"/>
        <w:spacing w:before="1" w:line="364" w:lineRule="auto"/>
        <w:ind w:left="240" w:right="145" w:firstLine="480"/>
      </w:pPr>
      <w:r>
        <w:t>根据事态的发展情况和采取措施的效果，预警可以升级、降低或解除。进入预警状态后， 应当采取的措施：</w:t>
      </w:r>
    </w:p>
    <w:p>
      <w:pPr>
        <w:pStyle w:val="23"/>
        <w:numPr>
          <w:ilvl w:val="0"/>
          <w:numId w:val="27"/>
        </w:numPr>
        <w:tabs>
          <w:tab w:val="left" w:pos="1321"/>
        </w:tabs>
        <w:spacing w:line="306" w:lineRule="exact"/>
        <w:rPr>
          <w:sz w:val="24"/>
        </w:rPr>
      </w:pPr>
      <w:r>
        <w:rPr>
          <w:sz w:val="24"/>
        </w:rPr>
        <w:t>立即启动相关应急预案；</w:t>
      </w:r>
    </w:p>
    <w:p>
      <w:pPr>
        <w:pStyle w:val="23"/>
        <w:numPr>
          <w:ilvl w:val="0"/>
          <w:numId w:val="27"/>
        </w:numPr>
        <w:tabs>
          <w:tab w:val="left" w:pos="1321"/>
        </w:tabs>
        <w:spacing w:before="160"/>
        <w:rPr>
          <w:sz w:val="24"/>
        </w:rPr>
      </w:pPr>
      <w:r>
        <w:rPr>
          <w:sz w:val="24"/>
        </w:rPr>
        <w:t>发布预警公告；</w:t>
      </w:r>
    </w:p>
    <w:p>
      <w:pPr>
        <w:pStyle w:val="23"/>
        <w:numPr>
          <w:ilvl w:val="0"/>
          <w:numId w:val="27"/>
        </w:numPr>
        <w:tabs>
          <w:tab w:val="left" w:pos="1321"/>
        </w:tabs>
        <w:spacing w:before="161"/>
        <w:rPr>
          <w:sz w:val="24"/>
        </w:rPr>
      </w:pPr>
      <w:r>
        <w:rPr>
          <w:sz w:val="24"/>
        </w:rPr>
        <w:t>停止生产，切断污染源；</w:t>
      </w:r>
    </w:p>
    <w:p>
      <w:pPr>
        <w:pStyle w:val="23"/>
        <w:numPr>
          <w:ilvl w:val="0"/>
          <w:numId w:val="27"/>
        </w:numPr>
        <w:tabs>
          <w:tab w:val="left" w:pos="1321"/>
        </w:tabs>
        <w:spacing w:before="158"/>
        <w:rPr>
          <w:sz w:val="24"/>
        </w:rPr>
      </w:pPr>
      <w:r>
        <w:rPr>
          <w:sz w:val="24"/>
        </w:rPr>
        <w:t>转移、撤离或者疏散可能受到危害的人员，并进行妥善安置；</w:t>
      </w:r>
    </w:p>
    <w:p>
      <w:pPr>
        <w:pStyle w:val="23"/>
        <w:numPr>
          <w:ilvl w:val="0"/>
          <w:numId w:val="27"/>
        </w:numPr>
        <w:tabs>
          <w:tab w:val="left" w:pos="1321"/>
        </w:tabs>
        <w:spacing w:before="160"/>
        <w:rPr>
          <w:sz w:val="24"/>
        </w:rPr>
      </w:pPr>
      <w:r>
        <w:rPr>
          <w:sz w:val="24"/>
        </w:rPr>
        <w:t>指令各环境应急处置队伍进入应急状态，随时掌握并报告事态的进展情况。</w:t>
      </w:r>
    </w:p>
    <w:p>
      <w:pPr>
        <w:pStyle w:val="23"/>
        <w:numPr>
          <w:ilvl w:val="0"/>
          <w:numId w:val="27"/>
        </w:numPr>
        <w:tabs>
          <w:tab w:val="left" w:pos="1321"/>
        </w:tabs>
        <w:spacing w:before="159" w:line="364" w:lineRule="auto"/>
        <w:ind w:left="240" w:right="240" w:firstLine="480"/>
        <w:rPr>
          <w:sz w:val="24"/>
        </w:rPr>
      </w:pPr>
      <w:r>
        <w:rPr>
          <w:spacing w:val="-1"/>
          <w:sz w:val="24"/>
        </w:rPr>
        <w:t>针对突发事故可能造成的危害，封闭、隔离或者限制使用有关场所，终止可能导致</w:t>
      </w:r>
      <w:r>
        <w:rPr>
          <w:sz w:val="24"/>
        </w:rPr>
        <w:t>污染扩大的行为和活动。</w:t>
      </w:r>
    </w:p>
    <w:p>
      <w:pPr>
        <w:pStyle w:val="23"/>
        <w:numPr>
          <w:ilvl w:val="0"/>
          <w:numId w:val="27"/>
        </w:numPr>
        <w:tabs>
          <w:tab w:val="left" w:pos="1321"/>
        </w:tabs>
        <w:spacing w:line="306" w:lineRule="exact"/>
        <w:rPr>
          <w:sz w:val="24"/>
        </w:rPr>
      </w:pPr>
      <w:r>
        <w:rPr>
          <w:sz w:val="24"/>
        </w:rPr>
        <w:t>调集环境应急所需物资和设备，确保应急处置工作。</w:t>
      </w:r>
    </w:p>
    <w:p>
      <w:pPr>
        <w:pStyle w:val="10"/>
        <w:spacing w:before="8"/>
      </w:pPr>
    </w:p>
    <w:p>
      <w:pPr>
        <w:pStyle w:val="6"/>
        <w:numPr>
          <w:ilvl w:val="1"/>
          <w:numId w:val="6"/>
        </w:numPr>
        <w:tabs>
          <w:tab w:val="left" w:pos="689"/>
        </w:tabs>
        <w:spacing w:before="1"/>
        <w:ind w:left="688" w:hanging="449"/>
      </w:pPr>
      <w:bookmarkStart w:id="103" w:name="4.3报警、通讯及联络方式"/>
      <w:bookmarkEnd w:id="103"/>
      <w:bookmarkStart w:id="104" w:name="_bookmark51"/>
      <w:bookmarkEnd w:id="104"/>
      <w:r>
        <w:t>报警、通讯及联络方式</w:t>
      </w:r>
    </w:p>
    <w:p>
      <w:pPr>
        <w:pStyle w:val="10"/>
        <w:spacing w:before="9"/>
        <w:rPr>
          <w:b/>
          <w:sz w:val="27"/>
        </w:rPr>
      </w:pPr>
    </w:p>
    <w:p>
      <w:pPr>
        <w:pStyle w:val="23"/>
        <w:numPr>
          <w:ilvl w:val="2"/>
          <w:numId w:val="6"/>
        </w:numPr>
        <w:tabs>
          <w:tab w:val="left" w:pos="869"/>
        </w:tabs>
        <w:rPr>
          <w:b/>
          <w:sz w:val="28"/>
        </w:rPr>
      </w:pPr>
      <w:bookmarkStart w:id="105" w:name="4.3.1报警联络方式"/>
      <w:bookmarkEnd w:id="105"/>
      <w:bookmarkStart w:id="106" w:name="_bookmark52"/>
      <w:bookmarkEnd w:id="106"/>
      <w:r>
        <w:rPr>
          <w:b/>
          <w:sz w:val="28"/>
        </w:rPr>
        <w:t>报警联络方式</w:t>
      </w:r>
    </w:p>
    <w:p>
      <w:pPr>
        <w:pStyle w:val="10"/>
        <w:spacing w:before="8"/>
        <w:rPr>
          <w:b/>
          <w:sz w:val="26"/>
        </w:rPr>
      </w:pPr>
    </w:p>
    <w:p>
      <w:pPr>
        <w:pStyle w:val="10"/>
        <w:ind w:left="720"/>
      </w:pPr>
      <w:r>
        <w:t xml:space="preserve">公司建立 </w:t>
      </w:r>
      <w:r>
        <w:rPr>
          <w:rFonts w:ascii="Times New Roman" w:eastAsia="Times New Roman"/>
        </w:rPr>
        <w:t xml:space="preserve">24 </w:t>
      </w:r>
      <w:r>
        <w:t>小时有效的报警装置，并设昼夜值班室，当发现有隐患时，应在第一时间通</w:t>
      </w:r>
    </w:p>
    <w:p>
      <w:pPr>
        <w:sectPr>
          <w:pgSz w:w="11910" w:h="16840"/>
          <w:pgMar w:top="1360" w:right="840" w:bottom="1180" w:left="840" w:header="882" w:footer="993" w:gutter="0"/>
          <w:cols w:space="720" w:num="1"/>
        </w:sectPr>
      </w:pPr>
    </w:p>
    <w:p>
      <w:pPr>
        <w:pStyle w:val="10"/>
        <w:spacing w:before="64" w:line="364" w:lineRule="auto"/>
        <w:ind w:left="240" w:right="237"/>
      </w:pPr>
      <w:r>
        <w:rPr>
          <w:spacing w:val="-8"/>
        </w:rPr>
        <w:t>知当天值班人员，并迅速联系应急救援办公室，及时组织起应急救援小组，在最快时间内排除</w:t>
      </w:r>
      <w:r>
        <w:t>事故，当发生突发污染事故时，污染事故发现者应根据本预案相关要求立即报警。</w:t>
      </w:r>
    </w:p>
    <w:p>
      <w:pPr>
        <w:pStyle w:val="23"/>
        <w:numPr>
          <w:ilvl w:val="2"/>
          <w:numId w:val="6"/>
        </w:numPr>
        <w:tabs>
          <w:tab w:val="left" w:pos="869"/>
        </w:tabs>
        <w:spacing w:before="155"/>
        <w:rPr>
          <w:b/>
          <w:sz w:val="28"/>
        </w:rPr>
      </w:pPr>
      <w:bookmarkStart w:id="107" w:name="4.3.2内部通讯方式"/>
      <w:bookmarkEnd w:id="107"/>
      <w:bookmarkStart w:id="108" w:name="_bookmark53"/>
      <w:bookmarkEnd w:id="108"/>
      <w:r>
        <w:rPr>
          <w:b/>
          <w:sz w:val="28"/>
        </w:rPr>
        <w:t>内部通讯方式</w:t>
      </w:r>
    </w:p>
    <w:p>
      <w:pPr>
        <w:pStyle w:val="10"/>
        <w:spacing w:before="8"/>
        <w:rPr>
          <w:b/>
          <w:sz w:val="26"/>
        </w:rPr>
      </w:pPr>
    </w:p>
    <w:p>
      <w:pPr>
        <w:pStyle w:val="9"/>
        <w:tabs>
          <w:tab w:val="left" w:pos="1229"/>
        </w:tabs>
        <w:ind w:left="7"/>
      </w:pPr>
      <w:r>
        <w:t>表</w:t>
      </w:r>
      <w:r>
        <w:rPr>
          <w:spacing w:val="-62"/>
        </w:rPr>
        <w:t xml:space="preserve"> </w:t>
      </w:r>
      <w:r>
        <w:rPr>
          <w:rFonts w:ascii="Times New Roman" w:eastAsia="Times New Roman"/>
        </w:rPr>
        <w:t>4.3.2-1</w:t>
      </w:r>
      <w:r>
        <w:rPr>
          <w:rFonts w:ascii="Times New Roman" w:eastAsia="Times New Roman"/>
        </w:rPr>
        <w:tab/>
      </w:r>
      <w:r>
        <w:t>内部通讯方式一览表</w:t>
      </w:r>
    </w:p>
    <w:p>
      <w:pPr>
        <w:pStyle w:val="10"/>
        <w:spacing w:before="4" w:after="1"/>
        <w:rPr>
          <w:b/>
          <w:sz w:val="12"/>
        </w:rPr>
      </w:pPr>
    </w:p>
    <w:tbl>
      <w:tblPr>
        <w:tblStyle w:val="15"/>
        <w:tblW w:w="0" w:type="auto"/>
        <w:tblInd w:w="12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180"/>
        <w:gridCol w:w="1595"/>
        <w:gridCol w:w="3181"/>
        <w:gridCol w:w="200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180" w:type="dxa"/>
            <w:tcBorders>
              <w:left w:val="nil"/>
              <w:bottom w:val="single" w:color="000000" w:sz="4" w:space="0"/>
              <w:right w:val="single" w:color="000000" w:sz="4" w:space="0"/>
            </w:tcBorders>
          </w:tcPr>
          <w:p>
            <w:pPr>
              <w:pStyle w:val="24"/>
              <w:spacing w:before="22"/>
              <w:ind w:left="1162" w:right="1129"/>
              <w:jc w:val="center"/>
              <w:rPr>
                <w:b/>
                <w:sz w:val="21"/>
              </w:rPr>
            </w:pPr>
            <w:r>
              <w:rPr>
                <w:b/>
                <w:sz w:val="21"/>
              </w:rPr>
              <w:t>应急机构</w:t>
            </w:r>
          </w:p>
        </w:tc>
        <w:tc>
          <w:tcPr>
            <w:tcW w:w="1595" w:type="dxa"/>
            <w:tcBorders>
              <w:left w:val="single" w:color="000000" w:sz="4" w:space="0"/>
              <w:bottom w:val="single" w:color="000000" w:sz="4" w:space="0"/>
              <w:right w:val="single" w:color="000000" w:sz="4" w:space="0"/>
            </w:tcBorders>
          </w:tcPr>
          <w:p>
            <w:pPr>
              <w:pStyle w:val="24"/>
              <w:spacing w:before="22"/>
              <w:ind w:left="471" w:right="442"/>
              <w:jc w:val="center"/>
              <w:rPr>
                <w:b/>
                <w:sz w:val="21"/>
              </w:rPr>
            </w:pPr>
            <w:r>
              <w:rPr>
                <w:b/>
                <w:sz w:val="21"/>
              </w:rPr>
              <w:t>姓名</w:t>
            </w:r>
          </w:p>
        </w:tc>
        <w:tc>
          <w:tcPr>
            <w:tcW w:w="3181" w:type="dxa"/>
            <w:tcBorders>
              <w:left w:val="single" w:color="000000" w:sz="4" w:space="0"/>
              <w:bottom w:val="single" w:color="000000" w:sz="4" w:space="0"/>
              <w:right w:val="single" w:color="000000" w:sz="4" w:space="0"/>
            </w:tcBorders>
          </w:tcPr>
          <w:p>
            <w:pPr>
              <w:pStyle w:val="24"/>
              <w:spacing w:before="22"/>
              <w:ind w:left="424" w:right="395"/>
              <w:jc w:val="center"/>
              <w:rPr>
                <w:b/>
                <w:sz w:val="21"/>
              </w:rPr>
            </w:pPr>
            <w:r>
              <w:rPr>
                <w:b/>
                <w:sz w:val="21"/>
              </w:rPr>
              <w:t>应急职务</w:t>
            </w:r>
          </w:p>
        </w:tc>
        <w:tc>
          <w:tcPr>
            <w:tcW w:w="2000" w:type="dxa"/>
            <w:tcBorders>
              <w:left w:val="single" w:color="000000" w:sz="4" w:space="0"/>
              <w:bottom w:val="single" w:color="000000" w:sz="4" w:space="0"/>
              <w:right w:val="nil"/>
            </w:tcBorders>
          </w:tcPr>
          <w:p>
            <w:pPr>
              <w:pStyle w:val="24"/>
              <w:spacing w:before="22"/>
              <w:ind w:left="410" w:right="383"/>
              <w:jc w:val="center"/>
              <w:rPr>
                <w:b/>
                <w:sz w:val="21"/>
              </w:rPr>
            </w:pPr>
            <w:r>
              <w:rPr>
                <w:b/>
                <w:sz w:val="21"/>
              </w:rPr>
              <w:t>联系方式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180" w:type="dxa"/>
            <w:vMerge w:val="restart"/>
            <w:tcBorders>
              <w:top w:val="single" w:color="000000" w:sz="4" w:space="0"/>
              <w:left w:val="nil"/>
              <w:bottom w:val="single" w:color="000000" w:sz="4" w:space="0"/>
              <w:right w:val="single" w:color="000000" w:sz="4" w:space="0"/>
            </w:tcBorders>
          </w:tcPr>
          <w:p>
            <w:pPr>
              <w:jc w:val="center"/>
              <w:rPr>
                <w:szCs w:val="21"/>
              </w:rPr>
            </w:pPr>
          </w:p>
          <w:p>
            <w:pPr>
              <w:jc w:val="center"/>
              <w:rPr>
                <w:sz w:val="21"/>
              </w:rPr>
            </w:pPr>
            <w:r>
              <w:rPr>
                <w:rFonts w:hint="eastAsia"/>
                <w:szCs w:val="21"/>
              </w:rPr>
              <w:t>应急救援指挥部</w:t>
            </w: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刘智东</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总指挥</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13907246986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180" w:type="dxa"/>
            <w:vMerge w:val="continue"/>
            <w:tcBorders>
              <w:top w:val="nil"/>
              <w:left w:val="nil"/>
              <w:bottom w:val="single" w:color="000000" w:sz="4" w:space="0"/>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马奇</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副总指挥（办公室主任）</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15327822228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180" w:type="dxa"/>
            <w:vMerge w:val="restart"/>
            <w:tcBorders>
              <w:top w:val="single" w:color="000000" w:sz="4" w:space="0"/>
              <w:left w:val="nil"/>
              <w:bottom w:val="single" w:color="000000" w:sz="4" w:space="0"/>
              <w:right w:val="single" w:color="000000" w:sz="4" w:space="0"/>
            </w:tcBorders>
          </w:tcPr>
          <w:p>
            <w:pPr>
              <w:jc w:val="center"/>
              <w:rPr>
                <w:szCs w:val="21"/>
              </w:rPr>
            </w:pPr>
          </w:p>
          <w:p>
            <w:pPr>
              <w:jc w:val="center"/>
              <w:rPr>
                <w:szCs w:val="21"/>
              </w:rPr>
            </w:pPr>
          </w:p>
          <w:p>
            <w:pPr>
              <w:jc w:val="center"/>
              <w:rPr>
                <w:sz w:val="21"/>
              </w:rPr>
            </w:pPr>
            <w:r>
              <w:rPr>
                <w:rFonts w:hint="eastAsia"/>
                <w:szCs w:val="21"/>
              </w:rPr>
              <w:t>疏散救援组</w:t>
            </w: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童漫</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组长</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13339870717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180" w:type="dxa"/>
            <w:vMerge w:val="continue"/>
            <w:tcBorders>
              <w:top w:val="nil"/>
              <w:left w:val="nil"/>
              <w:bottom w:val="single" w:color="000000" w:sz="4" w:space="0"/>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周海平</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13135961176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180" w:type="dxa"/>
            <w:vMerge w:val="continue"/>
            <w:tcBorders>
              <w:top w:val="nil"/>
              <w:left w:val="nil"/>
              <w:bottom w:val="single" w:color="000000" w:sz="4" w:space="0"/>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刘亚美</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15871946633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180" w:type="dxa"/>
            <w:vMerge w:val="continue"/>
            <w:tcBorders>
              <w:top w:val="nil"/>
              <w:left w:val="nil"/>
              <w:bottom w:val="single" w:color="000000" w:sz="4" w:space="0"/>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柒楚英</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18971815337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180" w:type="dxa"/>
            <w:vMerge w:val="restart"/>
            <w:tcBorders>
              <w:top w:val="single" w:color="000000" w:sz="4" w:space="0"/>
              <w:left w:val="nil"/>
              <w:bottom w:val="single" w:color="000000" w:sz="4" w:space="0"/>
              <w:right w:val="single" w:color="000000" w:sz="4" w:space="0"/>
            </w:tcBorders>
          </w:tcPr>
          <w:p>
            <w:pPr>
              <w:jc w:val="center"/>
              <w:rPr>
                <w:szCs w:val="21"/>
              </w:rPr>
            </w:pPr>
          </w:p>
          <w:p>
            <w:pPr>
              <w:ind w:firstLine="1100" w:firstLineChars="500"/>
              <w:jc w:val="both"/>
              <w:rPr>
                <w:sz w:val="21"/>
              </w:rPr>
            </w:pPr>
            <w:r>
              <w:rPr>
                <w:rFonts w:hint="eastAsia"/>
              </w:rPr>
              <w:t>环境监测组</w:t>
            </w: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徐萍</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组长</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15586785968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180" w:type="dxa"/>
            <w:vMerge w:val="continue"/>
            <w:tcBorders>
              <w:top w:val="nil"/>
              <w:left w:val="nil"/>
              <w:bottom w:val="single" w:color="000000" w:sz="4" w:space="0"/>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马景新</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13367152491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180" w:type="dxa"/>
            <w:vMerge w:val="continue"/>
            <w:tcBorders>
              <w:top w:val="nil"/>
              <w:left w:val="nil"/>
              <w:bottom w:val="single" w:color="000000" w:sz="4" w:space="0"/>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刘亚美</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15871946633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2" w:hRule="atLeast"/>
        </w:trPr>
        <w:tc>
          <w:tcPr>
            <w:tcW w:w="3180" w:type="dxa"/>
            <w:vMerge w:val="restart"/>
            <w:tcBorders>
              <w:top w:val="single" w:color="000000" w:sz="4" w:space="0"/>
              <w:left w:val="nil"/>
              <w:right w:val="single" w:color="000000" w:sz="4" w:space="0"/>
            </w:tcBorders>
          </w:tcPr>
          <w:p>
            <w:pPr>
              <w:jc w:val="center"/>
              <w:rPr>
                <w:szCs w:val="21"/>
              </w:rPr>
            </w:pPr>
          </w:p>
          <w:p>
            <w:pPr>
              <w:ind w:firstLine="1100" w:firstLineChars="500"/>
              <w:jc w:val="both"/>
              <w:rPr>
                <w:sz w:val="21"/>
              </w:rPr>
            </w:pPr>
            <w:r>
              <w:rPr>
                <w:rFonts w:hint="eastAsia"/>
                <w:szCs w:val="21"/>
              </w:rPr>
              <w:t>后勤医疗组</w:t>
            </w: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刘佳</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组长</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17720331617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3180" w:type="dxa"/>
            <w:vMerge w:val="continue"/>
            <w:tcBorders>
              <w:top w:val="nil"/>
              <w:left w:val="nil"/>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刘高云</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13972856366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trPr>
        <w:tc>
          <w:tcPr>
            <w:tcW w:w="3180" w:type="dxa"/>
            <w:tcBorders>
              <w:top w:val="nil"/>
              <w:left w:val="nil"/>
              <w:right w:val="single" w:color="000000" w:sz="4" w:space="0"/>
            </w:tcBorders>
          </w:tcPr>
          <w:p>
            <w:pPr>
              <w:jc w:val="center"/>
              <w:rPr>
                <w:sz w:val="2"/>
                <w:szCs w:val="2"/>
              </w:rPr>
            </w:pPr>
          </w:p>
        </w:tc>
        <w:tc>
          <w:tcPr>
            <w:tcW w:w="1595" w:type="dxa"/>
            <w:tcBorders>
              <w:top w:val="single" w:color="000000" w:sz="4" w:space="0"/>
              <w:left w:val="single" w:color="000000" w:sz="4" w:space="0"/>
              <w:right w:val="single" w:color="000000" w:sz="4" w:space="0"/>
            </w:tcBorders>
          </w:tcPr>
          <w:p>
            <w:pPr>
              <w:jc w:val="center"/>
              <w:rPr>
                <w:sz w:val="21"/>
              </w:rPr>
            </w:pPr>
            <w:r>
              <w:rPr>
                <w:rFonts w:hint="eastAsia"/>
                <w:szCs w:val="21"/>
              </w:rPr>
              <w:t>马景新</w:t>
            </w:r>
          </w:p>
        </w:tc>
        <w:tc>
          <w:tcPr>
            <w:tcW w:w="3181" w:type="dxa"/>
            <w:tcBorders>
              <w:top w:val="single" w:color="000000" w:sz="4" w:space="0"/>
              <w:left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right w:val="nil"/>
            </w:tcBorders>
          </w:tcPr>
          <w:p>
            <w:pPr>
              <w:jc w:val="center"/>
              <w:rPr>
                <w:rFonts w:ascii="Times New Roman"/>
                <w:sz w:val="21"/>
              </w:rPr>
            </w:pPr>
            <w:r>
              <w:rPr>
                <w:rFonts w:hint="eastAsia"/>
                <w:szCs w:val="21"/>
              </w:rPr>
              <w:t>13367152491</w:t>
            </w:r>
          </w:p>
        </w:tc>
      </w:tr>
    </w:tbl>
    <w:p>
      <w:pPr>
        <w:pStyle w:val="23"/>
        <w:numPr>
          <w:ilvl w:val="2"/>
          <w:numId w:val="6"/>
        </w:numPr>
        <w:tabs>
          <w:tab w:val="left" w:pos="869"/>
        </w:tabs>
        <w:spacing w:before="160"/>
        <w:rPr>
          <w:b/>
          <w:sz w:val="28"/>
        </w:rPr>
      </w:pPr>
      <w:bookmarkStart w:id="109" w:name="4.3.3外部通讯方式"/>
      <w:bookmarkEnd w:id="109"/>
      <w:bookmarkStart w:id="110" w:name="_bookmark54"/>
      <w:bookmarkEnd w:id="110"/>
      <w:r>
        <w:rPr>
          <w:b/>
          <w:sz w:val="28"/>
        </w:rPr>
        <w:t>外部通讯方式</w:t>
      </w:r>
    </w:p>
    <w:p>
      <w:pPr>
        <w:pStyle w:val="10"/>
        <w:spacing w:before="8"/>
        <w:rPr>
          <w:b/>
          <w:sz w:val="26"/>
        </w:rPr>
      </w:pPr>
    </w:p>
    <w:p>
      <w:pPr>
        <w:pStyle w:val="9"/>
        <w:ind w:right="1"/>
      </w:pPr>
      <w:r>
        <w:t xml:space="preserve">表 </w:t>
      </w:r>
      <w:r>
        <w:rPr>
          <w:rFonts w:ascii="Times New Roman" w:eastAsia="Times New Roman"/>
        </w:rPr>
        <w:t xml:space="preserve">4.3.3-1  </w:t>
      </w:r>
      <w:r>
        <w:t>外部通讯方式一览表</w:t>
      </w:r>
    </w:p>
    <w:p>
      <w:pPr>
        <w:pStyle w:val="10"/>
        <w:spacing w:before="4"/>
        <w:rPr>
          <w:b/>
          <w:sz w:val="12"/>
        </w:rPr>
      </w:pPr>
    </w:p>
    <w:tbl>
      <w:tblPr>
        <w:tblStyle w:val="15"/>
        <w:tblW w:w="0" w:type="auto"/>
        <w:tblInd w:w="12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093"/>
        <w:gridCol w:w="486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93" w:type="dxa"/>
            <w:tcBorders>
              <w:left w:val="nil"/>
              <w:bottom w:val="single" w:color="000000" w:sz="4" w:space="0"/>
              <w:right w:val="single" w:color="000000" w:sz="4" w:space="0"/>
            </w:tcBorders>
          </w:tcPr>
          <w:p>
            <w:pPr>
              <w:pStyle w:val="24"/>
              <w:tabs>
                <w:tab w:val="left" w:pos="506"/>
              </w:tabs>
              <w:spacing w:before="32"/>
              <w:ind w:left="86"/>
              <w:jc w:val="center"/>
              <w:rPr>
                <w:b/>
                <w:sz w:val="21"/>
              </w:rPr>
            </w:pPr>
            <w:r>
              <w:rPr>
                <w:b/>
                <w:sz w:val="21"/>
              </w:rPr>
              <w:t>单</w:t>
            </w:r>
            <w:r>
              <w:rPr>
                <w:b/>
                <w:sz w:val="21"/>
              </w:rPr>
              <w:tab/>
            </w:r>
            <w:r>
              <w:rPr>
                <w:b/>
                <w:sz w:val="21"/>
              </w:rPr>
              <w:t>位</w:t>
            </w:r>
          </w:p>
        </w:tc>
        <w:tc>
          <w:tcPr>
            <w:tcW w:w="4863" w:type="dxa"/>
            <w:tcBorders>
              <w:left w:val="single" w:color="000000" w:sz="4" w:space="0"/>
              <w:bottom w:val="single" w:color="000000" w:sz="4" w:space="0"/>
              <w:right w:val="nil"/>
            </w:tcBorders>
          </w:tcPr>
          <w:p>
            <w:pPr>
              <w:pStyle w:val="24"/>
              <w:spacing w:before="32"/>
              <w:ind w:left="1294" w:right="1314"/>
              <w:jc w:val="center"/>
              <w:rPr>
                <w:b/>
                <w:sz w:val="21"/>
              </w:rPr>
            </w:pPr>
            <w:r>
              <w:rPr>
                <w:b/>
                <w:sz w:val="21"/>
              </w:rPr>
              <w:t>联系电话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93" w:type="dxa"/>
            <w:tcBorders>
              <w:top w:val="single" w:color="000000" w:sz="4" w:space="0"/>
              <w:left w:val="nil"/>
              <w:bottom w:val="single" w:color="000000" w:sz="4" w:space="0"/>
              <w:right w:val="single" w:color="000000" w:sz="4" w:space="0"/>
            </w:tcBorders>
          </w:tcPr>
          <w:p>
            <w:pPr>
              <w:pStyle w:val="24"/>
              <w:spacing w:before="32"/>
              <w:ind w:left="86"/>
              <w:jc w:val="center"/>
              <w:rPr>
                <w:sz w:val="21"/>
              </w:rPr>
            </w:pPr>
            <w:r>
              <w:rPr>
                <w:sz w:val="21"/>
              </w:rPr>
              <w:t>火警</w:t>
            </w:r>
          </w:p>
        </w:tc>
        <w:tc>
          <w:tcPr>
            <w:tcW w:w="4863" w:type="dxa"/>
            <w:tcBorders>
              <w:top w:val="single" w:color="000000" w:sz="4" w:space="0"/>
              <w:left w:val="single" w:color="000000" w:sz="4" w:space="0"/>
              <w:bottom w:val="single" w:color="000000" w:sz="4" w:space="0"/>
              <w:right w:val="nil"/>
            </w:tcBorders>
          </w:tcPr>
          <w:p>
            <w:pPr>
              <w:pStyle w:val="24"/>
              <w:spacing w:before="49"/>
              <w:ind w:left="1294" w:right="1315"/>
              <w:jc w:val="center"/>
              <w:rPr>
                <w:rFonts w:ascii="Times New Roman"/>
                <w:sz w:val="21"/>
              </w:rPr>
            </w:pPr>
            <w:r>
              <w:rPr>
                <w:rFonts w:ascii="Times New Roman"/>
                <w:sz w:val="21"/>
              </w:rPr>
              <w:t>119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93" w:type="dxa"/>
            <w:tcBorders>
              <w:top w:val="single" w:color="000000" w:sz="4" w:space="0"/>
              <w:left w:val="nil"/>
              <w:bottom w:val="single" w:color="000000" w:sz="4" w:space="0"/>
              <w:right w:val="single" w:color="000000" w:sz="4" w:space="0"/>
            </w:tcBorders>
          </w:tcPr>
          <w:p>
            <w:pPr>
              <w:pStyle w:val="24"/>
              <w:spacing w:before="33"/>
              <w:ind w:left="84"/>
              <w:jc w:val="center"/>
              <w:rPr>
                <w:sz w:val="21"/>
              </w:rPr>
            </w:pPr>
            <w:r>
              <w:rPr>
                <w:sz w:val="21"/>
              </w:rPr>
              <w:t>交通事件</w:t>
            </w:r>
          </w:p>
        </w:tc>
        <w:tc>
          <w:tcPr>
            <w:tcW w:w="4863" w:type="dxa"/>
            <w:tcBorders>
              <w:top w:val="single" w:color="000000" w:sz="4" w:space="0"/>
              <w:left w:val="single" w:color="000000" w:sz="4" w:space="0"/>
              <w:bottom w:val="single" w:color="000000" w:sz="4" w:space="0"/>
              <w:right w:val="nil"/>
            </w:tcBorders>
          </w:tcPr>
          <w:p>
            <w:pPr>
              <w:pStyle w:val="24"/>
              <w:spacing w:before="47"/>
              <w:ind w:left="1294" w:right="1318"/>
              <w:jc w:val="center"/>
              <w:rPr>
                <w:rFonts w:ascii="Times New Roman"/>
                <w:sz w:val="21"/>
              </w:rPr>
            </w:pPr>
            <w:r>
              <w:rPr>
                <w:rFonts w:ascii="Times New Roman"/>
                <w:sz w:val="21"/>
              </w:rPr>
              <w:t>122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93" w:type="dxa"/>
            <w:tcBorders>
              <w:top w:val="single" w:color="000000" w:sz="4" w:space="0"/>
              <w:left w:val="nil"/>
              <w:bottom w:val="single" w:color="000000" w:sz="4" w:space="0"/>
              <w:right w:val="single" w:color="000000" w:sz="4" w:space="0"/>
            </w:tcBorders>
          </w:tcPr>
          <w:p>
            <w:pPr>
              <w:pStyle w:val="24"/>
              <w:spacing w:before="33"/>
              <w:ind w:left="86"/>
              <w:jc w:val="center"/>
              <w:rPr>
                <w:sz w:val="21"/>
              </w:rPr>
            </w:pPr>
            <w:r>
              <w:rPr>
                <w:sz w:val="21"/>
              </w:rPr>
              <w:t>公安</w:t>
            </w:r>
          </w:p>
        </w:tc>
        <w:tc>
          <w:tcPr>
            <w:tcW w:w="4863" w:type="dxa"/>
            <w:tcBorders>
              <w:top w:val="single" w:color="000000" w:sz="4" w:space="0"/>
              <w:left w:val="single" w:color="000000" w:sz="4" w:space="0"/>
              <w:bottom w:val="single" w:color="000000" w:sz="4" w:space="0"/>
              <w:right w:val="nil"/>
            </w:tcBorders>
          </w:tcPr>
          <w:p>
            <w:pPr>
              <w:pStyle w:val="24"/>
              <w:spacing w:before="47"/>
              <w:ind w:left="1294" w:right="1315"/>
              <w:jc w:val="center"/>
              <w:rPr>
                <w:rFonts w:ascii="Times New Roman"/>
                <w:sz w:val="21"/>
              </w:rPr>
            </w:pPr>
            <w:r>
              <w:rPr>
                <w:rFonts w:ascii="Times New Roman"/>
                <w:sz w:val="21"/>
              </w:rPr>
              <w:t>110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93" w:type="dxa"/>
            <w:tcBorders>
              <w:top w:val="single" w:color="000000" w:sz="4" w:space="0"/>
              <w:left w:val="nil"/>
              <w:bottom w:val="single" w:color="000000" w:sz="4" w:space="0"/>
              <w:right w:val="single" w:color="000000" w:sz="4" w:space="0"/>
            </w:tcBorders>
          </w:tcPr>
          <w:p>
            <w:pPr>
              <w:pStyle w:val="24"/>
              <w:spacing w:before="34"/>
              <w:ind w:left="84"/>
              <w:jc w:val="center"/>
              <w:rPr>
                <w:sz w:val="21"/>
              </w:rPr>
            </w:pPr>
            <w:r>
              <w:rPr>
                <w:sz w:val="21"/>
              </w:rPr>
              <w:t>急救中心</w:t>
            </w:r>
          </w:p>
        </w:tc>
        <w:tc>
          <w:tcPr>
            <w:tcW w:w="4863" w:type="dxa"/>
            <w:tcBorders>
              <w:top w:val="single" w:color="000000" w:sz="4" w:space="0"/>
              <w:left w:val="single" w:color="000000" w:sz="4" w:space="0"/>
              <w:bottom w:val="single" w:color="000000" w:sz="4" w:space="0"/>
              <w:right w:val="nil"/>
            </w:tcBorders>
          </w:tcPr>
          <w:p>
            <w:pPr>
              <w:pStyle w:val="24"/>
              <w:spacing w:before="47"/>
              <w:ind w:left="1294" w:right="1318"/>
              <w:jc w:val="center"/>
              <w:rPr>
                <w:rFonts w:ascii="Times New Roman"/>
                <w:sz w:val="21"/>
              </w:rPr>
            </w:pPr>
            <w:r>
              <w:rPr>
                <w:rFonts w:ascii="Times New Roman"/>
                <w:sz w:val="21"/>
              </w:rPr>
              <w:t>120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93" w:type="dxa"/>
            <w:tcBorders>
              <w:top w:val="single" w:color="000000" w:sz="4" w:space="0"/>
              <w:left w:val="nil"/>
              <w:bottom w:val="single" w:color="000000" w:sz="4" w:space="0"/>
              <w:right w:val="single" w:color="000000" w:sz="4" w:space="0"/>
            </w:tcBorders>
          </w:tcPr>
          <w:p>
            <w:pPr>
              <w:pStyle w:val="24"/>
              <w:spacing w:before="34"/>
              <w:ind w:left="86"/>
              <w:jc w:val="center"/>
              <w:rPr>
                <w:sz w:val="21"/>
              </w:rPr>
            </w:pPr>
            <w:r>
              <w:rPr>
                <w:sz w:val="21"/>
              </w:rPr>
              <w:t>赤壁市人民政府</w:t>
            </w:r>
          </w:p>
        </w:tc>
        <w:tc>
          <w:tcPr>
            <w:tcW w:w="4863" w:type="dxa"/>
            <w:tcBorders>
              <w:top w:val="single" w:color="000000" w:sz="4" w:space="0"/>
              <w:left w:val="single" w:color="000000" w:sz="4" w:space="0"/>
              <w:bottom w:val="single" w:color="000000" w:sz="4" w:space="0"/>
              <w:right w:val="nil"/>
            </w:tcBorders>
          </w:tcPr>
          <w:p>
            <w:pPr>
              <w:pStyle w:val="24"/>
              <w:spacing w:before="48"/>
              <w:ind w:left="1294" w:right="1315"/>
              <w:jc w:val="center"/>
              <w:rPr>
                <w:rFonts w:ascii="Times New Roman"/>
                <w:sz w:val="21"/>
              </w:rPr>
            </w:pPr>
            <w:r>
              <w:rPr>
                <w:rFonts w:ascii="Times New Roman"/>
                <w:sz w:val="21"/>
              </w:rPr>
              <w:t>0715-5353105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93" w:type="dxa"/>
            <w:tcBorders>
              <w:top w:val="single" w:color="000000" w:sz="4" w:space="0"/>
              <w:left w:val="nil"/>
              <w:bottom w:val="single" w:color="000000" w:sz="4" w:space="0"/>
              <w:right w:val="single" w:color="000000" w:sz="4" w:space="0"/>
            </w:tcBorders>
          </w:tcPr>
          <w:p>
            <w:pPr>
              <w:pStyle w:val="24"/>
              <w:spacing w:before="32"/>
              <w:ind w:left="86"/>
              <w:jc w:val="center"/>
              <w:rPr>
                <w:sz w:val="21"/>
              </w:rPr>
            </w:pPr>
            <w:r>
              <w:rPr>
                <w:sz w:val="21"/>
              </w:rPr>
              <w:t>咸宁市中心医院</w:t>
            </w:r>
          </w:p>
        </w:tc>
        <w:tc>
          <w:tcPr>
            <w:tcW w:w="4863" w:type="dxa"/>
            <w:tcBorders>
              <w:top w:val="single" w:color="000000" w:sz="4" w:space="0"/>
              <w:left w:val="single" w:color="000000" w:sz="4" w:space="0"/>
              <w:bottom w:val="single" w:color="000000" w:sz="4" w:space="0"/>
              <w:right w:val="nil"/>
            </w:tcBorders>
          </w:tcPr>
          <w:p>
            <w:pPr>
              <w:pStyle w:val="24"/>
              <w:spacing w:before="48"/>
              <w:ind w:left="1294" w:right="1315"/>
              <w:jc w:val="center"/>
              <w:rPr>
                <w:rFonts w:ascii="Times New Roman"/>
                <w:sz w:val="21"/>
              </w:rPr>
            </w:pPr>
            <w:r>
              <w:rPr>
                <w:rFonts w:ascii="Times New Roman"/>
                <w:sz w:val="21"/>
              </w:rPr>
              <w:t>0715-8896013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93" w:type="dxa"/>
            <w:tcBorders>
              <w:top w:val="single" w:color="000000" w:sz="4" w:space="0"/>
              <w:left w:val="nil"/>
              <w:bottom w:val="single" w:color="000000" w:sz="4" w:space="0"/>
              <w:right w:val="single" w:color="000000" w:sz="4" w:space="0"/>
            </w:tcBorders>
          </w:tcPr>
          <w:p>
            <w:pPr>
              <w:pStyle w:val="24"/>
              <w:spacing w:before="32"/>
              <w:ind w:left="86"/>
              <w:jc w:val="center"/>
              <w:rPr>
                <w:sz w:val="21"/>
              </w:rPr>
            </w:pPr>
            <w:r>
              <w:rPr>
                <w:sz w:val="21"/>
              </w:rPr>
              <w:t>赤壁市人民医院</w:t>
            </w:r>
          </w:p>
        </w:tc>
        <w:tc>
          <w:tcPr>
            <w:tcW w:w="4863" w:type="dxa"/>
            <w:tcBorders>
              <w:top w:val="single" w:color="000000" w:sz="4" w:space="0"/>
              <w:left w:val="single" w:color="000000" w:sz="4" w:space="0"/>
              <w:bottom w:val="single" w:color="000000" w:sz="4" w:space="0"/>
              <w:right w:val="nil"/>
            </w:tcBorders>
          </w:tcPr>
          <w:p>
            <w:pPr>
              <w:pStyle w:val="24"/>
              <w:spacing w:before="49"/>
              <w:ind w:left="1294" w:right="1315"/>
              <w:jc w:val="center"/>
              <w:rPr>
                <w:rFonts w:ascii="Times New Roman"/>
                <w:sz w:val="21"/>
              </w:rPr>
            </w:pPr>
            <w:r>
              <w:rPr>
                <w:rFonts w:ascii="Times New Roman"/>
                <w:sz w:val="21"/>
              </w:rPr>
              <w:t>0715-5369000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93" w:type="dxa"/>
            <w:tcBorders>
              <w:top w:val="single" w:color="000000" w:sz="4" w:space="0"/>
              <w:left w:val="nil"/>
              <w:bottom w:val="single" w:color="000000" w:sz="4" w:space="0"/>
              <w:right w:val="single" w:color="000000" w:sz="4" w:space="0"/>
            </w:tcBorders>
          </w:tcPr>
          <w:p>
            <w:pPr>
              <w:pStyle w:val="24"/>
              <w:spacing w:before="33"/>
              <w:ind w:left="84"/>
              <w:jc w:val="center"/>
              <w:rPr>
                <w:sz w:val="21"/>
              </w:rPr>
            </w:pPr>
            <w:r>
              <w:rPr>
                <w:sz w:val="21"/>
              </w:rPr>
              <w:t>咸宁市生态环境局</w:t>
            </w:r>
          </w:p>
        </w:tc>
        <w:tc>
          <w:tcPr>
            <w:tcW w:w="4863" w:type="dxa"/>
            <w:tcBorders>
              <w:top w:val="single" w:color="000000" w:sz="4" w:space="0"/>
              <w:left w:val="single" w:color="000000" w:sz="4" w:space="0"/>
              <w:bottom w:val="single" w:color="000000" w:sz="4" w:space="0"/>
              <w:right w:val="nil"/>
            </w:tcBorders>
          </w:tcPr>
          <w:p>
            <w:pPr>
              <w:pStyle w:val="24"/>
              <w:spacing w:before="47"/>
              <w:ind w:left="1294" w:right="1315"/>
              <w:jc w:val="center"/>
              <w:rPr>
                <w:rFonts w:ascii="Times New Roman"/>
                <w:sz w:val="21"/>
              </w:rPr>
            </w:pPr>
            <w:r>
              <w:rPr>
                <w:rFonts w:ascii="Times New Roman"/>
                <w:sz w:val="21"/>
              </w:rPr>
              <w:t>0715-8271319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93" w:type="dxa"/>
            <w:tcBorders>
              <w:top w:val="single" w:color="000000" w:sz="4" w:space="0"/>
              <w:left w:val="nil"/>
              <w:bottom w:val="single" w:color="000000" w:sz="4" w:space="0"/>
              <w:right w:val="single" w:color="000000" w:sz="4" w:space="0"/>
            </w:tcBorders>
          </w:tcPr>
          <w:p>
            <w:pPr>
              <w:pStyle w:val="24"/>
              <w:spacing w:before="33"/>
              <w:ind w:left="84"/>
              <w:jc w:val="center"/>
              <w:rPr>
                <w:sz w:val="21"/>
              </w:rPr>
            </w:pPr>
            <w:r>
              <w:rPr>
                <w:sz w:val="21"/>
              </w:rPr>
              <w:t>咸宁市生态环境局赤壁市分局</w:t>
            </w:r>
          </w:p>
        </w:tc>
        <w:tc>
          <w:tcPr>
            <w:tcW w:w="4863" w:type="dxa"/>
            <w:tcBorders>
              <w:top w:val="single" w:color="000000" w:sz="4" w:space="0"/>
              <w:left w:val="single" w:color="000000" w:sz="4" w:space="0"/>
              <w:bottom w:val="single" w:color="000000" w:sz="4" w:space="0"/>
              <w:right w:val="nil"/>
            </w:tcBorders>
          </w:tcPr>
          <w:p>
            <w:pPr>
              <w:pStyle w:val="24"/>
              <w:spacing w:before="47"/>
              <w:ind w:left="1294" w:right="1315"/>
              <w:jc w:val="center"/>
              <w:rPr>
                <w:rFonts w:ascii="Times New Roman"/>
                <w:sz w:val="21"/>
              </w:rPr>
            </w:pPr>
            <w:r>
              <w:rPr>
                <w:rFonts w:ascii="Times New Roman"/>
                <w:sz w:val="21"/>
              </w:rPr>
              <w:t>0715-5355351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93" w:type="dxa"/>
            <w:tcBorders>
              <w:top w:val="single" w:color="000000" w:sz="4" w:space="0"/>
              <w:left w:val="nil"/>
              <w:bottom w:val="single" w:color="000000" w:sz="4" w:space="0"/>
              <w:right w:val="single" w:color="000000" w:sz="4" w:space="0"/>
            </w:tcBorders>
          </w:tcPr>
          <w:p>
            <w:pPr>
              <w:pStyle w:val="24"/>
              <w:spacing w:before="34"/>
              <w:ind w:left="86"/>
              <w:jc w:val="center"/>
              <w:rPr>
                <w:sz w:val="21"/>
              </w:rPr>
            </w:pPr>
            <w:r>
              <w:rPr>
                <w:sz w:val="21"/>
              </w:rPr>
              <w:t>赤壁市公安局</w:t>
            </w:r>
          </w:p>
        </w:tc>
        <w:tc>
          <w:tcPr>
            <w:tcW w:w="4863" w:type="dxa"/>
            <w:tcBorders>
              <w:top w:val="single" w:color="000000" w:sz="4" w:space="0"/>
              <w:left w:val="single" w:color="000000" w:sz="4" w:space="0"/>
              <w:bottom w:val="single" w:color="000000" w:sz="4" w:space="0"/>
              <w:right w:val="nil"/>
            </w:tcBorders>
          </w:tcPr>
          <w:p>
            <w:pPr>
              <w:pStyle w:val="24"/>
              <w:spacing w:before="47"/>
              <w:ind w:left="1294" w:right="1311"/>
              <w:jc w:val="center"/>
              <w:rPr>
                <w:rFonts w:ascii="Times New Roman"/>
                <w:sz w:val="21"/>
              </w:rPr>
            </w:pPr>
            <w:r>
              <w:rPr>
                <w:rFonts w:ascii="Times New Roman"/>
                <w:sz w:val="21"/>
              </w:rPr>
              <w:t>0715-5263411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93" w:type="dxa"/>
            <w:tcBorders>
              <w:top w:val="single" w:color="000000" w:sz="4" w:space="0"/>
              <w:left w:val="nil"/>
              <w:bottom w:val="single" w:color="000000" w:sz="4" w:space="0"/>
              <w:right w:val="single" w:color="000000" w:sz="4" w:space="0"/>
            </w:tcBorders>
          </w:tcPr>
          <w:p>
            <w:pPr>
              <w:pStyle w:val="24"/>
              <w:spacing w:before="34"/>
              <w:ind w:left="84"/>
              <w:jc w:val="center"/>
              <w:rPr>
                <w:sz w:val="21"/>
              </w:rPr>
            </w:pPr>
            <w:r>
              <w:rPr>
                <w:sz w:val="21"/>
              </w:rPr>
              <w:t>赤壁市应急管理局</w:t>
            </w:r>
          </w:p>
        </w:tc>
        <w:tc>
          <w:tcPr>
            <w:tcW w:w="4863" w:type="dxa"/>
            <w:tcBorders>
              <w:top w:val="single" w:color="000000" w:sz="4" w:space="0"/>
              <w:left w:val="single" w:color="000000" w:sz="4" w:space="0"/>
              <w:bottom w:val="single" w:color="000000" w:sz="4" w:space="0"/>
              <w:right w:val="nil"/>
            </w:tcBorders>
          </w:tcPr>
          <w:p>
            <w:pPr>
              <w:pStyle w:val="24"/>
              <w:spacing w:before="48"/>
              <w:ind w:left="1294" w:right="1315"/>
              <w:jc w:val="center"/>
              <w:rPr>
                <w:rFonts w:ascii="Times New Roman"/>
                <w:sz w:val="21"/>
              </w:rPr>
            </w:pPr>
            <w:r>
              <w:rPr>
                <w:rFonts w:ascii="Times New Roman"/>
                <w:sz w:val="21"/>
              </w:rPr>
              <w:t>0715-5353630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93" w:type="dxa"/>
            <w:tcBorders>
              <w:top w:val="single" w:color="000000" w:sz="4" w:space="0"/>
              <w:left w:val="nil"/>
              <w:bottom w:val="single" w:color="000000" w:sz="4" w:space="0"/>
              <w:right w:val="single" w:color="000000" w:sz="4" w:space="0"/>
            </w:tcBorders>
          </w:tcPr>
          <w:p>
            <w:pPr>
              <w:pStyle w:val="24"/>
              <w:spacing w:before="32"/>
              <w:ind w:left="84"/>
              <w:jc w:val="center"/>
              <w:rPr>
                <w:sz w:val="21"/>
              </w:rPr>
            </w:pPr>
            <w:r>
              <w:rPr>
                <w:sz w:val="21"/>
              </w:rPr>
              <w:t>赤壁市水利和湖泊局</w:t>
            </w:r>
          </w:p>
        </w:tc>
        <w:tc>
          <w:tcPr>
            <w:tcW w:w="4863" w:type="dxa"/>
            <w:tcBorders>
              <w:top w:val="single" w:color="000000" w:sz="4" w:space="0"/>
              <w:left w:val="single" w:color="000000" w:sz="4" w:space="0"/>
              <w:bottom w:val="single" w:color="000000" w:sz="4" w:space="0"/>
              <w:right w:val="nil"/>
            </w:tcBorders>
          </w:tcPr>
          <w:p>
            <w:pPr>
              <w:pStyle w:val="24"/>
              <w:spacing w:before="48"/>
              <w:ind w:left="1294" w:right="1315"/>
              <w:jc w:val="center"/>
              <w:rPr>
                <w:rFonts w:ascii="Times New Roman"/>
                <w:sz w:val="21"/>
              </w:rPr>
            </w:pPr>
            <w:r>
              <w:rPr>
                <w:rFonts w:ascii="Times New Roman"/>
                <w:sz w:val="21"/>
              </w:rPr>
              <w:t>0715-5351315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93" w:type="dxa"/>
            <w:tcBorders>
              <w:top w:val="single" w:color="000000" w:sz="4" w:space="0"/>
              <w:left w:val="nil"/>
              <w:bottom w:val="single" w:color="000000" w:sz="4" w:space="0"/>
              <w:right w:val="single" w:color="000000" w:sz="4" w:space="0"/>
            </w:tcBorders>
          </w:tcPr>
          <w:p>
            <w:pPr>
              <w:pStyle w:val="24"/>
              <w:spacing w:before="32"/>
              <w:ind w:left="86"/>
              <w:jc w:val="center"/>
              <w:rPr>
                <w:sz w:val="21"/>
              </w:rPr>
            </w:pPr>
            <w:r>
              <w:rPr>
                <w:sz w:val="21"/>
              </w:rPr>
              <w:t>赤壁市自然资源和规划局</w:t>
            </w:r>
          </w:p>
        </w:tc>
        <w:tc>
          <w:tcPr>
            <w:tcW w:w="4863" w:type="dxa"/>
            <w:tcBorders>
              <w:top w:val="single" w:color="000000" w:sz="4" w:space="0"/>
              <w:left w:val="single" w:color="000000" w:sz="4" w:space="0"/>
              <w:bottom w:val="single" w:color="000000" w:sz="4" w:space="0"/>
              <w:right w:val="nil"/>
            </w:tcBorders>
          </w:tcPr>
          <w:p>
            <w:pPr>
              <w:pStyle w:val="24"/>
              <w:spacing w:before="49"/>
              <w:ind w:left="1294" w:right="1315"/>
              <w:jc w:val="center"/>
              <w:rPr>
                <w:rFonts w:ascii="Times New Roman"/>
                <w:sz w:val="21"/>
              </w:rPr>
            </w:pPr>
            <w:r>
              <w:rPr>
                <w:rFonts w:ascii="Times New Roman"/>
                <w:sz w:val="21"/>
              </w:rPr>
              <w:t>0715-5350659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93" w:type="dxa"/>
            <w:tcBorders>
              <w:top w:val="single" w:color="000000" w:sz="4" w:space="0"/>
              <w:left w:val="nil"/>
              <w:bottom w:val="single" w:color="000000" w:sz="4" w:space="0"/>
              <w:right w:val="single" w:color="000000" w:sz="4" w:space="0"/>
            </w:tcBorders>
          </w:tcPr>
          <w:p>
            <w:pPr>
              <w:pStyle w:val="24"/>
              <w:spacing w:before="32"/>
              <w:ind w:left="30"/>
              <w:jc w:val="center"/>
              <w:rPr>
                <w:sz w:val="21"/>
              </w:rPr>
            </w:pPr>
            <w:r>
              <w:rPr>
                <w:rFonts w:hint="eastAsia"/>
                <w:sz w:val="21"/>
              </w:rPr>
              <w:t>陆水湖街道办</w:t>
            </w:r>
          </w:p>
        </w:tc>
        <w:tc>
          <w:tcPr>
            <w:tcW w:w="4863" w:type="dxa"/>
            <w:tcBorders>
              <w:top w:val="single" w:color="000000" w:sz="4" w:space="0"/>
              <w:left w:val="single" w:color="000000" w:sz="4" w:space="0"/>
              <w:bottom w:val="single" w:color="000000" w:sz="4" w:space="0"/>
              <w:right w:val="nil"/>
            </w:tcBorders>
          </w:tcPr>
          <w:p>
            <w:pPr>
              <w:pStyle w:val="24"/>
              <w:spacing w:before="48"/>
              <w:ind w:left="1292" w:right="1267"/>
              <w:jc w:val="center"/>
              <w:rPr>
                <w:rFonts w:ascii="Times New Roman"/>
                <w:sz w:val="21"/>
              </w:rPr>
            </w:pPr>
            <w:r>
              <w:rPr>
                <w:rFonts w:ascii="Times New Roman"/>
                <w:sz w:val="21"/>
              </w:rPr>
              <w:t>0715-5</w:t>
            </w:r>
            <w:r>
              <w:rPr>
                <w:rFonts w:hint="eastAsia" w:ascii="Times New Roman"/>
                <w:sz w:val="21"/>
                <w:lang w:val="en-US"/>
              </w:rPr>
              <w:t>510037</w:t>
            </w:r>
          </w:p>
        </w:tc>
      </w:tr>
    </w:tbl>
    <w:p>
      <w:pPr>
        <w:jc w:val="center"/>
        <w:rPr>
          <w:sz w:val="21"/>
        </w:rPr>
        <w:sectPr>
          <w:pgSz w:w="11910" w:h="16840"/>
          <w:pgMar w:top="1360" w:right="840" w:bottom="1180" w:left="840" w:header="882" w:footer="993" w:gutter="0"/>
          <w:cols w:space="720" w:num="1"/>
        </w:sectPr>
      </w:pPr>
    </w:p>
    <w:p>
      <w:pPr>
        <w:pStyle w:val="5"/>
        <w:numPr>
          <w:ilvl w:val="0"/>
          <w:numId w:val="6"/>
        </w:numPr>
        <w:tabs>
          <w:tab w:val="left" w:pos="560"/>
        </w:tabs>
        <w:spacing w:before="65"/>
        <w:ind w:left="559" w:hanging="320"/>
      </w:pPr>
      <w:bookmarkStart w:id="111" w:name="_bookmark55"/>
      <w:bookmarkEnd w:id="111"/>
      <w:bookmarkStart w:id="112" w:name="5_信息报告与通报"/>
      <w:bookmarkEnd w:id="112"/>
      <w:r>
        <w:rPr>
          <w:w w:val="95"/>
        </w:rPr>
        <w:t>信息报告与通报</w:t>
      </w:r>
    </w:p>
    <w:p>
      <w:pPr>
        <w:pStyle w:val="10"/>
        <w:spacing w:before="10"/>
        <w:rPr>
          <w:b/>
          <w:sz w:val="28"/>
        </w:rPr>
      </w:pPr>
    </w:p>
    <w:p>
      <w:pPr>
        <w:pStyle w:val="6"/>
        <w:numPr>
          <w:ilvl w:val="1"/>
          <w:numId w:val="6"/>
        </w:numPr>
        <w:tabs>
          <w:tab w:val="left" w:pos="766"/>
        </w:tabs>
      </w:pPr>
      <w:bookmarkStart w:id="113" w:name="5.1_内部信息报告"/>
      <w:bookmarkEnd w:id="113"/>
      <w:bookmarkStart w:id="114" w:name="_bookmark56"/>
      <w:bookmarkEnd w:id="114"/>
      <w:r>
        <w:rPr>
          <w:w w:val="95"/>
        </w:rPr>
        <w:t>内部信息报告</w:t>
      </w:r>
    </w:p>
    <w:p>
      <w:pPr>
        <w:pStyle w:val="10"/>
        <w:spacing w:before="8"/>
        <w:rPr>
          <w:b/>
          <w:sz w:val="27"/>
        </w:rPr>
      </w:pPr>
    </w:p>
    <w:p>
      <w:pPr>
        <w:pStyle w:val="10"/>
        <w:spacing w:before="1" w:line="362" w:lineRule="auto"/>
        <w:ind w:left="240" w:right="237" w:firstLine="480"/>
        <w:jc w:val="both"/>
      </w:pPr>
      <w:r>
        <w:rPr>
          <w:spacing w:val="-2"/>
        </w:rPr>
        <w:t xml:space="preserve">当发生环境事故或发现有隐患时，应在第一时间通知当天值班人员，企业 </w:t>
      </w:r>
      <w:r>
        <w:rPr>
          <w:rFonts w:ascii="Times New Roman" w:eastAsia="Times New Roman"/>
        </w:rPr>
        <w:t xml:space="preserve">24 </w:t>
      </w:r>
      <w:r>
        <w:rPr>
          <w:spacing w:val="-3"/>
        </w:rPr>
        <w:t>小时值班电</w:t>
      </w:r>
      <w:r>
        <w:rPr>
          <w:spacing w:val="-30"/>
        </w:rPr>
        <w:t xml:space="preserve">话 </w:t>
      </w:r>
      <w:r>
        <w:rPr>
          <w:rFonts w:hint="eastAsia"/>
          <w:szCs w:val="21"/>
        </w:rPr>
        <w:t>13907246986</w:t>
      </w:r>
      <w:r>
        <w:t>。因值班电话更换时，应及时告知每一位工作人员。</w:t>
      </w:r>
    </w:p>
    <w:p>
      <w:pPr>
        <w:pStyle w:val="23"/>
        <w:numPr>
          <w:ilvl w:val="2"/>
          <w:numId w:val="6"/>
        </w:numPr>
        <w:tabs>
          <w:tab w:val="left" w:pos="941"/>
        </w:tabs>
        <w:spacing w:before="161"/>
        <w:ind w:left="940" w:hanging="701"/>
        <w:rPr>
          <w:b/>
          <w:sz w:val="28"/>
        </w:rPr>
      </w:pPr>
      <w:bookmarkStart w:id="115" w:name="_bookmark57"/>
      <w:bookmarkEnd w:id="115"/>
      <w:bookmarkStart w:id="116" w:name="5.1.1_事故信息报告"/>
      <w:bookmarkEnd w:id="116"/>
      <w:r>
        <w:rPr>
          <w:b/>
          <w:sz w:val="28"/>
        </w:rPr>
        <w:t>事故信息报告</w:t>
      </w:r>
    </w:p>
    <w:p>
      <w:pPr>
        <w:pStyle w:val="10"/>
        <w:spacing w:before="8"/>
        <w:rPr>
          <w:b/>
          <w:sz w:val="26"/>
        </w:rPr>
      </w:pPr>
    </w:p>
    <w:p>
      <w:pPr>
        <w:pStyle w:val="10"/>
        <w:spacing w:before="1" w:line="364" w:lineRule="auto"/>
        <w:ind w:left="240" w:right="237" w:firstLine="480"/>
        <w:jc w:val="both"/>
      </w:pPr>
      <w:r>
        <w:rPr>
          <w:spacing w:val="-10"/>
        </w:rPr>
        <w:t>（</w:t>
      </w:r>
      <w:r>
        <w:rPr>
          <w:rFonts w:ascii="Times New Roman" w:eastAsia="Times New Roman"/>
          <w:spacing w:val="-10"/>
        </w:rPr>
        <w:t>1</w:t>
      </w:r>
      <w:r>
        <w:rPr>
          <w:spacing w:val="-10"/>
        </w:rPr>
        <w:t>）</w:t>
      </w:r>
      <w:r>
        <w:rPr>
          <w:rFonts w:ascii="Times New Roman" w:eastAsia="Times New Roman"/>
          <w:spacing w:val="-10"/>
        </w:rPr>
        <w:t xml:space="preserve">I </w:t>
      </w:r>
      <w:r>
        <w:rPr>
          <w:spacing w:val="-9"/>
        </w:rPr>
        <w:t>级事故：在岗人员应立即电话汇报企业应急指挥部办公室及总指挥，总指挥决定启动环境应急预案，并及时向咸宁市生态环境局赤壁市分局及有关政府部门报告事故情况。应急</w:t>
      </w:r>
      <w:r>
        <w:rPr>
          <w:spacing w:val="-10"/>
        </w:rPr>
        <w:t>指挥部组织、指挥、协调各应急反应小组进行应急处置行动。在处置完现场后，企业应急指挥</w:t>
      </w:r>
      <w:r>
        <w:t>部向咸宁市生态环境局赤壁市分局报告备案。</w:t>
      </w:r>
    </w:p>
    <w:p>
      <w:pPr>
        <w:pStyle w:val="10"/>
        <w:spacing w:line="362" w:lineRule="auto"/>
        <w:ind w:left="240" w:right="235" w:firstLine="480"/>
        <w:jc w:val="both"/>
      </w:pPr>
      <w:r>
        <w:t>（</w:t>
      </w:r>
      <w:r>
        <w:rPr>
          <w:rFonts w:ascii="Times New Roman" w:eastAsia="Times New Roman"/>
        </w:rPr>
        <w:t>2</w:t>
      </w:r>
      <w:r>
        <w:t>）</w:t>
      </w:r>
      <w:r>
        <w:rPr>
          <w:rFonts w:ascii="Times New Roman" w:eastAsia="Times New Roman"/>
        </w:rPr>
        <w:t xml:space="preserve">II </w:t>
      </w:r>
      <w:r>
        <w:t>级事故：在岗人员报应急指挥部办公室，企业应急指挥部办公室组织救援排险。事故排除（应急救援结束）后上报咸宁市生态环境局赤壁市分局备案。</w:t>
      </w:r>
    </w:p>
    <w:p>
      <w:pPr>
        <w:pStyle w:val="10"/>
        <w:spacing w:before="2"/>
        <w:ind w:left="720"/>
        <w:jc w:val="both"/>
      </w:pPr>
      <w:r>
        <w:rPr>
          <w:spacing w:val="-10"/>
        </w:rPr>
        <w:t>（</w:t>
      </w:r>
      <w:r>
        <w:rPr>
          <w:rFonts w:ascii="Times New Roman" w:eastAsia="Times New Roman"/>
          <w:spacing w:val="-10"/>
        </w:rPr>
        <w:t>3</w:t>
      </w:r>
      <w:r>
        <w:rPr>
          <w:spacing w:val="-10"/>
        </w:rPr>
        <w:t>）</w:t>
      </w:r>
      <w:r>
        <w:rPr>
          <w:rFonts w:ascii="Times New Roman" w:eastAsia="Times New Roman"/>
          <w:spacing w:val="-10"/>
        </w:rPr>
        <w:t xml:space="preserve">III </w:t>
      </w:r>
      <w:r>
        <w:rPr>
          <w:spacing w:val="-11"/>
        </w:rPr>
        <w:t>级事故：在岗人员报应急救援办公室，企业应急指挥部办公室主任组织救援排险。</w:t>
      </w:r>
    </w:p>
    <w:p>
      <w:pPr>
        <w:pStyle w:val="10"/>
        <w:spacing w:before="158" w:line="364" w:lineRule="auto"/>
        <w:ind w:left="240" w:right="115" w:firstLine="480"/>
      </w:pPr>
      <w:r>
        <w:t>（</w:t>
      </w:r>
      <w:r>
        <w:rPr>
          <w:rFonts w:ascii="Times New Roman" w:eastAsia="Times New Roman"/>
        </w:rPr>
        <w:t>4</w:t>
      </w:r>
      <w:r>
        <w:t>）企业应急救援指挥部负责调解事态发展，总指挥根据事故的情况决定应急响应规模</w:t>
      </w:r>
      <w:r>
        <w:rPr>
          <w:spacing w:val="-16"/>
        </w:rPr>
        <w:t xml:space="preserve">和级别。若发生重大环境污染事故，总指挥宣布启动应急预案，并通知指挥部成员单位负责人， </w:t>
      </w:r>
      <w:r>
        <w:t>及时做好应急准备。</w:t>
      </w:r>
    </w:p>
    <w:p>
      <w:pPr>
        <w:pStyle w:val="23"/>
        <w:numPr>
          <w:ilvl w:val="2"/>
          <w:numId w:val="6"/>
        </w:numPr>
        <w:tabs>
          <w:tab w:val="left" w:pos="941"/>
        </w:tabs>
        <w:spacing w:before="156"/>
        <w:ind w:left="940" w:hanging="701"/>
        <w:rPr>
          <w:b/>
          <w:sz w:val="28"/>
        </w:rPr>
      </w:pPr>
      <w:bookmarkStart w:id="117" w:name="_bookmark58"/>
      <w:bookmarkEnd w:id="117"/>
      <w:bookmarkStart w:id="118" w:name="5.1.2_事故信息通报"/>
      <w:bookmarkEnd w:id="118"/>
      <w:r>
        <w:rPr>
          <w:b/>
          <w:sz w:val="28"/>
        </w:rPr>
        <w:t>事故信息通报</w:t>
      </w:r>
    </w:p>
    <w:p>
      <w:pPr>
        <w:pStyle w:val="10"/>
        <w:spacing w:before="8"/>
        <w:rPr>
          <w:b/>
          <w:sz w:val="26"/>
        </w:rPr>
      </w:pPr>
    </w:p>
    <w:p>
      <w:pPr>
        <w:pStyle w:val="10"/>
        <w:spacing w:before="1"/>
        <w:ind w:left="600"/>
      </w:pPr>
      <w:r>
        <w:t>为确实达到良好通知效果，通知内容制定如下：</w:t>
      </w:r>
    </w:p>
    <w:p>
      <w:pPr>
        <w:pStyle w:val="10"/>
        <w:tabs>
          <w:tab w:val="left" w:leader="hyphen" w:pos="9842"/>
        </w:tabs>
        <w:spacing w:before="158"/>
        <w:ind w:left="720"/>
      </w:pPr>
      <w:r>
        <w:t>（</w:t>
      </w:r>
      <w:r>
        <w:rPr>
          <w:rFonts w:ascii="Times New Roman" w:hAnsi="Times New Roman" w:eastAsia="Times New Roman"/>
        </w:rPr>
        <w:t>1</w:t>
      </w:r>
      <w:r>
        <w:t>）</w:t>
      </w:r>
      <w:r>
        <w:rPr>
          <w:rFonts w:ascii="Times New Roman" w:hAnsi="Times New Roman" w:eastAsia="Times New Roman"/>
        </w:rPr>
        <w:t>----</w:t>
      </w:r>
      <w:r>
        <w:t>警报：</w:t>
      </w:r>
      <w:r>
        <w:rPr>
          <w:rFonts w:ascii="Times New Roman" w:hAnsi="Times New Roman" w:eastAsia="Times New Roman"/>
        </w:rPr>
        <w:t>“</w:t>
      </w:r>
      <w:r>
        <w:t>紧急通报</w:t>
      </w:r>
      <w:r>
        <w:rPr>
          <w:rFonts w:ascii="Times New Roman" w:hAnsi="Times New Roman" w:eastAsia="Times New Roman"/>
        </w:rPr>
        <w:t>!----</w:t>
      </w:r>
      <w:r>
        <w:t>发生泄漏（爆炸、火灾）</w:t>
      </w:r>
      <w:r>
        <w:rPr>
          <w:rFonts w:ascii="Times New Roman" w:hAnsi="Times New Roman" w:eastAsia="Times New Roman"/>
        </w:rPr>
        <w:t>!</w:t>
      </w:r>
      <w:r>
        <w:t>地点：</w:t>
      </w:r>
      <w:r>
        <w:rPr>
          <w:rFonts w:ascii="Times New Roman" w:hAnsi="Times New Roman" w:eastAsia="Times New Roman"/>
        </w:rPr>
        <w:t>----</w:t>
      </w:r>
      <w:r>
        <w:t>，疏散方向、路径</w:t>
      </w:r>
      <w:r>
        <w:tab/>
      </w:r>
      <w:r>
        <w:t>，</w:t>
      </w:r>
    </w:p>
    <w:p>
      <w:pPr>
        <w:pStyle w:val="10"/>
        <w:tabs>
          <w:tab w:val="left" w:leader="hyphen" w:pos="1999"/>
        </w:tabs>
        <w:spacing w:before="160"/>
        <w:ind w:left="240"/>
      </w:pPr>
      <w:r>
        <w:t>抢救编组人员</w:t>
      </w:r>
      <w:r>
        <w:tab/>
      </w:r>
      <w:r>
        <w:t>各就各位，执行抢救（三遍）</w:t>
      </w:r>
      <w:r>
        <w:rPr>
          <w:rFonts w:ascii="Times New Roman" w:hAnsi="Times New Roman" w:eastAsia="Times New Roman"/>
        </w:rPr>
        <w:t>”</w:t>
      </w:r>
      <w:r>
        <w:t>。</w:t>
      </w:r>
    </w:p>
    <w:p>
      <w:pPr>
        <w:pStyle w:val="23"/>
        <w:numPr>
          <w:ilvl w:val="0"/>
          <w:numId w:val="28"/>
        </w:numPr>
        <w:tabs>
          <w:tab w:val="left" w:pos="1321"/>
          <w:tab w:val="left" w:leader="hyphen" w:pos="7643"/>
        </w:tabs>
        <w:spacing w:before="161"/>
        <w:rPr>
          <w:sz w:val="24"/>
        </w:rPr>
      </w:pPr>
      <w:r>
        <w:rPr>
          <w:sz w:val="24"/>
        </w:rPr>
        <w:t>疏散警报</w:t>
      </w:r>
      <w:r>
        <w:rPr>
          <w:rFonts w:ascii="Times New Roman" w:hAnsi="Times New Roman" w:eastAsia="Times New Roman"/>
          <w:sz w:val="24"/>
        </w:rPr>
        <w:t>“</w:t>
      </w:r>
      <w:r>
        <w:rPr>
          <w:sz w:val="24"/>
        </w:rPr>
        <w:t>疏散通报</w:t>
      </w:r>
      <w:r>
        <w:rPr>
          <w:rFonts w:ascii="Times New Roman" w:hAnsi="Times New Roman" w:eastAsia="Times New Roman"/>
          <w:sz w:val="24"/>
        </w:rPr>
        <w:t>!</w:t>
      </w:r>
      <w:r>
        <w:rPr>
          <w:sz w:val="24"/>
        </w:rPr>
        <w:t>非紧急应变编组人</w:t>
      </w:r>
      <w:r>
        <w:rPr>
          <w:spacing w:val="-17"/>
          <w:sz w:val="24"/>
        </w:rPr>
        <w:t>员</w:t>
      </w:r>
      <w:r>
        <w:rPr>
          <w:sz w:val="24"/>
        </w:rPr>
        <w:t>（人员</w:t>
      </w:r>
      <w:r>
        <w:rPr>
          <w:spacing w:val="-17"/>
          <w:sz w:val="24"/>
        </w:rPr>
        <w:t>、</w:t>
      </w:r>
      <w:r>
        <w:rPr>
          <w:sz w:val="24"/>
        </w:rPr>
        <w:t>车辆）</w:t>
      </w:r>
      <w:r>
        <w:rPr>
          <w:sz w:val="24"/>
        </w:rPr>
        <w:tab/>
      </w:r>
      <w:r>
        <w:rPr>
          <w:spacing w:val="-15"/>
          <w:sz w:val="24"/>
        </w:rPr>
        <w:t>，</w:t>
      </w:r>
      <w:r>
        <w:rPr>
          <w:sz w:val="24"/>
        </w:rPr>
        <w:t>现在开</w:t>
      </w:r>
      <w:r>
        <w:rPr>
          <w:spacing w:val="-17"/>
          <w:sz w:val="24"/>
        </w:rPr>
        <w:t>始</w:t>
      </w:r>
      <w:r>
        <w:rPr>
          <w:sz w:val="24"/>
        </w:rPr>
        <w:t>（准备</w:t>
      </w:r>
      <w:r>
        <w:rPr>
          <w:spacing w:val="-17"/>
          <w:sz w:val="24"/>
        </w:rPr>
        <w:t>）</w:t>
      </w:r>
      <w:r>
        <w:rPr>
          <w:sz w:val="24"/>
        </w:rPr>
        <w:t>疏</w:t>
      </w:r>
    </w:p>
    <w:p>
      <w:pPr>
        <w:pStyle w:val="10"/>
        <w:tabs>
          <w:tab w:val="left" w:leader="hyphen" w:pos="3038"/>
        </w:tabs>
        <w:spacing w:before="158"/>
        <w:ind w:left="240"/>
      </w:pPr>
      <w:r>
        <w:t>散，疏散路线经</w:t>
      </w:r>
      <w:r>
        <w:rPr>
          <w:rFonts w:ascii="Times New Roman" w:hAnsi="Times New Roman" w:eastAsia="Times New Roman"/>
        </w:rPr>
        <w:t>----</w:t>
      </w:r>
      <w:r>
        <w:t>，向</w:t>
      </w:r>
      <w:r>
        <w:tab/>
      </w:r>
      <w:r>
        <w:t>方向疏散（三遍）</w:t>
      </w:r>
      <w:r>
        <w:rPr>
          <w:rFonts w:ascii="Times New Roman" w:hAnsi="Times New Roman" w:eastAsia="Times New Roman"/>
        </w:rPr>
        <w:t>”</w:t>
      </w:r>
      <w:r>
        <w:t>。</w:t>
      </w:r>
    </w:p>
    <w:p>
      <w:pPr>
        <w:pStyle w:val="23"/>
        <w:numPr>
          <w:ilvl w:val="0"/>
          <w:numId w:val="28"/>
        </w:numPr>
        <w:tabs>
          <w:tab w:val="left" w:pos="1321"/>
        </w:tabs>
        <w:spacing w:before="160"/>
        <w:rPr>
          <w:sz w:val="24"/>
        </w:rPr>
      </w:pPr>
      <w:r>
        <w:rPr>
          <w:spacing w:val="-3"/>
          <w:sz w:val="24"/>
        </w:rPr>
        <w:t>解除警报：</w:t>
      </w:r>
      <w:r>
        <w:rPr>
          <w:rFonts w:ascii="Times New Roman" w:hAnsi="Times New Roman" w:eastAsia="Times New Roman"/>
          <w:spacing w:val="-14"/>
          <w:sz w:val="24"/>
        </w:rPr>
        <w:t>“</w:t>
      </w:r>
      <w:r>
        <w:rPr>
          <w:sz w:val="24"/>
        </w:rPr>
        <w:t>各位员工请注意</w:t>
      </w:r>
      <w:r>
        <w:rPr>
          <w:rFonts w:ascii="Times New Roman" w:hAnsi="Times New Roman" w:eastAsia="Times New Roman"/>
          <w:sz w:val="24"/>
        </w:rPr>
        <w:t>!</w:t>
      </w:r>
      <w:r>
        <w:rPr>
          <w:spacing w:val="-5"/>
          <w:sz w:val="24"/>
        </w:rPr>
        <w:t>突发环境事件已停止，请疏散员工返回岗位</w:t>
      </w:r>
      <w:r>
        <w:rPr>
          <w:spacing w:val="-3"/>
          <w:sz w:val="24"/>
        </w:rPr>
        <w:t>（</w:t>
      </w:r>
      <w:r>
        <w:rPr>
          <w:sz w:val="24"/>
        </w:rPr>
        <w:t>二遍</w:t>
      </w:r>
      <w:r>
        <w:rPr>
          <w:spacing w:val="-14"/>
          <w:sz w:val="24"/>
        </w:rPr>
        <w:t>）</w:t>
      </w:r>
      <w:r>
        <w:rPr>
          <w:rFonts w:ascii="Times New Roman" w:hAnsi="Times New Roman" w:eastAsia="Times New Roman"/>
          <w:spacing w:val="-14"/>
          <w:sz w:val="24"/>
        </w:rPr>
        <w:t>”</w:t>
      </w:r>
      <w:r>
        <w:rPr>
          <w:sz w:val="24"/>
        </w:rPr>
        <w:t>。</w:t>
      </w:r>
    </w:p>
    <w:p>
      <w:pPr>
        <w:pStyle w:val="10"/>
        <w:spacing w:before="7"/>
      </w:pPr>
    </w:p>
    <w:p>
      <w:pPr>
        <w:pStyle w:val="23"/>
        <w:numPr>
          <w:ilvl w:val="2"/>
          <w:numId w:val="6"/>
        </w:numPr>
        <w:tabs>
          <w:tab w:val="left" w:pos="941"/>
        </w:tabs>
        <w:spacing w:before="1"/>
        <w:ind w:left="940" w:hanging="701"/>
        <w:rPr>
          <w:b/>
          <w:sz w:val="28"/>
        </w:rPr>
      </w:pPr>
      <w:bookmarkStart w:id="119" w:name="5.1.3_电话通报及联系词内容"/>
      <w:bookmarkEnd w:id="119"/>
      <w:bookmarkStart w:id="120" w:name="_bookmark59"/>
      <w:bookmarkEnd w:id="120"/>
      <w:r>
        <w:rPr>
          <w:b/>
          <w:sz w:val="28"/>
        </w:rPr>
        <w:t>电话通报及联系词内容</w:t>
      </w:r>
    </w:p>
    <w:p>
      <w:pPr>
        <w:pStyle w:val="10"/>
        <w:spacing w:before="8"/>
        <w:rPr>
          <w:b/>
          <w:sz w:val="26"/>
        </w:rPr>
      </w:pPr>
    </w:p>
    <w:p>
      <w:pPr>
        <w:pStyle w:val="10"/>
        <w:ind w:left="600"/>
      </w:pPr>
      <w:r>
        <w:t>电话通知内容必须清楚、简明。主要内容包括：</w:t>
      </w:r>
    </w:p>
    <w:p>
      <w:pPr>
        <w:pStyle w:val="23"/>
        <w:numPr>
          <w:ilvl w:val="0"/>
          <w:numId w:val="29"/>
        </w:numPr>
        <w:tabs>
          <w:tab w:val="left" w:pos="1321"/>
        </w:tabs>
        <w:spacing w:before="160"/>
        <w:rPr>
          <w:sz w:val="24"/>
        </w:rPr>
      </w:pPr>
      <w:r>
        <w:rPr>
          <w:sz w:val="24"/>
        </w:rPr>
        <w:t>通报人姓名；</w:t>
      </w:r>
    </w:p>
    <w:p>
      <w:pPr>
        <w:pStyle w:val="23"/>
        <w:numPr>
          <w:ilvl w:val="0"/>
          <w:numId w:val="29"/>
        </w:numPr>
        <w:tabs>
          <w:tab w:val="left" w:pos="1321"/>
        </w:tabs>
        <w:spacing w:before="158"/>
        <w:rPr>
          <w:sz w:val="24"/>
        </w:rPr>
      </w:pPr>
      <w:r>
        <w:rPr>
          <w:sz w:val="24"/>
        </w:rPr>
        <w:t>污染事故发生时间、地点；</w:t>
      </w:r>
    </w:p>
    <w:p>
      <w:pPr>
        <w:rPr>
          <w:sz w:val="24"/>
        </w:rPr>
        <w:sectPr>
          <w:footerReference r:id="rId11" w:type="default"/>
          <w:pgSz w:w="11910" w:h="16840"/>
          <w:pgMar w:top="1360" w:right="840" w:bottom="1180" w:left="840" w:header="882" w:footer="993" w:gutter="0"/>
          <w:pgNumType w:start="30"/>
          <w:cols w:space="720" w:num="1"/>
        </w:sectPr>
      </w:pPr>
    </w:p>
    <w:p>
      <w:pPr>
        <w:pStyle w:val="23"/>
        <w:numPr>
          <w:ilvl w:val="0"/>
          <w:numId w:val="29"/>
        </w:numPr>
        <w:tabs>
          <w:tab w:val="left" w:pos="1321"/>
        </w:tabs>
        <w:spacing w:before="64"/>
        <w:rPr>
          <w:sz w:val="24"/>
        </w:rPr>
      </w:pPr>
      <w:r>
        <w:rPr>
          <w:sz w:val="24"/>
        </w:rPr>
        <w:t>意外状况描述；</w:t>
      </w:r>
    </w:p>
    <w:p>
      <w:pPr>
        <w:pStyle w:val="23"/>
        <w:numPr>
          <w:ilvl w:val="0"/>
          <w:numId w:val="29"/>
        </w:numPr>
        <w:tabs>
          <w:tab w:val="left" w:pos="1321"/>
        </w:tabs>
        <w:spacing w:before="160"/>
        <w:rPr>
          <w:sz w:val="24"/>
        </w:rPr>
      </w:pPr>
      <w:r>
        <w:rPr>
          <w:sz w:val="24"/>
        </w:rPr>
        <w:t>事故报告；</w:t>
      </w:r>
    </w:p>
    <w:p>
      <w:pPr>
        <w:pStyle w:val="23"/>
        <w:numPr>
          <w:ilvl w:val="0"/>
          <w:numId w:val="29"/>
        </w:numPr>
        <w:tabs>
          <w:tab w:val="left" w:pos="1321"/>
        </w:tabs>
        <w:spacing w:before="158"/>
        <w:rPr>
          <w:sz w:val="24"/>
        </w:rPr>
      </w:pPr>
      <w:r>
        <w:rPr>
          <w:sz w:val="24"/>
        </w:rPr>
        <w:t>处置措施；</w:t>
      </w:r>
    </w:p>
    <w:p>
      <w:pPr>
        <w:pStyle w:val="23"/>
        <w:numPr>
          <w:ilvl w:val="0"/>
          <w:numId w:val="29"/>
        </w:numPr>
        <w:tabs>
          <w:tab w:val="left" w:pos="1321"/>
        </w:tabs>
        <w:spacing w:before="161"/>
        <w:rPr>
          <w:sz w:val="24"/>
        </w:rPr>
      </w:pPr>
      <w:r>
        <w:rPr>
          <w:sz w:val="24"/>
        </w:rPr>
        <w:t>其他事项。</w:t>
      </w:r>
    </w:p>
    <w:p>
      <w:pPr>
        <w:pStyle w:val="10"/>
        <w:spacing w:before="8"/>
      </w:pPr>
    </w:p>
    <w:p>
      <w:pPr>
        <w:pStyle w:val="6"/>
        <w:numPr>
          <w:ilvl w:val="1"/>
          <w:numId w:val="6"/>
        </w:numPr>
        <w:tabs>
          <w:tab w:val="left" w:pos="766"/>
        </w:tabs>
        <w:spacing w:before="1"/>
      </w:pPr>
      <w:bookmarkStart w:id="121" w:name="5.2_外部信息报告"/>
      <w:bookmarkEnd w:id="121"/>
      <w:bookmarkStart w:id="122" w:name="_bookmark60"/>
      <w:bookmarkEnd w:id="122"/>
      <w:r>
        <w:t>外部信息报告</w:t>
      </w:r>
    </w:p>
    <w:p>
      <w:pPr>
        <w:pStyle w:val="10"/>
        <w:spacing w:before="8"/>
        <w:rPr>
          <w:b/>
          <w:sz w:val="27"/>
        </w:rPr>
      </w:pPr>
    </w:p>
    <w:p>
      <w:pPr>
        <w:pStyle w:val="10"/>
        <w:spacing w:before="1" w:line="362" w:lineRule="auto"/>
        <w:ind w:left="240" w:right="237" w:firstLine="480"/>
        <w:jc w:val="both"/>
      </w:pPr>
      <w:r>
        <w:rPr>
          <w:spacing w:val="-8"/>
        </w:rPr>
        <w:t>发生环境事件后，根据不同预警响应级别，报告咸宁市生态环境局赤壁市分局，如果污染</w:t>
      </w:r>
      <w:r>
        <w:rPr>
          <w:spacing w:val="-10"/>
        </w:rPr>
        <w:t>程度较大，由咸宁市生态环境局赤壁市分局在第一时间内上报咸宁市级相关部门，协助深入调</w:t>
      </w:r>
      <w:r>
        <w:t>查。</w:t>
      </w:r>
    </w:p>
    <w:p>
      <w:pPr>
        <w:pStyle w:val="10"/>
        <w:spacing w:before="6" w:line="364" w:lineRule="auto"/>
        <w:ind w:left="240" w:right="235" w:firstLine="480"/>
        <w:jc w:val="both"/>
      </w:pPr>
      <w:r>
        <w:rPr>
          <w:spacing w:val="-7"/>
        </w:rPr>
        <w:t>发生重大突发环境污染事故，事故为一级预警，影响厂区及周围环境，企业应急指挥部应</w:t>
      </w:r>
      <w:r>
        <w:rPr>
          <w:spacing w:val="-16"/>
        </w:rPr>
        <w:t xml:space="preserve">在事发 </w:t>
      </w:r>
      <w:r>
        <w:rPr>
          <w:rFonts w:ascii="Times New Roman" w:eastAsia="Times New Roman"/>
        </w:rPr>
        <w:t xml:space="preserve">1 </w:t>
      </w:r>
      <w:r>
        <w:rPr>
          <w:spacing w:val="-6"/>
        </w:rPr>
        <w:t>小时内上报咸宁市生态环境局赤壁市分局，若污染已经开始扩散，则咸宁市生态环境</w:t>
      </w:r>
      <w:r>
        <w:t>局赤壁市分局在现场调查后，上报咸宁市级相关部门，协助深入调查。</w:t>
      </w:r>
    </w:p>
    <w:p>
      <w:pPr>
        <w:pStyle w:val="10"/>
        <w:spacing w:line="362" w:lineRule="auto"/>
        <w:ind w:left="240" w:right="235" w:firstLine="480"/>
        <w:jc w:val="both"/>
      </w:pPr>
      <w:r>
        <w:rPr>
          <w:spacing w:val="-7"/>
        </w:rPr>
        <w:t>发生较大突发环境污染事故，事故为二级预警，影响厂区及周围环境，企业应急指挥部应</w:t>
      </w:r>
      <w:r>
        <w:rPr>
          <w:spacing w:val="-15"/>
        </w:rPr>
        <w:t xml:space="preserve">在事发 </w:t>
      </w:r>
      <w:r>
        <w:rPr>
          <w:rFonts w:ascii="Times New Roman" w:eastAsia="Times New Roman"/>
        </w:rPr>
        <w:t xml:space="preserve">1 </w:t>
      </w:r>
      <w:r>
        <w:t>小时内上报咸宁市生态环境局赤壁市分局。</w:t>
      </w:r>
    </w:p>
    <w:p>
      <w:pPr>
        <w:pStyle w:val="10"/>
        <w:spacing w:before="4" w:line="364" w:lineRule="auto"/>
        <w:ind w:left="240" w:right="235" w:firstLine="480"/>
        <w:jc w:val="both"/>
      </w:pPr>
      <w:r>
        <w:rPr>
          <w:spacing w:val="-8"/>
        </w:rPr>
        <w:t>发生一般污染事故，在岗人员报告企业管理人员，再由企业管理人员向相关领导报告，并</w:t>
      </w:r>
      <w:r>
        <w:rPr>
          <w:spacing w:val="-6"/>
        </w:rPr>
        <w:t>组织救援排险。事故排除</w:t>
      </w:r>
      <w:r>
        <w:rPr>
          <w:spacing w:val="-3"/>
        </w:rPr>
        <w:t>（</w:t>
      </w:r>
      <w:r>
        <w:t>应急救援结束</w:t>
      </w:r>
      <w:r>
        <w:rPr>
          <w:spacing w:val="-22"/>
        </w:rPr>
        <w:t>）</w:t>
      </w:r>
      <w:r>
        <w:rPr>
          <w:spacing w:val="-3"/>
        </w:rPr>
        <w:t>后上报咸宁市生态环境局赤壁市分局备案。若一般</w:t>
      </w:r>
      <w:r>
        <w:rPr>
          <w:spacing w:val="-6"/>
        </w:rPr>
        <w:t>污染事故仅发生危险源区域范围内，对厂外环境影响较小，并未造成人员伤亡，仅靠厂区成员</w:t>
      </w:r>
      <w:r>
        <w:t>处置即能完成，在完成污染处置后，由企业有关负责人上报企业应急指挥部备案。</w:t>
      </w:r>
    </w:p>
    <w:p>
      <w:pPr>
        <w:pStyle w:val="10"/>
        <w:spacing w:line="362" w:lineRule="auto"/>
        <w:ind w:left="240" w:right="235" w:firstLine="480"/>
        <w:jc w:val="both"/>
      </w:pPr>
      <w:r>
        <w:rPr>
          <w:spacing w:val="-16"/>
        </w:rPr>
        <w:t xml:space="preserve">当发生 </w:t>
      </w:r>
      <w:r>
        <w:rPr>
          <w:rFonts w:ascii="Times New Roman" w:eastAsia="Times New Roman"/>
        </w:rPr>
        <w:t xml:space="preserve">II </w:t>
      </w:r>
      <w:r>
        <w:rPr>
          <w:spacing w:val="-20"/>
        </w:rPr>
        <w:t xml:space="preserve">级和 </w:t>
      </w:r>
      <w:r>
        <w:rPr>
          <w:rFonts w:ascii="Times New Roman" w:eastAsia="Times New Roman"/>
        </w:rPr>
        <w:t xml:space="preserve">I </w:t>
      </w:r>
      <w:r>
        <w:rPr>
          <w:spacing w:val="-8"/>
        </w:rPr>
        <w:t>级突发环境事件时，应及时通报周边可能受到影响的居民、单位，具体如</w:t>
      </w:r>
      <w:r>
        <w:t>下：</w:t>
      </w:r>
    </w:p>
    <w:p>
      <w:pPr>
        <w:pStyle w:val="23"/>
        <w:numPr>
          <w:ilvl w:val="0"/>
          <w:numId w:val="30"/>
        </w:numPr>
        <w:tabs>
          <w:tab w:val="left" w:pos="1321"/>
        </w:tabs>
        <w:spacing w:before="3" w:line="364" w:lineRule="auto"/>
        <w:ind w:right="235" w:firstLine="480"/>
        <w:jc w:val="both"/>
        <w:rPr>
          <w:sz w:val="24"/>
        </w:rPr>
      </w:pPr>
      <w:r>
        <w:rPr>
          <w:spacing w:val="-6"/>
          <w:sz w:val="24"/>
        </w:rPr>
        <w:t xml:space="preserve">事发部门研判可能导致 </w:t>
      </w:r>
      <w:r>
        <w:rPr>
          <w:rFonts w:ascii="Times New Roman" w:eastAsia="Times New Roman"/>
          <w:sz w:val="24"/>
        </w:rPr>
        <w:t>II</w:t>
      </w:r>
      <w:r>
        <w:rPr>
          <w:rFonts w:ascii="Times New Roman" w:eastAsia="Times New Roman"/>
          <w:spacing w:val="1"/>
          <w:sz w:val="24"/>
        </w:rPr>
        <w:t xml:space="preserve"> </w:t>
      </w:r>
      <w:r>
        <w:rPr>
          <w:spacing w:val="-21"/>
          <w:sz w:val="24"/>
        </w:rPr>
        <w:t xml:space="preserve">级和 </w:t>
      </w:r>
      <w:r>
        <w:rPr>
          <w:rFonts w:ascii="Times New Roman" w:eastAsia="Times New Roman"/>
          <w:sz w:val="24"/>
        </w:rPr>
        <w:t>I</w:t>
      </w:r>
      <w:r>
        <w:rPr>
          <w:rFonts w:ascii="Times New Roman" w:eastAsia="Times New Roman"/>
          <w:spacing w:val="1"/>
          <w:sz w:val="24"/>
        </w:rPr>
        <w:t xml:space="preserve"> </w:t>
      </w:r>
      <w:r>
        <w:rPr>
          <w:spacing w:val="-11"/>
          <w:sz w:val="24"/>
        </w:rPr>
        <w:t xml:space="preserve">级突发环境事件，应在事发 </w:t>
      </w:r>
      <w:r>
        <w:rPr>
          <w:rFonts w:ascii="Times New Roman" w:eastAsia="Times New Roman"/>
          <w:sz w:val="24"/>
        </w:rPr>
        <w:t xml:space="preserve">15 </w:t>
      </w:r>
      <w:r>
        <w:rPr>
          <w:sz w:val="24"/>
        </w:rPr>
        <w:t>分钟内应报告企业</w:t>
      </w:r>
      <w:r>
        <w:rPr>
          <w:spacing w:val="-4"/>
          <w:sz w:val="24"/>
        </w:rPr>
        <w:t>突发环境事件应急指挥部。</w:t>
      </w:r>
    </w:p>
    <w:p>
      <w:pPr>
        <w:pStyle w:val="23"/>
        <w:numPr>
          <w:ilvl w:val="0"/>
          <w:numId w:val="30"/>
        </w:numPr>
        <w:tabs>
          <w:tab w:val="left" w:pos="1321"/>
        </w:tabs>
        <w:spacing w:line="364" w:lineRule="auto"/>
        <w:ind w:right="237" w:firstLine="480"/>
        <w:jc w:val="both"/>
        <w:rPr>
          <w:sz w:val="24"/>
        </w:rPr>
      </w:pPr>
      <w:r>
        <w:rPr>
          <w:spacing w:val="-1"/>
          <w:sz w:val="24"/>
        </w:rPr>
        <w:t>应急指挥部简单判断后，</w:t>
      </w:r>
      <w:r>
        <w:rPr>
          <w:rFonts w:ascii="Times New Roman" w:eastAsia="Times New Roman"/>
          <w:spacing w:val="-3"/>
          <w:sz w:val="24"/>
        </w:rPr>
        <w:t>15</w:t>
      </w:r>
      <w:r>
        <w:rPr>
          <w:rFonts w:ascii="Times New Roman" w:eastAsia="Times New Roman"/>
          <w:spacing w:val="2"/>
          <w:sz w:val="24"/>
        </w:rPr>
        <w:t xml:space="preserve"> </w:t>
      </w:r>
      <w:r>
        <w:rPr>
          <w:spacing w:val="-3"/>
          <w:sz w:val="24"/>
        </w:rPr>
        <w:t>分钟内通报</w:t>
      </w:r>
      <w:r>
        <w:rPr>
          <w:rFonts w:hint="eastAsia"/>
          <w:spacing w:val="-3"/>
          <w:sz w:val="24"/>
        </w:rPr>
        <w:t>陆水湖街道办，</w:t>
      </w:r>
      <w:r>
        <w:rPr>
          <w:sz w:val="24"/>
        </w:rPr>
        <w:t>（</w:t>
      </w:r>
      <w:r>
        <w:rPr>
          <w:spacing w:val="-4"/>
          <w:sz w:val="24"/>
        </w:rPr>
        <w:t>通报内容</w:t>
      </w:r>
      <w:r>
        <w:rPr>
          <w:spacing w:val="-3"/>
          <w:sz w:val="24"/>
        </w:rPr>
        <w:t xml:space="preserve">见 </w:t>
      </w:r>
      <w:r>
        <w:rPr>
          <w:rFonts w:ascii="Times New Roman" w:eastAsia="Times New Roman"/>
          <w:sz w:val="24"/>
        </w:rPr>
        <w:t>5.1.3</w:t>
      </w:r>
      <w:r>
        <w:rPr>
          <w:sz w:val="24"/>
        </w:rPr>
        <w:t>），请求</w:t>
      </w:r>
      <w:r>
        <w:rPr>
          <w:rFonts w:hint="eastAsia"/>
          <w:spacing w:val="-3"/>
          <w:sz w:val="24"/>
        </w:rPr>
        <w:t>陆水湖街道办、锁石岭社区</w:t>
      </w:r>
      <w:r>
        <w:rPr>
          <w:sz w:val="24"/>
        </w:rPr>
        <w:t>通知周边村居委会组织人员做好防护，必要时进行疏散。</w:t>
      </w:r>
    </w:p>
    <w:p>
      <w:pPr>
        <w:pStyle w:val="23"/>
        <w:numPr>
          <w:ilvl w:val="0"/>
          <w:numId w:val="30"/>
        </w:numPr>
        <w:tabs>
          <w:tab w:val="left" w:pos="1321"/>
        </w:tabs>
        <w:spacing w:line="364" w:lineRule="auto"/>
        <w:ind w:right="145" w:firstLine="480"/>
        <w:jc w:val="both"/>
        <w:rPr>
          <w:sz w:val="24"/>
        </w:rPr>
      </w:pPr>
      <w:r>
        <w:rPr>
          <w:spacing w:val="-4"/>
          <w:sz w:val="24"/>
        </w:rPr>
        <w:t xml:space="preserve">发生火灾爆炸的紧急隔离距离为 </w:t>
      </w:r>
      <w:r>
        <w:rPr>
          <w:rFonts w:ascii="Times New Roman" w:hAnsi="Times New Roman" w:eastAsia="Times New Roman"/>
          <w:spacing w:val="-9"/>
          <w:sz w:val="24"/>
        </w:rPr>
        <w:t>1700m</w:t>
      </w:r>
      <w:r>
        <w:rPr>
          <w:spacing w:val="-10"/>
          <w:sz w:val="24"/>
        </w:rPr>
        <w:t xml:space="preserve">，据此应当组织 </w:t>
      </w:r>
      <w:r>
        <w:rPr>
          <w:rFonts w:ascii="Times New Roman" w:hAnsi="Times New Roman" w:eastAsia="Times New Roman"/>
          <w:sz w:val="24"/>
        </w:rPr>
        <w:t>1700</w:t>
      </w:r>
      <w:r>
        <w:rPr>
          <w:rFonts w:ascii="Times New Roman" w:hAnsi="Times New Roman" w:eastAsia="Times New Roman"/>
          <w:spacing w:val="1"/>
          <w:sz w:val="24"/>
        </w:rPr>
        <w:t xml:space="preserve"> </w:t>
      </w:r>
      <w:r>
        <w:rPr>
          <w:sz w:val="24"/>
        </w:rPr>
        <w:t>米范围内的居民进行疏</w:t>
      </w:r>
      <w:r>
        <w:rPr>
          <w:spacing w:val="-4"/>
          <w:sz w:val="24"/>
        </w:rPr>
        <w:t xml:space="preserve">散，由应急指挥部办公室在事发 </w:t>
      </w:r>
      <w:r>
        <w:rPr>
          <w:rFonts w:ascii="Times New Roman" w:hAnsi="Times New Roman" w:eastAsia="Times New Roman"/>
          <w:sz w:val="24"/>
        </w:rPr>
        <w:t>15</w:t>
      </w:r>
      <w:r>
        <w:rPr>
          <w:rFonts w:ascii="Times New Roman" w:hAnsi="Times New Roman" w:eastAsia="Times New Roman"/>
          <w:spacing w:val="6"/>
          <w:sz w:val="24"/>
        </w:rPr>
        <w:t xml:space="preserve"> </w:t>
      </w:r>
      <w:r>
        <w:rPr>
          <w:sz w:val="24"/>
        </w:rPr>
        <w:t>分钟内，通过扩音喇叭、当面通知等方式，通知最近的羊楼司镇、羊楼司村和临近企业，告知以下内容：</w:t>
      </w:r>
      <w:r>
        <w:rPr>
          <w:rFonts w:hint="eastAsia" w:ascii="宋体" w:hAnsi="宋体" w:eastAsia="宋体"/>
          <w:sz w:val="24"/>
        </w:rPr>
        <w:t>①</w:t>
      </w:r>
      <w:r>
        <w:rPr>
          <w:spacing w:val="-1"/>
          <w:sz w:val="24"/>
        </w:rPr>
        <w:t>突发环境事件发生的时间、地点以及类型；</w:t>
      </w:r>
    </w:p>
    <w:p>
      <w:pPr>
        <w:pStyle w:val="10"/>
        <w:spacing w:line="307" w:lineRule="exact"/>
        <w:ind w:left="240"/>
      </w:pPr>
      <w:r>
        <w:rPr>
          <w:rFonts w:hint="eastAsia" w:ascii="宋体" w:hAnsi="宋体" w:eastAsia="宋体"/>
        </w:rPr>
        <w:t>②</w:t>
      </w:r>
      <w:r>
        <w:t>排放污染物的种类、数量；</w:t>
      </w:r>
      <w:r>
        <w:rPr>
          <w:rFonts w:hint="eastAsia" w:ascii="宋体" w:hAnsi="宋体" w:eastAsia="宋体"/>
        </w:rPr>
        <w:t>③</w:t>
      </w:r>
      <w:r>
        <w:t>可能受影响的区域及采取的措施建议；</w:t>
      </w:r>
      <w:r>
        <w:rPr>
          <w:rFonts w:hint="eastAsia" w:ascii="宋体" w:hAnsi="宋体" w:eastAsia="宋体"/>
        </w:rPr>
        <w:t>④</w:t>
      </w:r>
      <w:r>
        <w:t>应急疏散方向。</w:t>
      </w:r>
    </w:p>
    <w:p>
      <w:pPr>
        <w:pStyle w:val="10"/>
        <w:spacing w:before="64"/>
      </w:pPr>
      <w:r>
        <w:t>警戒疏散组在完成企业人员疏散后，配合</w:t>
      </w:r>
      <w:r>
        <w:rPr>
          <w:rFonts w:hint="eastAsia"/>
        </w:rPr>
        <w:t>陆水湖街道办、锁石岭社区</w:t>
      </w:r>
      <w:r>
        <w:t>和临近企业组织群众疏散。</w:t>
      </w:r>
    </w:p>
    <w:p>
      <w:pPr>
        <w:pStyle w:val="23"/>
        <w:numPr>
          <w:ilvl w:val="0"/>
          <w:numId w:val="30"/>
        </w:numPr>
        <w:tabs>
          <w:tab w:val="left" w:pos="1321"/>
        </w:tabs>
        <w:spacing w:before="156"/>
        <w:ind w:left="1321"/>
        <w:rPr>
          <w:sz w:val="24"/>
        </w:rPr>
        <w:sectPr>
          <w:pgSz w:w="11910" w:h="16840"/>
          <w:pgMar w:top="1360" w:right="840" w:bottom="1180" w:left="840" w:header="882" w:footer="993" w:gutter="0"/>
          <w:cols w:space="720" w:num="1"/>
        </w:sectPr>
      </w:pPr>
    </w:p>
    <w:p>
      <w:pPr>
        <w:pStyle w:val="10"/>
        <w:spacing w:before="64"/>
      </w:pPr>
    </w:p>
    <w:p>
      <w:pPr>
        <w:pStyle w:val="10"/>
        <w:spacing w:before="8"/>
      </w:pPr>
    </w:p>
    <w:p>
      <w:pPr>
        <w:pStyle w:val="6"/>
        <w:numPr>
          <w:ilvl w:val="1"/>
          <w:numId w:val="6"/>
        </w:numPr>
        <w:tabs>
          <w:tab w:val="left" w:pos="766"/>
        </w:tabs>
        <w:spacing w:before="1"/>
      </w:pPr>
      <w:bookmarkStart w:id="123" w:name="5.3_报告内容"/>
      <w:bookmarkEnd w:id="123"/>
      <w:bookmarkStart w:id="124" w:name="_bookmark61"/>
      <w:bookmarkEnd w:id="124"/>
      <w:r>
        <w:t>报告内容</w:t>
      </w:r>
    </w:p>
    <w:p>
      <w:pPr>
        <w:pStyle w:val="10"/>
        <w:spacing w:before="8"/>
        <w:rPr>
          <w:b/>
          <w:sz w:val="27"/>
        </w:rPr>
      </w:pPr>
    </w:p>
    <w:p>
      <w:pPr>
        <w:pStyle w:val="23"/>
        <w:numPr>
          <w:ilvl w:val="0"/>
          <w:numId w:val="31"/>
        </w:numPr>
        <w:tabs>
          <w:tab w:val="left" w:pos="1321"/>
        </w:tabs>
        <w:rPr>
          <w:sz w:val="24"/>
        </w:rPr>
      </w:pPr>
      <w:r>
        <w:rPr>
          <w:sz w:val="24"/>
        </w:rPr>
        <w:t>突发环境事件发生的时间、地点以及类型；</w:t>
      </w:r>
    </w:p>
    <w:p>
      <w:pPr>
        <w:pStyle w:val="23"/>
        <w:numPr>
          <w:ilvl w:val="0"/>
          <w:numId w:val="31"/>
        </w:numPr>
        <w:tabs>
          <w:tab w:val="left" w:pos="1321"/>
        </w:tabs>
        <w:spacing w:before="159"/>
        <w:rPr>
          <w:sz w:val="24"/>
        </w:rPr>
      </w:pPr>
      <w:r>
        <w:rPr>
          <w:sz w:val="24"/>
        </w:rPr>
        <w:t>发生事故时正在进行的生产工序、可能涉及的危险化学品的种类，</w:t>
      </w:r>
    </w:p>
    <w:p>
      <w:pPr>
        <w:pStyle w:val="23"/>
        <w:numPr>
          <w:ilvl w:val="0"/>
          <w:numId w:val="31"/>
        </w:numPr>
        <w:tabs>
          <w:tab w:val="left" w:pos="1321"/>
        </w:tabs>
        <w:spacing w:before="160"/>
        <w:rPr>
          <w:sz w:val="24"/>
        </w:rPr>
      </w:pPr>
      <w:r>
        <w:rPr>
          <w:sz w:val="24"/>
        </w:rPr>
        <w:t>排放污染物的种类、数量、人员伤亡情况、直接经济损失；</w:t>
      </w:r>
    </w:p>
    <w:p>
      <w:pPr>
        <w:pStyle w:val="23"/>
        <w:numPr>
          <w:ilvl w:val="0"/>
          <w:numId w:val="31"/>
        </w:numPr>
        <w:tabs>
          <w:tab w:val="left" w:pos="1321"/>
        </w:tabs>
        <w:spacing w:before="161" w:line="362" w:lineRule="auto"/>
        <w:ind w:left="240" w:right="115" w:firstLine="480"/>
        <w:rPr>
          <w:sz w:val="24"/>
        </w:rPr>
      </w:pPr>
      <w:r>
        <w:rPr>
          <w:spacing w:val="-4"/>
          <w:sz w:val="24"/>
        </w:rPr>
        <w:t>突发环境事件已经对大气、水域及土壤外部环境造成影响的范围、潜在的危害程度，事件可能的转化方式及趋向；</w:t>
      </w:r>
    </w:p>
    <w:p>
      <w:pPr>
        <w:pStyle w:val="23"/>
        <w:numPr>
          <w:ilvl w:val="0"/>
          <w:numId w:val="31"/>
        </w:numPr>
        <w:tabs>
          <w:tab w:val="left" w:pos="1321"/>
        </w:tabs>
        <w:spacing w:before="2"/>
        <w:rPr>
          <w:sz w:val="24"/>
        </w:rPr>
      </w:pPr>
      <w:r>
        <w:rPr>
          <w:sz w:val="24"/>
        </w:rPr>
        <w:t>已经采取的应急措施；</w:t>
      </w:r>
    </w:p>
    <w:p>
      <w:pPr>
        <w:pStyle w:val="23"/>
        <w:numPr>
          <w:ilvl w:val="0"/>
          <w:numId w:val="31"/>
        </w:numPr>
        <w:tabs>
          <w:tab w:val="left" w:pos="1321"/>
        </w:tabs>
        <w:spacing w:before="161"/>
        <w:rPr>
          <w:sz w:val="24"/>
        </w:rPr>
      </w:pPr>
      <w:r>
        <w:rPr>
          <w:sz w:val="24"/>
        </w:rPr>
        <w:t>可能受影响的区域及采取的措施建议；</w:t>
      </w:r>
    </w:p>
    <w:p>
      <w:pPr>
        <w:pStyle w:val="23"/>
        <w:numPr>
          <w:ilvl w:val="0"/>
          <w:numId w:val="31"/>
        </w:numPr>
        <w:tabs>
          <w:tab w:val="left" w:pos="1321"/>
        </w:tabs>
        <w:spacing w:before="160" w:line="362" w:lineRule="auto"/>
        <w:ind w:left="240" w:right="237" w:firstLine="480"/>
        <w:rPr>
          <w:sz w:val="24"/>
        </w:rPr>
      </w:pPr>
      <w:r>
        <w:rPr>
          <w:spacing w:val="-1"/>
          <w:sz w:val="24"/>
        </w:rPr>
        <w:t>情况紧急时，事故现场人有关人员可以直接向咸宁市生态环境保护局赤壁市分局、</w:t>
      </w:r>
      <w:r>
        <w:rPr>
          <w:sz w:val="24"/>
        </w:rPr>
        <w:t>赤壁市应急管理局报告。</w:t>
      </w:r>
    </w:p>
    <w:p>
      <w:pPr>
        <w:pStyle w:val="6"/>
        <w:numPr>
          <w:ilvl w:val="1"/>
          <w:numId w:val="6"/>
        </w:numPr>
        <w:tabs>
          <w:tab w:val="left" w:pos="766"/>
        </w:tabs>
        <w:spacing w:before="161"/>
      </w:pPr>
      <w:bookmarkStart w:id="125" w:name="5.4_信息通报的联络方式"/>
      <w:bookmarkEnd w:id="125"/>
      <w:bookmarkStart w:id="126" w:name="_bookmark62"/>
      <w:bookmarkEnd w:id="126"/>
      <w:r>
        <w:t>信息通报的联络方式</w:t>
      </w:r>
    </w:p>
    <w:p>
      <w:pPr>
        <w:pStyle w:val="10"/>
        <w:spacing w:before="9"/>
        <w:rPr>
          <w:b/>
          <w:sz w:val="27"/>
        </w:rPr>
      </w:pPr>
    </w:p>
    <w:p>
      <w:pPr>
        <w:spacing w:after="4" w:line="362" w:lineRule="auto"/>
        <w:ind w:left="2613" w:right="1984" w:hanging="1894"/>
        <w:rPr>
          <w:b/>
          <w:sz w:val="24"/>
        </w:rPr>
      </w:pPr>
      <w:r>
        <w:rPr>
          <w:spacing w:val="-3"/>
          <w:sz w:val="24"/>
        </w:rPr>
        <w:t xml:space="preserve">企业针对不同等级环境事件，信息通报的部门和联系方式见下表 </w:t>
      </w:r>
      <w:r>
        <w:rPr>
          <w:rFonts w:ascii="Times New Roman" w:eastAsia="Times New Roman"/>
          <w:sz w:val="24"/>
        </w:rPr>
        <w:t>5.4-1</w:t>
      </w:r>
      <w:r>
        <w:rPr>
          <w:spacing w:val="-16"/>
          <w:sz w:val="24"/>
        </w:rPr>
        <w:t>。</w:t>
      </w:r>
      <w:r>
        <w:rPr>
          <w:b/>
          <w:spacing w:val="-31"/>
          <w:sz w:val="24"/>
        </w:rPr>
        <w:t xml:space="preserve">表 </w:t>
      </w:r>
      <w:r>
        <w:rPr>
          <w:rFonts w:ascii="Times New Roman" w:eastAsia="Times New Roman"/>
          <w:b/>
          <w:sz w:val="24"/>
        </w:rPr>
        <w:t>5.4-1</w:t>
      </w:r>
      <w:r>
        <w:rPr>
          <w:rFonts w:ascii="Times New Roman" w:eastAsia="Times New Roman"/>
          <w:b/>
          <w:spacing w:val="59"/>
          <w:sz w:val="24"/>
        </w:rPr>
        <w:t xml:space="preserve"> </w:t>
      </w:r>
      <w:r>
        <w:rPr>
          <w:b/>
          <w:sz w:val="24"/>
        </w:rPr>
        <w:t>各级环境事件信息通报联系方式一览表</w:t>
      </w:r>
    </w:p>
    <w:tbl>
      <w:tblPr>
        <w:tblStyle w:val="15"/>
        <w:tblW w:w="0" w:type="auto"/>
        <w:tblInd w:w="12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48"/>
        <w:gridCol w:w="4127"/>
        <w:gridCol w:w="417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548" w:type="dxa"/>
            <w:tcBorders>
              <w:left w:val="nil"/>
              <w:bottom w:val="single" w:color="000000" w:sz="4" w:space="0"/>
              <w:right w:val="single" w:color="000000" w:sz="4" w:space="0"/>
            </w:tcBorders>
          </w:tcPr>
          <w:p>
            <w:pPr>
              <w:pStyle w:val="24"/>
              <w:spacing w:before="33"/>
              <w:ind w:left="367"/>
              <w:rPr>
                <w:b/>
                <w:sz w:val="21"/>
              </w:rPr>
            </w:pPr>
            <w:r>
              <w:rPr>
                <w:b/>
                <w:sz w:val="21"/>
              </w:rPr>
              <w:t>事件级别</w:t>
            </w:r>
          </w:p>
        </w:tc>
        <w:tc>
          <w:tcPr>
            <w:tcW w:w="4127" w:type="dxa"/>
            <w:tcBorders>
              <w:left w:val="single" w:color="000000" w:sz="4" w:space="0"/>
              <w:bottom w:val="single" w:color="000000" w:sz="4" w:space="0"/>
              <w:right w:val="single" w:color="000000" w:sz="4" w:space="0"/>
            </w:tcBorders>
          </w:tcPr>
          <w:p>
            <w:pPr>
              <w:pStyle w:val="24"/>
              <w:spacing w:before="33"/>
              <w:ind w:left="686" w:right="654"/>
              <w:jc w:val="center"/>
              <w:rPr>
                <w:b/>
                <w:sz w:val="21"/>
              </w:rPr>
            </w:pPr>
            <w:r>
              <w:rPr>
                <w:b/>
                <w:sz w:val="21"/>
              </w:rPr>
              <w:t>通报部门</w:t>
            </w:r>
          </w:p>
        </w:tc>
        <w:tc>
          <w:tcPr>
            <w:tcW w:w="4179" w:type="dxa"/>
            <w:tcBorders>
              <w:left w:val="single" w:color="000000" w:sz="4" w:space="0"/>
              <w:bottom w:val="single" w:color="000000" w:sz="4" w:space="0"/>
              <w:right w:val="nil"/>
            </w:tcBorders>
          </w:tcPr>
          <w:p>
            <w:pPr>
              <w:pStyle w:val="24"/>
              <w:spacing w:before="33"/>
              <w:ind w:left="735" w:right="710"/>
              <w:jc w:val="center"/>
              <w:rPr>
                <w:b/>
                <w:sz w:val="21"/>
              </w:rPr>
            </w:pPr>
            <w:r>
              <w:rPr>
                <w:rFonts w:ascii="Times New Roman" w:eastAsia="Times New Roman"/>
                <w:b/>
                <w:sz w:val="21"/>
              </w:rPr>
              <w:t xml:space="preserve">24h </w:t>
            </w:r>
            <w:r>
              <w:rPr>
                <w:b/>
                <w:sz w:val="21"/>
              </w:rPr>
              <w:t>联系电话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548" w:type="dxa"/>
            <w:vMerge w:val="restart"/>
            <w:tcBorders>
              <w:top w:val="single" w:color="000000" w:sz="4" w:space="0"/>
              <w:left w:val="nil"/>
              <w:bottom w:val="single" w:color="000000" w:sz="4" w:space="0"/>
              <w:right w:val="single" w:color="000000" w:sz="4" w:space="0"/>
            </w:tcBorders>
          </w:tcPr>
          <w:p>
            <w:pPr>
              <w:pStyle w:val="24"/>
              <w:spacing w:before="3"/>
              <w:rPr>
                <w:b/>
                <w:sz w:val="16"/>
              </w:rPr>
            </w:pPr>
          </w:p>
          <w:p>
            <w:pPr>
              <w:pStyle w:val="24"/>
              <w:ind w:left="343"/>
              <w:rPr>
                <w:sz w:val="21"/>
              </w:rPr>
            </w:pPr>
            <w:r>
              <w:rPr>
                <w:rFonts w:ascii="Times New Roman" w:eastAsia="Times New Roman"/>
                <w:sz w:val="21"/>
              </w:rPr>
              <w:t xml:space="preserve">III </w:t>
            </w:r>
            <w:r>
              <w:rPr>
                <w:sz w:val="21"/>
              </w:rPr>
              <w:t>级事件</w:t>
            </w:r>
          </w:p>
        </w:tc>
        <w:tc>
          <w:tcPr>
            <w:tcW w:w="4127" w:type="dxa"/>
            <w:tcBorders>
              <w:top w:val="single" w:color="000000" w:sz="4" w:space="0"/>
              <w:left w:val="single" w:color="000000" w:sz="4" w:space="0"/>
              <w:bottom w:val="single" w:color="000000" w:sz="4" w:space="0"/>
              <w:right w:val="single" w:color="000000" w:sz="4" w:space="0"/>
            </w:tcBorders>
          </w:tcPr>
          <w:p>
            <w:pPr>
              <w:pStyle w:val="24"/>
              <w:spacing w:before="33"/>
              <w:ind w:left="686" w:right="661"/>
              <w:jc w:val="center"/>
              <w:rPr>
                <w:sz w:val="21"/>
              </w:rPr>
            </w:pPr>
            <w:r>
              <w:rPr>
                <w:sz w:val="21"/>
              </w:rPr>
              <w:t>企业应急指挥部</w:t>
            </w:r>
          </w:p>
        </w:tc>
        <w:tc>
          <w:tcPr>
            <w:tcW w:w="4179" w:type="dxa"/>
            <w:tcBorders>
              <w:top w:val="single" w:color="000000" w:sz="4" w:space="0"/>
              <w:left w:val="single" w:color="000000" w:sz="4" w:space="0"/>
              <w:bottom w:val="single" w:color="000000" w:sz="4" w:space="0"/>
              <w:right w:val="nil"/>
            </w:tcBorders>
          </w:tcPr>
          <w:p>
            <w:pPr>
              <w:pStyle w:val="24"/>
              <w:spacing w:before="33"/>
              <w:ind w:right="714" w:firstLine="630" w:firstLineChars="300"/>
              <w:jc w:val="both"/>
              <w:rPr>
                <w:rFonts w:ascii="Times New Roman" w:eastAsia="Times New Roman"/>
                <w:sz w:val="21"/>
              </w:rPr>
            </w:pPr>
            <w:r>
              <w:rPr>
                <w:sz w:val="21"/>
              </w:rPr>
              <w:t>值班</w:t>
            </w:r>
            <w:r>
              <w:rPr>
                <w:rFonts w:ascii="Times New Roman" w:eastAsia="Times New Roman"/>
                <w:sz w:val="21"/>
              </w:rPr>
              <w:t>/</w:t>
            </w:r>
            <w:r>
              <w:rPr>
                <w:sz w:val="21"/>
              </w:rPr>
              <w:t>救援电话</w:t>
            </w:r>
            <w:r>
              <w:rPr>
                <w:rFonts w:hint="eastAsia"/>
                <w:sz w:val="21"/>
              </w:rPr>
              <w:t>：</w:t>
            </w:r>
            <w:r>
              <w:rPr>
                <w:rFonts w:hint="eastAsia"/>
                <w:szCs w:val="21"/>
              </w:rPr>
              <w:t>13907246986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548" w:type="dxa"/>
            <w:vMerge w:val="continue"/>
            <w:tcBorders>
              <w:top w:val="nil"/>
              <w:left w:val="nil"/>
              <w:bottom w:val="single" w:color="000000" w:sz="4" w:space="0"/>
              <w:right w:val="single" w:color="000000" w:sz="4" w:space="0"/>
            </w:tcBorders>
          </w:tcPr>
          <w:p>
            <w:pPr>
              <w:rPr>
                <w:sz w:val="2"/>
                <w:szCs w:val="2"/>
              </w:rPr>
            </w:pPr>
          </w:p>
        </w:tc>
        <w:tc>
          <w:tcPr>
            <w:tcW w:w="4127" w:type="dxa"/>
            <w:tcBorders>
              <w:top w:val="single" w:color="000000" w:sz="4" w:space="0"/>
              <w:left w:val="single" w:color="000000" w:sz="4" w:space="0"/>
              <w:bottom w:val="single" w:color="000000" w:sz="4" w:space="0"/>
              <w:right w:val="single" w:color="000000" w:sz="4" w:space="0"/>
            </w:tcBorders>
          </w:tcPr>
          <w:p>
            <w:pPr>
              <w:pStyle w:val="24"/>
              <w:spacing w:before="33"/>
              <w:ind w:left="686" w:right="661"/>
              <w:jc w:val="center"/>
              <w:rPr>
                <w:sz w:val="21"/>
              </w:rPr>
            </w:pPr>
            <w:r>
              <w:rPr>
                <w:sz w:val="21"/>
              </w:rPr>
              <w:t>咸宁市生态环境局赤壁市分局</w:t>
            </w:r>
          </w:p>
        </w:tc>
        <w:tc>
          <w:tcPr>
            <w:tcW w:w="4179" w:type="dxa"/>
            <w:tcBorders>
              <w:top w:val="single" w:color="000000" w:sz="4" w:space="0"/>
              <w:left w:val="single" w:color="000000" w:sz="4" w:space="0"/>
              <w:bottom w:val="single" w:color="000000" w:sz="4" w:space="0"/>
              <w:right w:val="nil"/>
            </w:tcBorders>
          </w:tcPr>
          <w:p>
            <w:pPr>
              <w:pStyle w:val="24"/>
              <w:spacing w:before="47"/>
              <w:ind w:left="735" w:right="711"/>
              <w:jc w:val="center"/>
              <w:rPr>
                <w:rFonts w:ascii="Times New Roman"/>
                <w:sz w:val="21"/>
              </w:rPr>
            </w:pPr>
            <w:r>
              <w:rPr>
                <w:rFonts w:ascii="Times New Roman"/>
                <w:sz w:val="21"/>
              </w:rPr>
              <w:t>0715-5355351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548" w:type="dxa"/>
            <w:vMerge w:val="restart"/>
            <w:tcBorders>
              <w:top w:val="single" w:color="000000" w:sz="4" w:space="0"/>
              <w:left w:val="nil"/>
              <w:bottom w:val="single" w:color="000000" w:sz="4" w:space="0"/>
              <w:right w:val="single" w:color="000000" w:sz="4" w:space="0"/>
            </w:tcBorders>
          </w:tcPr>
          <w:p>
            <w:pPr>
              <w:pStyle w:val="24"/>
              <w:spacing w:before="10"/>
              <w:rPr>
                <w:b/>
                <w:sz w:val="29"/>
              </w:rPr>
            </w:pPr>
          </w:p>
          <w:p>
            <w:pPr>
              <w:pStyle w:val="24"/>
              <w:ind w:left="367"/>
              <w:rPr>
                <w:sz w:val="21"/>
              </w:rPr>
            </w:pPr>
            <w:r>
              <w:rPr>
                <w:rFonts w:hint="eastAsia" w:ascii="宋体" w:hAnsi="宋体" w:eastAsia="宋体"/>
                <w:sz w:val="21"/>
              </w:rPr>
              <w:t>Ⅱ</w:t>
            </w:r>
            <w:r>
              <w:rPr>
                <w:sz w:val="21"/>
              </w:rPr>
              <w:t>级事件</w:t>
            </w:r>
          </w:p>
        </w:tc>
        <w:tc>
          <w:tcPr>
            <w:tcW w:w="4127" w:type="dxa"/>
            <w:tcBorders>
              <w:top w:val="single" w:color="000000" w:sz="4" w:space="0"/>
              <w:left w:val="single" w:color="000000" w:sz="4" w:space="0"/>
              <w:bottom w:val="single" w:color="000000" w:sz="4" w:space="0"/>
              <w:right w:val="single" w:color="000000" w:sz="4" w:space="0"/>
            </w:tcBorders>
          </w:tcPr>
          <w:p>
            <w:pPr>
              <w:pStyle w:val="24"/>
              <w:spacing w:before="34"/>
              <w:ind w:left="686" w:right="661"/>
              <w:jc w:val="center"/>
              <w:rPr>
                <w:sz w:val="21"/>
              </w:rPr>
            </w:pPr>
            <w:r>
              <w:rPr>
                <w:sz w:val="21"/>
              </w:rPr>
              <w:t>企业应急指挥部</w:t>
            </w:r>
          </w:p>
        </w:tc>
        <w:tc>
          <w:tcPr>
            <w:tcW w:w="4179" w:type="dxa"/>
            <w:tcBorders>
              <w:top w:val="single" w:color="000000" w:sz="4" w:space="0"/>
              <w:left w:val="single" w:color="000000" w:sz="4" w:space="0"/>
              <w:bottom w:val="single" w:color="000000" w:sz="4" w:space="0"/>
              <w:right w:val="nil"/>
            </w:tcBorders>
          </w:tcPr>
          <w:p>
            <w:pPr>
              <w:pStyle w:val="24"/>
              <w:spacing w:before="34"/>
              <w:ind w:right="714" w:firstLine="630" w:firstLineChars="300"/>
              <w:jc w:val="both"/>
              <w:rPr>
                <w:rFonts w:ascii="Times New Roman" w:eastAsia="Times New Roman"/>
                <w:sz w:val="21"/>
              </w:rPr>
            </w:pPr>
            <w:r>
              <w:rPr>
                <w:sz w:val="21"/>
              </w:rPr>
              <w:t>值班</w:t>
            </w:r>
            <w:r>
              <w:rPr>
                <w:rFonts w:ascii="Times New Roman" w:eastAsia="Times New Roman"/>
                <w:sz w:val="21"/>
              </w:rPr>
              <w:t>/</w:t>
            </w:r>
            <w:r>
              <w:rPr>
                <w:sz w:val="21"/>
              </w:rPr>
              <w:t>救援电话</w:t>
            </w:r>
            <w:r>
              <w:rPr>
                <w:rFonts w:hint="eastAsia"/>
                <w:sz w:val="21"/>
              </w:rPr>
              <w:t>：</w:t>
            </w:r>
            <w:r>
              <w:rPr>
                <w:rFonts w:hint="eastAsia"/>
                <w:szCs w:val="21"/>
              </w:rPr>
              <w:t>13907246986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548" w:type="dxa"/>
            <w:vMerge w:val="continue"/>
            <w:tcBorders>
              <w:top w:val="nil"/>
              <w:left w:val="nil"/>
              <w:bottom w:val="single" w:color="000000" w:sz="4" w:space="0"/>
              <w:right w:val="single" w:color="000000" w:sz="4" w:space="0"/>
            </w:tcBorders>
          </w:tcPr>
          <w:p>
            <w:pPr>
              <w:rPr>
                <w:sz w:val="2"/>
                <w:szCs w:val="2"/>
              </w:rPr>
            </w:pPr>
          </w:p>
        </w:tc>
        <w:tc>
          <w:tcPr>
            <w:tcW w:w="4127" w:type="dxa"/>
            <w:tcBorders>
              <w:top w:val="single" w:color="000000" w:sz="4" w:space="0"/>
              <w:left w:val="single" w:color="000000" w:sz="4" w:space="0"/>
              <w:bottom w:val="single" w:color="000000" w:sz="4" w:space="0"/>
              <w:right w:val="single" w:color="000000" w:sz="4" w:space="0"/>
            </w:tcBorders>
          </w:tcPr>
          <w:p>
            <w:pPr>
              <w:pStyle w:val="24"/>
              <w:spacing w:before="32"/>
              <w:ind w:left="686" w:right="661"/>
              <w:jc w:val="center"/>
              <w:rPr>
                <w:sz w:val="21"/>
              </w:rPr>
            </w:pPr>
            <w:r>
              <w:rPr>
                <w:sz w:val="21"/>
              </w:rPr>
              <w:t>咸宁市生态环境局赤壁市分局</w:t>
            </w:r>
          </w:p>
        </w:tc>
        <w:tc>
          <w:tcPr>
            <w:tcW w:w="4179" w:type="dxa"/>
            <w:tcBorders>
              <w:top w:val="single" w:color="000000" w:sz="4" w:space="0"/>
              <w:left w:val="single" w:color="000000" w:sz="4" w:space="0"/>
              <w:bottom w:val="single" w:color="000000" w:sz="4" w:space="0"/>
              <w:right w:val="nil"/>
            </w:tcBorders>
          </w:tcPr>
          <w:p>
            <w:pPr>
              <w:pStyle w:val="24"/>
              <w:spacing w:before="48"/>
              <w:ind w:left="735" w:right="711"/>
              <w:jc w:val="center"/>
              <w:rPr>
                <w:rFonts w:ascii="Times New Roman"/>
                <w:sz w:val="21"/>
              </w:rPr>
            </w:pPr>
            <w:r>
              <w:rPr>
                <w:rFonts w:ascii="Times New Roman"/>
                <w:sz w:val="21"/>
              </w:rPr>
              <w:t>0715-5355351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548" w:type="dxa"/>
            <w:vMerge w:val="continue"/>
            <w:tcBorders>
              <w:top w:val="nil"/>
              <w:left w:val="nil"/>
              <w:bottom w:val="single" w:color="000000" w:sz="4" w:space="0"/>
              <w:right w:val="single" w:color="000000" w:sz="4" w:space="0"/>
            </w:tcBorders>
          </w:tcPr>
          <w:p>
            <w:pPr>
              <w:rPr>
                <w:sz w:val="2"/>
                <w:szCs w:val="2"/>
              </w:rPr>
            </w:pPr>
          </w:p>
        </w:tc>
        <w:tc>
          <w:tcPr>
            <w:tcW w:w="4127" w:type="dxa"/>
            <w:tcBorders>
              <w:top w:val="single" w:color="000000" w:sz="4" w:space="0"/>
              <w:left w:val="single" w:color="000000" w:sz="4" w:space="0"/>
              <w:bottom w:val="single" w:color="000000" w:sz="4" w:space="0"/>
              <w:right w:val="single" w:color="000000" w:sz="4" w:space="0"/>
            </w:tcBorders>
          </w:tcPr>
          <w:p>
            <w:pPr>
              <w:pStyle w:val="24"/>
              <w:spacing w:before="32"/>
              <w:ind w:left="686" w:right="659"/>
              <w:jc w:val="center"/>
              <w:rPr>
                <w:sz w:val="21"/>
              </w:rPr>
            </w:pPr>
            <w:r>
              <w:rPr>
                <w:rFonts w:hint="eastAsia"/>
                <w:sz w:val="21"/>
              </w:rPr>
              <w:t>陆水湖街道办</w:t>
            </w:r>
          </w:p>
        </w:tc>
        <w:tc>
          <w:tcPr>
            <w:tcW w:w="4179" w:type="dxa"/>
            <w:tcBorders>
              <w:top w:val="single" w:color="000000" w:sz="4" w:space="0"/>
              <w:left w:val="single" w:color="000000" w:sz="4" w:space="0"/>
              <w:bottom w:val="single" w:color="000000" w:sz="4" w:space="0"/>
              <w:right w:val="nil"/>
            </w:tcBorders>
          </w:tcPr>
          <w:p>
            <w:pPr>
              <w:pStyle w:val="24"/>
              <w:spacing w:before="48"/>
              <w:ind w:left="735" w:right="711"/>
              <w:jc w:val="center"/>
              <w:rPr>
                <w:rFonts w:ascii="Times New Roman"/>
                <w:sz w:val="21"/>
              </w:rPr>
            </w:pPr>
            <w:r>
              <w:rPr>
                <w:rFonts w:ascii="Times New Roman"/>
                <w:sz w:val="21"/>
              </w:rPr>
              <w:t>0715-5</w:t>
            </w:r>
            <w:r>
              <w:rPr>
                <w:rFonts w:hint="eastAsia" w:ascii="Times New Roman"/>
                <w:sz w:val="21"/>
                <w:lang w:val="en-US"/>
              </w:rPr>
              <w:t>510037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1548" w:type="dxa"/>
            <w:vMerge w:val="restart"/>
            <w:tcBorders>
              <w:top w:val="single" w:color="000000" w:sz="4" w:space="0"/>
              <w:left w:val="nil"/>
              <w:right w:val="single" w:color="000000" w:sz="4" w:space="0"/>
            </w:tcBorders>
          </w:tcPr>
          <w:p>
            <w:pPr>
              <w:pStyle w:val="24"/>
              <w:rPr>
                <w:b/>
                <w:sz w:val="20"/>
              </w:rPr>
            </w:pPr>
          </w:p>
          <w:p>
            <w:pPr>
              <w:pStyle w:val="24"/>
              <w:rPr>
                <w:b/>
                <w:sz w:val="20"/>
              </w:rPr>
            </w:pPr>
          </w:p>
          <w:p>
            <w:pPr>
              <w:pStyle w:val="24"/>
              <w:rPr>
                <w:b/>
                <w:sz w:val="20"/>
              </w:rPr>
            </w:pPr>
          </w:p>
          <w:p>
            <w:pPr>
              <w:pStyle w:val="24"/>
              <w:spacing w:before="140"/>
              <w:ind w:left="367"/>
              <w:rPr>
                <w:sz w:val="21"/>
              </w:rPr>
            </w:pPr>
            <w:r>
              <w:rPr>
                <w:rFonts w:hint="eastAsia" w:ascii="宋体" w:hAnsi="宋体" w:eastAsia="宋体"/>
                <w:sz w:val="21"/>
              </w:rPr>
              <w:t>Ⅰ</w:t>
            </w:r>
            <w:r>
              <w:rPr>
                <w:sz w:val="21"/>
              </w:rPr>
              <w:t>级事件</w:t>
            </w:r>
          </w:p>
        </w:tc>
        <w:tc>
          <w:tcPr>
            <w:tcW w:w="4127" w:type="dxa"/>
            <w:tcBorders>
              <w:top w:val="single" w:color="000000" w:sz="4" w:space="0"/>
              <w:left w:val="single" w:color="000000" w:sz="4" w:space="0"/>
              <w:bottom w:val="single" w:color="000000" w:sz="4" w:space="0"/>
              <w:right w:val="single" w:color="000000" w:sz="4" w:space="0"/>
            </w:tcBorders>
          </w:tcPr>
          <w:p>
            <w:pPr>
              <w:pStyle w:val="24"/>
              <w:spacing w:before="32"/>
              <w:ind w:left="686" w:right="661"/>
              <w:jc w:val="center"/>
              <w:rPr>
                <w:sz w:val="21"/>
              </w:rPr>
            </w:pPr>
            <w:r>
              <w:rPr>
                <w:sz w:val="21"/>
              </w:rPr>
              <w:t>企业应急指挥部</w:t>
            </w:r>
          </w:p>
        </w:tc>
        <w:tc>
          <w:tcPr>
            <w:tcW w:w="4179" w:type="dxa"/>
            <w:tcBorders>
              <w:top w:val="single" w:color="000000" w:sz="4" w:space="0"/>
              <w:left w:val="single" w:color="000000" w:sz="4" w:space="0"/>
              <w:bottom w:val="single" w:color="000000" w:sz="4" w:space="0"/>
              <w:right w:val="nil"/>
            </w:tcBorders>
          </w:tcPr>
          <w:p>
            <w:pPr>
              <w:pStyle w:val="24"/>
              <w:spacing w:before="32"/>
              <w:ind w:right="714" w:firstLine="630" w:firstLineChars="300"/>
              <w:jc w:val="both"/>
              <w:rPr>
                <w:rFonts w:ascii="Times New Roman" w:eastAsia="Times New Roman"/>
                <w:sz w:val="21"/>
              </w:rPr>
            </w:pPr>
            <w:r>
              <w:rPr>
                <w:sz w:val="21"/>
              </w:rPr>
              <w:t>值班</w:t>
            </w:r>
            <w:r>
              <w:rPr>
                <w:rFonts w:ascii="Times New Roman" w:eastAsia="Times New Roman"/>
                <w:sz w:val="21"/>
              </w:rPr>
              <w:t>/</w:t>
            </w:r>
            <w:r>
              <w:rPr>
                <w:sz w:val="21"/>
              </w:rPr>
              <w:t>救援电话：</w:t>
            </w:r>
            <w:r>
              <w:rPr>
                <w:rFonts w:hint="eastAsia"/>
                <w:szCs w:val="21"/>
              </w:rPr>
              <w:t>13907246986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1548" w:type="dxa"/>
            <w:vMerge w:val="continue"/>
            <w:tcBorders>
              <w:top w:val="nil"/>
              <w:left w:val="nil"/>
              <w:right w:val="single" w:color="000000" w:sz="4" w:space="0"/>
            </w:tcBorders>
          </w:tcPr>
          <w:p>
            <w:pPr>
              <w:rPr>
                <w:sz w:val="2"/>
                <w:szCs w:val="2"/>
              </w:rPr>
            </w:pPr>
          </w:p>
        </w:tc>
        <w:tc>
          <w:tcPr>
            <w:tcW w:w="4127" w:type="dxa"/>
            <w:tcBorders>
              <w:top w:val="single" w:color="000000" w:sz="4" w:space="0"/>
              <w:left w:val="single" w:color="000000" w:sz="4" w:space="0"/>
              <w:bottom w:val="single" w:color="000000" w:sz="4" w:space="0"/>
              <w:right w:val="single" w:color="000000" w:sz="4" w:space="0"/>
            </w:tcBorders>
          </w:tcPr>
          <w:p>
            <w:pPr>
              <w:pStyle w:val="24"/>
              <w:spacing w:before="23"/>
              <w:ind w:left="686" w:right="661"/>
              <w:jc w:val="center"/>
              <w:rPr>
                <w:sz w:val="21"/>
              </w:rPr>
            </w:pPr>
            <w:r>
              <w:rPr>
                <w:sz w:val="21"/>
              </w:rPr>
              <w:t>咸宁市生态环境局赤壁市分局</w:t>
            </w:r>
          </w:p>
        </w:tc>
        <w:tc>
          <w:tcPr>
            <w:tcW w:w="4179" w:type="dxa"/>
            <w:tcBorders>
              <w:top w:val="single" w:color="000000" w:sz="4" w:space="0"/>
              <w:left w:val="single" w:color="000000" w:sz="4" w:space="0"/>
              <w:bottom w:val="single" w:color="000000" w:sz="4" w:space="0"/>
              <w:right w:val="nil"/>
            </w:tcBorders>
          </w:tcPr>
          <w:p>
            <w:pPr>
              <w:pStyle w:val="24"/>
              <w:spacing w:before="37"/>
              <w:ind w:left="735" w:right="711"/>
              <w:jc w:val="center"/>
              <w:rPr>
                <w:rFonts w:ascii="Times New Roman"/>
                <w:sz w:val="21"/>
              </w:rPr>
            </w:pPr>
            <w:r>
              <w:rPr>
                <w:rFonts w:ascii="Times New Roman"/>
                <w:sz w:val="21"/>
              </w:rPr>
              <w:t>0715-5355351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1548" w:type="dxa"/>
            <w:vMerge w:val="continue"/>
            <w:tcBorders>
              <w:top w:val="nil"/>
              <w:left w:val="nil"/>
              <w:right w:val="single" w:color="000000" w:sz="4" w:space="0"/>
            </w:tcBorders>
          </w:tcPr>
          <w:p>
            <w:pPr>
              <w:rPr>
                <w:sz w:val="2"/>
                <w:szCs w:val="2"/>
              </w:rPr>
            </w:pPr>
          </w:p>
        </w:tc>
        <w:tc>
          <w:tcPr>
            <w:tcW w:w="4127" w:type="dxa"/>
            <w:tcBorders>
              <w:top w:val="single" w:color="000000" w:sz="4" w:space="0"/>
              <w:left w:val="single" w:color="000000" w:sz="4" w:space="0"/>
              <w:bottom w:val="single" w:color="000000" w:sz="4" w:space="0"/>
              <w:right w:val="single" w:color="000000" w:sz="4" w:space="0"/>
            </w:tcBorders>
          </w:tcPr>
          <w:p>
            <w:pPr>
              <w:pStyle w:val="24"/>
              <w:spacing w:before="23"/>
              <w:ind w:left="686" w:right="659"/>
              <w:jc w:val="center"/>
              <w:rPr>
                <w:sz w:val="21"/>
              </w:rPr>
            </w:pPr>
            <w:r>
              <w:rPr>
                <w:sz w:val="21"/>
              </w:rPr>
              <w:t>咸宁市生态环境局</w:t>
            </w:r>
          </w:p>
        </w:tc>
        <w:tc>
          <w:tcPr>
            <w:tcW w:w="4179" w:type="dxa"/>
            <w:tcBorders>
              <w:top w:val="single" w:color="000000" w:sz="4" w:space="0"/>
              <w:left w:val="single" w:color="000000" w:sz="4" w:space="0"/>
              <w:bottom w:val="single" w:color="000000" w:sz="4" w:space="0"/>
              <w:right w:val="nil"/>
            </w:tcBorders>
          </w:tcPr>
          <w:p>
            <w:pPr>
              <w:pStyle w:val="24"/>
              <w:spacing w:before="37"/>
              <w:ind w:left="735" w:right="711"/>
              <w:jc w:val="center"/>
              <w:rPr>
                <w:rFonts w:ascii="Times New Roman"/>
                <w:sz w:val="21"/>
              </w:rPr>
            </w:pPr>
            <w:r>
              <w:rPr>
                <w:rFonts w:ascii="Times New Roman"/>
                <w:sz w:val="21"/>
              </w:rPr>
              <w:t>0715-8271319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1548" w:type="dxa"/>
            <w:vMerge w:val="continue"/>
            <w:tcBorders>
              <w:top w:val="nil"/>
              <w:left w:val="nil"/>
              <w:right w:val="single" w:color="000000" w:sz="4" w:space="0"/>
            </w:tcBorders>
          </w:tcPr>
          <w:p>
            <w:pPr>
              <w:rPr>
                <w:sz w:val="2"/>
                <w:szCs w:val="2"/>
              </w:rPr>
            </w:pPr>
          </w:p>
        </w:tc>
        <w:tc>
          <w:tcPr>
            <w:tcW w:w="4127" w:type="dxa"/>
            <w:tcBorders>
              <w:top w:val="single" w:color="000000" w:sz="4" w:space="0"/>
              <w:left w:val="single" w:color="000000" w:sz="4" w:space="0"/>
              <w:bottom w:val="single" w:color="000000" w:sz="4" w:space="0"/>
              <w:right w:val="single" w:color="000000" w:sz="4" w:space="0"/>
            </w:tcBorders>
          </w:tcPr>
          <w:p>
            <w:pPr>
              <w:pStyle w:val="24"/>
              <w:spacing w:before="32"/>
              <w:ind w:left="30"/>
              <w:jc w:val="center"/>
              <w:rPr>
                <w:sz w:val="21"/>
              </w:rPr>
            </w:pPr>
            <w:r>
              <w:rPr>
                <w:rFonts w:hint="eastAsia"/>
                <w:sz w:val="21"/>
              </w:rPr>
              <w:t>陆水湖街道办</w:t>
            </w:r>
          </w:p>
        </w:tc>
        <w:tc>
          <w:tcPr>
            <w:tcW w:w="4179" w:type="dxa"/>
            <w:tcBorders>
              <w:top w:val="single" w:color="000000" w:sz="4" w:space="0"/>
              <w:left w:val="single" w:color="000000" w:sz="4" w:space="0"/>
              <w:bottom w:val="single" w:color="000000" w:sz="4" w:space="0"/>
              <w:right w:val="nil"/>
            </w:tcBorders>
          </w:tcPr>
          <w:p>
            <w:pPr>
              <w:pStyle w:val="24"/>
              <w:spacing w:before="48"/>
              <w:ind w:left="1292" w:right="1267"/>
              <w:jc w:val="center"/>
              <w:rPr>
                <w:rFonts w:ascii="Times New Roman"/>
                <w:sz w:val="21"/>
              </w:rPr>
            </w:pPr>
            <w:r>
              <w:rPr>
                <w:rFonts w:ascii="Times New Roman"/>
                <w:sz w:val="21"/>
              </w:rPr>
              <w:t>0715-5</w:t>
            </w:r>
            <w:r>
              <w:rPr>
                <w:rFonts w:hint="eastAsia" w:ascii="Times New Roman"/>
                <w:sz w:val="21"/>
                <w:lang w:val="en-US"/>
              </w:rPr>
              <w:t>510037</w:t>
            </w:r>
          </w:p>
        </w:tc>
      </w:tr>
    </w:tbl>
    <w:p>
      <w:pPr>
        <w:jc w:val="center"/>
        <w:rPr>
          <w:sz w:val="21"/>
        </w:rPr>
        <w:sectPr>
          <w:pgSz w:w="11910" w:h="16840"/>
          <w:pgMar w:top="1360" w:right="840" w:bottom="1180" w:left="840" w:header="882" w:footer="993" w:gutter="0"/>
          <w:cols w:space="720" w:num="1"/>
        </w:sectPr>
      </w:pPr>
    </w:p>
    <w:p>
      <w:pPr>
        <w:pStyle w:val="10"/>
        <w:spacing w:before="3"/>
        <w:rPr>
          <w:b/>
          <w:sz w:val="12"/>
        </w:rPr>
      </w:pPr>
    </w:p>
    <w:p>
      <w:pPr>
        <w:pStyle w:val="5"/>
        <w:numPr>
          <w:ilvl w:val="0"/>
          <w:numId w:val="6"/>
        </w:numPr>
        <w:tabs>
          <w:tab w:val="left" w:pos="560"/>
        </w:tabs>
        <w:ind w:left="559" w:hanging="320"/>
      </w:pPr>
      <w:bookmarkStart w:id="127" w:name="_bookmark63"/>
      <w:bookmarkEnd w:id="127"/>
      <w:bookmarkStart w:id="128" w:name="6_应急响应与措施"/>
      <w:bookmarkEnd w:id="128"/>
      <w:r>
        <w:rPr>
          <w:w w:val="95"/>
        </w:rPr>
        <w:t>应急响应与措施</w:t>
      </w:r>
    </w:p>
    <w:p>
      <w:pPr>
        <w:pStyle w:val="10"/>
        <w:spacing w:before="10"/>
        <w:rPr>
          <w:b/>
          <w:sz w:val="28"/>
        </w:rPr>
      </w:pPr>
    </w:p>
    <w:p>
      <w:pPr>
        <w:pStyle w:val="6"/>
        <w:numPr>
          <w:ilvl w:val="1"/>
          <w:numId w:val="6"/>
        </w:numPr>
        <w:tabs>
          <w:tab w:val="left" w:pos="766"/>
        </w:tabs>
      </w:pPr>
      <w:bookmarkStart w:id="129" w:name="_bookmark64"/>
      <w:bookmarkEnd w:id="129"/>
      <w:bookmarkStart w:id="130" w:name="6.1_分级响应机制"/>
      <w:bookmarkEnd w:id="130"/>
      <w:r>
        <w:rPr>
          <w:w w:val="95"/>
        </w:rPr>
        <w:t>分级响应机制</w:t>
      </w:r>
    </w:p>
    <w:p>
      <w:pPr>
        <w:pStyle w:val="10"/>
        <w:spacing w:before="9"/>
        <w:rPr>
          <w:b/>
          <w:sz w:val="27"/>
        </w:rPr>
      </w:pPr>
    </w:p>
    <w:p>
      <w:pPr>
        <w:pStyle w:val="10"/>
        <w:spacing w:line="364" w:lineRule="auto"/>
        <w:ind w:left="240" w:right="145" w:firstLine="480"/>
      </w:pPr>
      <w:r>
        <w:rPr>
          <w:spacing w:val="-6"/>
        </w:rPr>
        <w:t>按照突发环境事件严重性、紧急程度、危害程度、影响范围、控制事态的能力以及需要调动的应急资源，将突发环境事件的预警分为不同的等级。等级依次为三级（一般环境事件）</w:t>
      </w:r>
      <w:r>
        <w:rPr>
          <w:spacing w:val="-19"/>
        </w:rPr>
        <w:t>、</w:t>
      </w:r>
      <w:r>
        <w:t>二级（较大环境事件）、一级（重大环境事件）。</w:t>
      </w:r>
    </w:p>
    <w:p>
      <w:pPr>
        <w:pStyle w:val="10"/>
        <w:spacing w:line="364" w:lineRule="auto"/>
        <w:ind w:left="240" w:right="145" w:firstLine="480"/>
      </w:pPr>
      <w:r>
        <w:t>三级（一般环境事件）：已经发生一般环境污染事件，仅需要事故工段或部门参与应急， 可申请其它部门或科室支援。</w:t>
      </w:r>
    </w:p>
    <w:p>
      <w:pPr>
        <w:pStyle w:val="10"/>
        <w:spacing w:line="364" w:lineRule="auto"/>
        <w:ind w:left="240" w:right="237" w:firstLine="480"/>
      </w:pPr>
      <w:r>
        <w:rPr>
          <w:spacing w:val="-12"/>
        </w:rPr>
        <w:t>二级</w:t>
      </w:r>
      <w:r>
        <w:t>（较大环境事件</w:t>
      </w:r>
      <w:r>
        <w:rPr>
          <w:spacing w:val="-23"/>
        </w:rPr>
        <w:t>）</w:t>
      </w:r>
      <w:r>
        <w:rPr>
          <w:spacing w:val="-8"/>
        </w:rPr>
        <w:t>：已经发生较大环境事件，需要几个部门或企业全部力量参与应急</w:t>
      </w:r>
      <w:r>
        <w:t>救援。</w:t>
      </w:r>
    </w:p>
    <w:p>
      <w:pPr>
        <w:spacing w:line="362" w:lineRule="auto"/>
        <w:ind w:left="3213" w:right="385" w:hanging="2494"/>
        <w:rPr>
          <w:b/>
          <w:sz w:val="24"/>
        </w:rPr>
      </w:pPr>
      <w:r>
        <w:rPr>
          <w:sz w:val="24"/>
        </w:rPr>
        <w:t>一级（重大环境事件）：已经发生重大环境事件，需要企业和社会力量参与应急救援。</w:t>
      </w:r>
      <w:r>
        <w:rPr>
          <w:b/>
          <w:sz w:val="24"/>
        </w:rPr>
        <w:t xml:space="preserve">表 </w:t>
      </w:r>
      <w:r>
        <w:rPr>
          <w:rFonts w:ascii="Times New Roman" w:eastAsia="Times New Roman"/>
          <w:b/>
          <w:sz w:val="24"/>
        </w:rPr>
        <w:t xml:space="preserve">6.1-1  </w:t>
      </w:r>
      <w:r>
        <w:rPr>
          <w:b/>
          <w:sz w:val="24"/>
        </w:rPr>
        <w:t>响应分级与事件分级对照表</w:t>
      </w:r>
    </w:p>
    <w:tbl>
      <w:tblPr>
        <w:tblStyle w:val="15"/>
        <w:tblW w:w="0" w:type="auto"/>
        <w:tblInd w:w="12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51"/>
        <w:gridCol w:w="753"/>
        <w:gridCol w:w="3014"/>
        <w:gridCol w:w="2867"/>
        <w:gridCol w:w="287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451" w:type="dxa"/>
            <w:vMerge w:val="restart"/>
            <w:tcBorders>
              <w:left w:val="nil"/>
              <w:bottom w:val="single" w:color="000000" w:sz="4" w:space="0"/>
              <w:right w:val="single" w:color="000000" w:sz="4" w:space="0"/>
            </w:tcBorders>
          </w:tcPr>
          <w:p>
            <w:pPr>
              <w:pStyle w:val="24"/>
              <w:spacing w:before="72" w:line="242" w:lineRule="auto"/>
              <w:ind w:left="134" w:right="100"/>
              <w:rPr>
                <w:b/>
                <w:sz w:val="21"/>
              </w:rPr>
            </w:pPr>
            <w:r>
              <w:rPr>
                <w:b/>
                <w:sz w:val="21"/>
              </w:rPr>
              <w:t>序号</w:t>
            </w:r>
          </w:p>
        </w:tc>
        <w:tc>
          <w:tcPr>
            <w:tcW w:w="753" w:type="dxa"/>
            <w:vMerge w:val="restart"/>
            <w:tcBorders>
              <w:left w:val="single" w:color="000000" w:sz="4" w:space="0"/>
              <w:bottom w:val="single" w:color="000000" w:sz="4" w:space="0"/>
              <w:right w:val="single" w:color="000000" w:sz="4" w:space="0"/>
            </w:tcBorders>
          </w:tcPr>
          <w:p>
            <w:pPr>
              <w:pStyle w:val="24"/>
              <w:spacing w:before="72" w:line="242" w:lineRule="auto"/>
              <w:ind w:left="175" w:right="145"/>
              <w:rPr>
                <w:b/>
                <w:sz w:val="21"/>
              </w:rPr>
            </w:pPr>
            <w:r>
              <w:rPr>
                <w:b/>
                <w:sz w:val="21"/>
              </w:rPr>
              <w:t>事故类型</w:t>
            </w:r>
          </w:p>
        </w:tc>
        <w:tc>
          <w:tcPr>
            <w:tcW w:w="8757" w:type="dxa"/>
            <w:gridSpan w:val="3"/>
            <w:tcBorders>
              <w:left w:val="single" w:color="000000" w:sz="4" w:space="0"/>
              <w:bottom w:val="single" w:color="000000" w:sz="4" w:space="0"/>
              <w:right w:val="nil"/>
            </w:tcBorders>
          </w:tcPr>
          <w:p>
            <w:pPr>
              <w:pStyle w:val="24"/>
              <w:spacing w:before="34"/>
              <w:ind w:left="3286" w:right="3258"/>
              <w:jc w:val="center"/>
              <w:rPr>
                <w:b/>
                <w:sz w:val="21"/>
              </w:rPr>
            </w:pPr>
            <w:r>
              <w:rPr>
                <w:b/>
                <w:sz w:val="21"/>
              </w:rPr>
              <w:t>响应等级</w:t>
            </w:r>
            <w:r>
              <w:rPr>
                <w:rFonts w:ascii="Times New Roman" w:eastAsia="Times New Roman"/>
                <w:b/>
                <w:sz w:val="21"/>
              </w:rPr>
              <w:t>/</w:t>
            </w:r>
            <w:r>
              <w:rPr>
                <w:b/>
                <w:sz w:val="21"/>
              </w:rPr>
              <w:t>对应事故等级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451" w:type="dxa"/>
            <w:vMerge w:val="continue"/>
            <w:tcBorders>
              <w:top w:val="nil"/>
              <w:left w:val="nil"/>
              <w:bottom w:val="single" w:color="000000" w:sz="4" w:space="0"/>
              <w:right w:val="single" w:color="000000" w:sz="4" w:space="0"/>
            </w:tcBorders>
          </w:tcPr>
          <w:p>
            <w:pPr>
              <w:rPr>
                <w:sz w:val="2"/>
                <w:szCs w:val="2"/>
              </w:rPr>
            </w:pPr>
          </w:p>
        </w:tc>
        <w:tc>
          <w:tcPr>
            <w:tcW w:w="753" w:type="dxa"/>
            <w:vMerge w:val="continue"/>
            <w:tcBorders>
              <w:top w:val="nil"/>
              <w:left w:val="single" w:color="000000" w:sz="4" w:space="0"/>
              <w:bottom w:val="single" w:color="000000" w:sz="4" w:space="0"/>
              <w:right w:val="single" w:color="000000" w:sz="4" w:space="0"/>
            </w:tcBorders>
          </w:tcPr>
          <w:p>
            <w:pPr>
              <w:rPr>
                <w:sz w:val="2"/>
                <w:szCs w:val="2"/>
              </w:rPr>
            </w:pPr>
          </w:p>
        </w:tc>
        <w:tc>
          <w:tcPr>
            <w:tcW w:w="3014" w:type="dxa"/>
            <w:tcBorders>
              <w:top w:val="single" w:color="000000" w:sz="4" w:space="0"/>
              <w:left w:val="single" w:color="000000" w:sz="4" w:space="0"/>
              <w:bottom w:val="single" w:color="000000" w:sz="4" w:space="0"/>
              <w:right w:val="single" w:color="000000" w:sz="4" w:space="0"/>
            </w:tcBorders>
          </w:tcPr>
          <w:p>
            <w:pPr>
              <w:pStyle w:val="24"/>
              <w:spacing w:before="32"/>
              <w:ind w:left="902" w:right="872"/>
              <w:jc w:val="center"/>
              <w:rPr>
                <w:b/>
                <w:sz w:val="21"/>
              </w:rPr>
            </w:pPr>
            <w:r>
              <w:rPr>
                <w:rFonts w:ascii="Times New Roman" w:eastAsia="Times New Roman"/>
                <w:b/>
                <w:sz w:val="21"/>
              </w:rPr>
              <w:t xml:space="preserve">I </w:t>
            </w:r>
            <w:r>
              <w:rPr>
                <w:b/>
                <w:sz w:val="21"/>
              </w:rPr>
              <w:t>级环境事件</w:t>
            </w:r>
          </w:p>
        </w:tc>
        <w:tc>
          <w:tcPr>
            <w:tcW w:w="2867" w:type="dxa"/>
            <w:tcBorders>
              <w:top w:val="single" w:color="000000" w:sz="4" w:space="0"/>
              <w:left w:val="single" w:color="000000" w:sz="4" w:space="0"/>
              <w:bottom w:val="single" w:color="000000" w:sz="4" w:space="0"/>
              <w:right w:val="single" w:color="000000" w:sz="4" w:space="0"/>
            </w:tcBorders>
          </w:tcPr>
          <w:p>
            <w:pPr>
              <w:pStyle w:val="24"/>
              <w:spacing w:before="32"/>
              <w:ind w:left="787" w:right="758"/>
              <w:jc w:val="center"/>
              <w:rPr>
                <w:b/>
                <w:sz w:val="21"/>
              </w:rPr>
            </w:pPr>
            <w:r>
              <w:rPr>
                <w:rFonts w:ascii="Times New Roman" w:eastAsia="Times New Roman"/>
                <w:b/>
                <w:sz w:val="21"/>
              </w:rPr>
              <w:t xml:space="preserve">II </w:t>
            </w:r>
            <w:r>
              <w:rPr>
                <w:b/>
                <w:sz w:val="21"/>
              </w:rPr>
              <w:t>级环境事件</w:t>
            </w:r>
          </w:p>
        </w:tc>
        <w:tc>
          <w:tcPr>
            <w:tcW w:w="2876" w:type="dxa"/>
            <w:tcBorders>
              <w:top w:val="single" w:color="000000" w:sz="4" w:space="0"/>
              <w:left w:val="single" w:color="000000" w:sz="4" w:space="0"/>
              <w:bottom w:val="single" w:color="000000" w:sz="4" w:space="0"/>
              <w:right w:val="nil"/>
            </w:tcBorders>
          </w:tcPr>
          <w:p>
            <w:pPr>
              <w:pStyle w:val="24"/>
              <w:spacing w:before="32"/>
              <w:ind w:left="753" w:right="726"/>
              <w:jc w:val="center"/>
              <w:rPr>
                <w:b/>
                <w:sz w:val="21"/>
              </w:rPr>
            </w:pPr>
            <w:r>
              <w:rPr>
                <w:rFonts w:ascii="Times New Roman" w:eastAsia="Times New Roman"/>
                <w:b/>
                <w:sz w:val="21"/>
              </w:rPr>
              <w:t xml:space="preserve">III </w:t>
            </w:r>
            <w:r>
              <w:rPr>
                <w:b/>
                <w:sz w:val="21"/>
              </w:rPr>
              <w:t>级环境事件</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96" w:hRule="atLeast"/>
        </w:trPr>
        <w:tc>
          <w:tcPr>
            <w:tcW w:w="451" w:type="dxa"/>
            <w:tcBorders>
              <w:top w:val="single" w:color="000000" w:sz="4" w:space="0"/>
              <w:left w:val="nil"/>
              <w:bottom w:val="single" w:color="000000" w:sz="4" w:space="0"/>
              <w:right w:val="single" w:color="000000" w:sz="4" w:space="0"/>
            </w:tcBorders>
          </w:tcPr>
          <w:p>
            <w:pPr>
              <w:pStyle w:val="24"/>
              <w:rPr>
                <w:b/>
              </w:rPr>
            </w:pPr>
          </w:p>
          <w:p>
            <w:pPr>
              <w:pStyle w:val="24"/>
              <w:rPr>
                <w:b/>
              </w:rPr>
            </w:pPr>
          </w:p>
          <w:p>
            <w:pPr>
              <w:pStyle w:val="24"/>
              <w:rPr>
                <w:b/>
              </w:rPr>
            </w:pPr>
          </w:p>
          <w:p>
            <w:pPr>
              <w:pStyle w:val="24"/>
              <w:rPr>
                <w:b/>
              </w:rPr>
            </w:pPr>
          </w:p>
          <w:p>
            <w:pPr>
              <w:pStyle w:val="24"/>
              <w:spacing w:before="5"/>
              <w:rPr>
                <w:b/>
                <w:sz w:val="19"/>
              </w:rPr>
            </w:pPr>
          </w:p>
          <w:p>
            <w:pPr>
              <w:pStyle w:val="24"/>
              <w:ind w:left="32"/>
              <w:jc w:val="center"/>
              <w:rPr>
                <w:rFonts w:ascii="Times New Roman"/>
                <w:sz w:val="21"/>
              </w:rPr>
            </w:pPr>
            <w:r>
              <w:rPr>
                <w:rFonts w:ascii="Times New Roman"/>
                <w:w w:val="99"/>
                <w:sz w:val="21"/>
              </w:rPr>
              <w:t>1</w:t>
            </w:r>
          </w:p>
        </w:tc>
        <w:tc>
          <w:tcPr>
            <w:tcW w:w="753" w:type="dxa"/>
            <w:tcBorders>
              <w:top w:val="single" w:color="000000" w:sz="4" w:space="0"/>
              <w:left w:val="single" w:color="000000" w:sz="4" w:space="0"/>
              <w:bottom w:val="single" w:color="000000" w:sz="4" w:space="0"/>
              <w:right w:val="single" w:color="000000" w:sz="4" w:space="0"/>
            </w:tcBorders>
          </w:tcPr>
          <w:p>
            <w:pPr>
              <w:pStyle w:val="24"/>
              <w:rPr>
                <w:b/>
                <w:sz w:val="20"/>
              </w:rPr>
            </w:pPr>
          </w:p>
          <w:p>
            <w:pPr>
              <w:pStyle w:val="24"/>
              <w:rPr>
                <w:b/>
                <w:sz w:val="20"/>
              </w:rPr>
            </w:pPr>
          </w:p>
          <w:p>
            <w:pPr>
              <w:pStyle w:val="24"/>
              <w:rPr>
                <w:b/>
                <w:sz w:val="20"/>
              </w:rPr>
            </w:pPr>
          </w:p>
          <w:p>
            <w:pPr>
              <w:pStyle w:val="24"/>
              <w:rPr>
                <w:b/>
                <w:sz w:val="20"/>
              </w:rPr>
            </w:pPr>
          </w:p>
          <w:p>
            <w:pPr>
              <w:pStyle w:val="24"/>
              <w:spacing w:before="8"/>
              <w:rPr>
                <w:b/>
                <w:sz w:val="15"/>
              </w:rPr>
            </w:pPr>
          </w:p>
          <w:p>
            <w:pPr>
              <w:pStyle w:val="24"/>
              <w:spacing w:line="242" w:lineRule="auto"/>
              <w:ind w:left="175" w:right="148"/>
              <w:rPr>
                <w:sz w:val="21"/>
              </w:rPr>
            </w:pPr>
            <w:r>
              <w:rPr>
                <w:sz w:val="21"/>
              </w:rPr>
              <w:t>火灾爆炸</w:t>
            </w:r>
          </w:p>
        </w:tc>
        <w:tc>
          <w:tcPr>
            <w:tcW w:w="3014" w:type="dxa"/>
            <w:tcBorders>
              <w:top w:val="single" w:color="000000" w:sz="4" w:space="0"/>
              <w:left w:val="single" w:color="000000" w:sz="4" w:space="0"/>
              <w:bottom w:val="single" w:color="000000" w:sz="4" w:space="0"/>
              <w:right w:val="single" w:color="000000" w:sz="4" w:space="0"/>
            </w:tcBorders>
          </w:tcPr>
          <w:p>
            <w:pPr>
              <w:pStyle w:val="24"/>
              <w:spacing w:before="135" w:line="242" w:lineRule="auto"/>
              <w:ind w:left="118" w:right="-29" w:firstLine="420"/>
              <w:rPr>
                <w:sz w:val="21"/>
              </w:rPr>
            </w:pPr>
            <w:r>
              <w:rPr>
                <w:spacing w:val="6"/>
                <w:sz w:val="21"/>
              </w:rPr>
              <w:t>操作失误、违章作业，电</w:t>
            </w:r>
            <w:r>
              <w:rPr>
                <w:spacing w:val="-4"/>
                <w:sz w:val="21"/>
              </w:rPr>
              <w:t>气线路、电气设备运行时短路、</w:t>
            </w:r>
            <w:r>
              <w:rPr>
                <w:spacing w:val="4"/>
                <w:sz w:val="21"/>
              </w:rPr>
              <w:t>过载、接触不良、散热不良、漏电、断线碰壳、绝缘老化损坏，可燃</w:t>
            </w:r>
            <w:r>
              <w:rPr>
                <w:rFonts w:hint="eastAsia"/>
                <w:spacing w:val="4"/>
                <w:sz w:val="21"/>
              </w:rPr>
              <w:t>液态</w:t>
            </w:r>
            <w:r>
              <w:rPr>
                <w:spacing w:val="4"/>
                <w:sz w:val="21"/>
              </w:rPr>
              <w:t>泄漏以及原材料、</w:t>
            </w:r>
            <w:r>
              <w:rPr>
                <w:rFonts w:hint="eastAsia"/>
                <w:spacing w:val="4"/>
                <w:sz w:val="21"/>
              </w:rPr>
              <w:t>塑料成品</w:t>
            </w:r>
            <w:r>
              <w:rPr>
                <w:spacing w:val="4"/>
                <w:sz w:val="21"/>
              </w:rPr>
              <w:t xml:space="preserve">等管理不善，导致大规模火灾爆炸，造成人员中毒或伤亡， </w:t>
            </w:r>
            <w:r>
              <w:rPr>
                <w:spacing w:val="23"/>
                <w:sz w:val="21"/>
              </w:rPr>
              <w:t>依靠厂区应急力量无法控制的。</w:t>
            </w:r>
          </w:p>
        </w:tc>
        <w:tc>
          <w:tcPr>
            <w:tcW w:w="2867" w:type="dxa"/>
            <w:tcBorders>
              <w:top w:val="single" w:color="000000" w:sz="4" w:space="0"/>
              <w:left w:val="single" w:color="000000" w:sz="4" w:space="0"/>
              <w:bottom w:val="single" w:color="000000" w:sz="4" w:space="0"/>
              <w:right w:val="single" w:color="000000" w:sz="4" w:space="0"/>
            </w:tcBorders>
          </w:tcPr>
          <w:p>
            <w:pPr>
              <w:pStyle w:val="24"/>
              <w:spacing w:before="1" w:line="242" w:lineRule="auto"/>
              <w:ind w:left="116" w:right="9" w:firstLine="420"/>
              <w:rPr>
                <w:sz w:val="21"/>
              </w:rPr>
            </w:pPr>
            <w:r>
              <w:rPr>
                <w:sz w:val="21"/>
              </w:rPr>
              <w:t xml:space="preserve">操作失误、违章作业，电气线路、电气设备运行时短路、过载、接触不良、散热不良、漏电、断线碰壳、绝缘老化损坏等导致电气火灾爆炸， </w:t>
            </w:r>
            <w:r>
              <w:rPr>
                <w:rFonts w:hint="eastAsia"/>
                <w:sz w:val="21"/>
              </w:rPr>
              <w:t>油墨、乙烯</w:t>
            </w:r>
            <w:r>
              <w:rPr>
                <w:rFonts w:hint="eastAsia"/>
                <w:sz w:val="21"/>
                <w:lang w:val="en-US"/>
              </w:rPr>
              <w:t>-醋酸乙烯共聚物（EVA）</w:t>
            </w:r>
            <w:r>
              <w:rPr>
                <w:sz w:val="21"/>
              </w:rPr>
              <w:t>等可燃</w:t>
            </w:r>
            <w:r>
              <w:rPr>
                <w:rFonts w:hint="eastAsia"/>
                <w:sz w:val="21"/>
              </w:rPr>
              <w:t>液态</w:t>
            </w:r>
            <w:r>
              <w:rPr>
                <w:sz w:val="21"/>
              </w:rPr>
              <w:t>泄漏以及原材料、</w:t>
            </w:r>
            <w:r>
              <w:rPr>
                <w:rFonts w:hint="eastAsia"/>
                <w:sz w:val="21"/>
              </w:rPr>
              <w:t>塑料成品</w:t>
            </w:r>
            <w:r>
              <w:rPr>
                <w:sz w:val="21"/>
              </w:rPr>
              <w:t>等管理不善，导致火灾爆炸，未造成人员中毒或伤亡，环境影响依靠厂区应急力量可以控</w:t>
            </w:r>
          </w:p>
          <w:p>
            <w:pPr>
              <w:pStyle w:val="24"/>
              <w:spacing w:before="4" w:line="253" w:lineRule="exact"/>
              <w:ind w:left="116"/>
              <w:rPr>
                <w:sz w:val="21"/>
              </w:rPr>
            </w:pPr>
            <w:r>
              <w:rPr>
                <w:sz w:val="21"/>
              </w:rPr>
              <w:t>制的。</w:t>
            </w:r>
          </w:p>
        </w:tc>
        <w:tc>
          <w:tcPr>
            <w:tcW w:w="2876" w:type="dxa"/>
            <w:tcBorders>
              <w:top w:val="single" w:color="000000" w:sz="4" w:space="0"/>
              <w:left w:val="single" w:color="000000" w:sz="4" w:space="0"/>
              <w:bottom w:val="single" w:color="000000" w:sz="4" w:space="0"/>
              <w:right w:val="nil"/>
            </w:tcBorders>
          </w:tcPr>
          <w:p>
            <w:pPr>
              <w:pStyle w:val="24"/>
              <w:rPr>
                <w:b/>
              </w:rPr>
            </w:pPr>
          </w:p>
          <w:p>
            <w:pPr>
              <w:pStyle w:val="24"/>
              <w:rPr>
                <w:b/>
              </w:rPr>
            </w:pPr>
          </w:p>
          <w:p>
            <w:pPr>
              <w:pStyle w:val="24"/>
              <w:rPr>
                <w:b/>
              </w:rPr>
            </w:pPr>
          </w:p>
          <w:p>
            <w:pPr>
              <w:pStyle w:val="24"/>
              <w:rPr>
                <w:b/>
              </w:rPr>
            </w:pPr>
          </w:p>
          <w:p>
            <w:pPr>
              <w:pStyle w:val="24"/>
              <w:spacing w:before="5"/>
              <w:rPr>
                <w:b/>
                <w:sz w:val="19"/>
              </w:rPr>
            </w:pPr>
          </w:p>
          <w:p>
            <w:pPr>
              <w:pStyle w:val="24"/>
              <w:ind w:left="23"/>
              <w:jc w:val="center"/>
              <w:rPr>
                <w:rFonts w:ascii="Times New Roman"/>
                <w:sz w:val="21"/>
              </w:rPr>
            </w:pPr>
            <w:r>
              <w:rPr>
                <w:rFonts w:ascii="Times New Roman"/>
                <w:w w:val="99"/>
                <w:sz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60" w:hRule="atLeast"/>
        </w:trPr>
        <w:tc>
          <w:tcPr>
            <w:tcW w:w="451" w:type="dxa"/>
            <w:tcBorders>
              <w:top w:val="single" w:color="000000" w:sz="4" w:space="0"/>
              <w:left w:val="nil"/>
              <w:bottom w:val="single" w:color="000000" w:sz="4" w:space="0"/>
              <w:right w:val="single" w:color="000000" w:sz="4" w:space="0"/>
            </w:tcBorders>
          </w:tcPr>
          <w:p>
            <w:pPr>
              <w:pStyle w:val="24"/>
              <w:rPr>
                <w:b/>
              </w:rPr>
            </w:pPr>
          </w:p>
          <w:p>
            <w:pPr>
              <w:pStyle w:val="24"/>
              <w:spacing w:before="7"/>
              <w:rPr>
                <w:b/>
                <w:sz w:val="21"/>
              </w:rPr>
            </w:pPr>
          </w:p>
          <w:p>
            <w:pPr>
              <w:pStyle w:val="24"/>
              <w:spacing w:before="1"/>
              <w:ind w:left="32"/>
              <w:jc w:val="center"/>
              <w:rPr>
                <w:rFonts w:ascii="Times New Roman"/>
                <w:sz w:val="21"/>
              </w:rPr>
            </w:pPr>
            <w:r>
              <w:rPr>
                <w:rFonts w:ascii="Times New Roman"/>
                <w:w w:val="99"/>
                <w:sz w:val="21"/>
              </w:rPr>
              <w:t>2</w:t>
            </w:r>
          </w:p>
        </w:tc>
        <w:tc>
          <w:tcPr>
            <w:tcW w:w="753" w:type="dxa"/>
            <w:tcBorders>
              <w:top w:val="single" w:color="000000" w:sz="4" w:space="0"/>
              <w:left w:val="single" w:color="000000" w:sz="4" w:space="0"/>
              <w:bottom w:val="single" w:color="000000" w:sz="4" w:space="0"/>
              <w:right w:val="single" w:color="000000" w:sz="4" w:space="0"/>
            </w:tcBorders>
          </w:tcPr>
          <w:p>
            <w:pPr>
              <w:pStyle w:val="24"/>
              <w:spacing w:before="2"/>
              <w:rPr>
                <w:b/>
                <w:sz w:val="21"/>
              </w:rPr>
            </w:pPr>
          </w:p>
          <w:p>
            <w:pPr>
              <w:pStyle w:val="24"/>
              <w:spacing w:line="242" w:lineRule="auto"/>
              <w:ind w:left="175" w:right="148"/>
              <w:jc w:val="both"/>
              <w:rPr>
                <w:sz w:val="21"/>
              </w:rPr>
            </w:pPr>
            <w:r>
              <w:rPr>
                <w:sz w:val="21"/>
              </w:rPr>
              <w:t>有毒</w:t>
            </w:r>
            <w:r>
              <w:rPr>
                <w:rFonts w:hint="eastAsia"/>
                <w:sz w:val="21"/>
              </w:rPr>
              <w:t>液态</w:t>
            </w:r>
            <w:r>
              <w:rPr>
                <w:sz w:val="21"/>
              </w:rPr>
              <w:t>泄漏</w:t>
            </w:r>
          </w:p>
        </w:tc>
        <w:tc>
          <w:tcPr>
            <w:tcW w:w="3014" w:type="dxa"/>
            <w:tcBorders>
              <w:top w:val="single" w:color="000000" w:sz="4" w:space="0"/>
              <w:left w:val="single" w:color="000000" w:sz="4" w:space="0"/>
              <w:bottom w:val="single" w:color="000000" w:sz="4" w:space="0"/>
              <w:right w:val="single" w:color="000000" w:sz="4" w:space="0"/>
            </w:tcBorders>
          </w:tcPr>
          <w:p>
            <w:pPr>
              <w:pStyle w:val="24"/>
              <w:spacing w:before="134" w:line="242" w:lineRule="auto"/>
              <w:ind w:right="87"/>
              <w:jc w:val="both"/>
              <w:rPr>
                <w:sz w:val="21"/>
              </w:rPr>
            </w:pPr>
            <w:r>
              <w:rPr>
                <w:rFonts w:hint="eastAsia"/>
                <w:sz w:val="21"/>
              </w:rPr>
              <w:t>油墨、乙烯</w:t>
            </w:r>
            <w:r>
              <w:rPr>
                <w:rFonts w:hint="eastAsia"/>
                <w:sz w:val="21"/>
                <w:lang w:val="en-US"/>
              </w:rPr>
              <w:t>-醋酸乙烯共聚物（EVA）</w:t>
            </w:r>
            <w:r>
              <w:rPr>
                <w:sz w:val="21"/>
              </w:rPr>
              <w:t>毒</w:t>
            </w:r>
            <w:r>
              <w:rPr>
                <w:rFonts w:hint="eastAsia"/>
                <w:sz w:val="21"/>
              </w:rPr>
              <w:t>液态</w:t>
            </w:r>
            <w:r>
              <w:rPr>
                <w:sz w:val="21"/>
              </w:rPr>
              <w:t>输送管道破损，有毒</w:t>
            </w:r>
            <w:r>
              <w:rPr>
                <w:rFonts w:hint="eastAsia"/>
                <w:sz w:val="21"/>
              </w:rPr>
              <w:t>液态</w:t>
            </w:r>
            <w:r>
              <w:rPr>
                <w:sz w:val="21"/>
              </w:rPr>
              <w:t>泄漏造成环境安全隐患，导致人员中毒或伤亡的。</w:t>
            </w:r>
          </w:p>
        </w:tc>
        <w:tc>
          <w:tcPr>
            <w:tcW w:w="2867" w:type="dxa"/>
            <w:tcBorders>
              <w:top w:val="single" w:color="000000" w:sz="4" w:space="0"/>
              <w:left w:val="single" w:color="000000" w:sz="4" w:space="0"/>
              <w:bottom w:val="single" w:color="000000" w:sz="4" w:space="0"/>
              <w:right w:val="single" w:color="000000" w:sz="4" w:space="0"/>
            </w:tcBorders>
          </w:tcPr>
          <w:p>
            <w:pPr>
              <w:pStyle w:val="24"/>
              <w:spacing w:line="242" w:lineRule="auto"/>
              <w:ind w:left="116" w:right="89" w:firstLine="67"/>
              <w:jc w:val="both"/>
              <w:rPr>
                <w:sz w:val="21"/>
              </w:rPr>
            </w:pPr>
            <w:r>
              <w:rPr>
                <w:rFonts w:hint="eastAsia"/>
                <w:sz w:val="21"/>
              </w:rPr>
              <w:t>油墨、乙烯</w:t>
            </w:r>
            <w:r>
              <w:rPr>
                <w:rFonts w:hint="eastAsia"/>
                <w:sz w:val="21"/>
                <w:lang w:val="en-US"/>
              </w:rPr>
              <w:t>-醋酸乙烯共聚物（EVA）</w:t>
            </w:r>
            <w:r>
              <w:rPr>
                <w:sz w:val="21"/>
              </w:rPr>
              <w:t>有毒</w:t>
            </w:r>
            <w:r>
              <w:rPr>
                <w:rFonts w:hint="eastAsia"/>
                <w:sz w:val="21"/>
              </w:rPr>
              <w:t>液态</w:t>
            </w:r>
            <w:r>
              <w:rPr>
                <w:sz w:val="21"/>
              </w:rPr>
              <w:t>输送管道</w:t>
            </w:r>
            <w:r>
              <w:rPr>
                <w:spacing w:val="-10"/>
                <w:sz w:val="21"/>
              </w:rPr>
              <w:t>破损，有毒</w:t>
            </w:r>
            <w:r>
              <w:rPr>
                <w:rFonts w:hint="eastAsia"/>
                <w:spacing w:val="-10"/>
                <w:sz w:val="21"/>
              </w:rPr>
              <w:t>液态</w:t>
            </w:r>
            <w:r>
              <w:rPr>
                <w:spacing w:val="-10"/>
                <w:sz w:val="21"/>
              </w:rPr>
              <w:t>泄漏造成环境安全隐患，未造成人员中毒或伤亡，可依靠厂区应急能力及</w:t>
            </w:r>
          </w:p>
          <w:p>
            <w:pPr>
              <w:pStyle w:val="24"/>
              <w:spacing w:before="2" w:line="251" w:lineRule="exact"/>
              <w:ind w:left="917"/>
              <w:rPr>
                <w:sz w:val="21"/>
              </w:rPr>
            </w:pPr>
            <w:r>
              <w:rPr>
                <w:sz w:val="21"/>
              </w:rPr>
              <w:t>时处置的。</w:t>
            </w:r>
          </w:p>
        </w:tc>
        <w:tc>
          <w:tcPr>
            <w:tcW w:w="2876" w:type="dxa"/>
            <w:tcBorders>
              <w:top w:val="single" w:color="000000" w:sz="4" w:space="0"/>
              <w:left w:val="single" w:color="000000" w:sz="4" w:space="0"/>
              <w:bottom w:val="single" w:color="000000" w:sz="4" w:space="0"/>
              <w:right w:val="nil"/>
            </w:tcBorders>
          </w:tcPr>
          <w:p>
            <w:pPr>
              <w:pStyle w:val="24"/>
              <w:rPr>
                <w:b/>
              </w:rPr>
            </w:pPr>
          </w:p>
          <w:p>
            <w:pPr>
              <w:pStyle w:val="24"/>
              <w:spacing w:before="7"/>
              <w:rPr>
                <w:b/>
                <w:sz w:val="21"/>
              </w:rPr>
            </w:pPr>
          </w:p>
          <w:p>
            <w:pPr>
              <w:pStyle w:val="24"/>
              <w:spacing w:before="1"/>
              <w:ind w:right="32"/>
              <w:jc w:val="center"/>
              <w:rPr>
                <w:rFonts w:ascii="Times New Roman"/>
                <w:sz w:val="21"/>
              </w:rPr>
            </w:pPr>
            <w:r>
              <w:rPr>
                <w:rFonts w:ascii="Times New Roman"/>
                <w:w w:val="99"/>
                <w:sz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90" w:hRule="atLeast"/>
        </w:trPr>
        <w:tc>
          <w:tcPr>
            <w:tcW w:w="451" w:type="dxa"/>
            <w:tcBorders>
              <w:top w:val="single" w:color="000000" w:sz="4" w:space="0"/>
              <w:left w:val="nil"/>
              <w:bottom w:val="single" w:color="000000" w:sz="4" w:space="0"/>
              <w:right w:val="single" w:color="000000" w:sz="4" w:space="0"/>
            </w:tcBorders>
          </w:tcPr>
          <w:p>
            <w:pPr>
              <w:pStyle w:val="24"/>
              <w:rPr>
                <w:b/>
              </w:rPr>
            </w:pPr>
          </w:p>
          <w:p>
            <w:pPr>
              <w:pStyle w:val="24"/>
              <w:spacing w:before="142"/>
              <w:ind w:left="32"/>
              <w:jc w:val="center"/>
              <w:rPr>
                <w:rFonts w:ascii="Times New Roman"/>
                <w:sz w:val="21"/>
              </w:rPr>
            </w:pPr>
            <w:r>
              <w:rPr>
                <w:rFonts w:ascii="Times New Roman"/>
                <w:w w:val="99"/>
                <w:sz w:val="21"/>
              </w:rPr>
              <w:t>3</w:t>
            </w:r>
          </w:p>
        </w:tc>
        <w:tc>
          <w:tcPr>
            <w:tcW w:w="753" w:type="dxa"/>
            <w:tcBorders>
              <w:top w:val="single" w:color="000000" w:sz="4" w:space="0"/>
              <w:left w:val="single" w:color="000000" w:sz="4" w:space="0"/>
              <w:bottom w:val="single" w:color="000000" w:sz="4" w:space="0"/>
              <w:right w:val="single" w:color="000000" w:sz="4" w:space="0"/>
            </w:tcBorders>
          </w:tcPr>
          <w:p>
            <w:pPr>
              <w:pStyle w:val="24"/>
              <w:spacing w:before="3"/>
              <w:rPr>
                <w:b/>
                <w:sz w:val="21"/>
              </w:rPr>
            </w:pPr>
          </w:p>
          <w:p>
            <w:pPr>
              <w:pStyle w:val="24"/>
              <w:spacing w:before="1" w:line="242" w:lineRule="auto"/>
              <w:ind w:left="175" w:right="148"/>
              <w:rPr>
                <w:sz w:val="21"/>
              </w:rPr>
            </w:pPr>
            <w:r>
              <w:rPr>
                <w:sz w:val="21"/>
              </w:rPr>
              <w:t>废气泄漏</w:t>
            </w:r>
          </w:p>
        </w:tc>
        <w:tc>
          <w:tcPr>
            <w:tcW w:w="3014" w:type="dxa"/>
            <w:tcBorders>
              <w:top w:val="single" w:color="000000" w:sz="4" w:space="0"/>
              <w:left w:val="single" w:color="000000" w:sz="4" w:space="0"/>
              <w:bottom w:val="single" w:color="000000" w:sz="4" w:space="0"/>
              <w:right w:val="single" w:color="000000" w:sz="4" w:space="0"/>
            </w:tcBorders>
          </w:tcPr>
          <w:p>
            <w:pPr>
              <w:pStyle w:val="24"/>
              <w:rPr>
                <w:b/>
              </w:rPr>
            </w:pPr>
          </w:p>
          <w:p>
            <w:pPr>
              <w:pStyle w:val="24"/>
              <w:spacing w:before="142"/>
              <w:ind w:left="26"/>
              <w:jc w:val="center"/>
              <w:rPr>
                <w:rFonts w:ascii="Times New Roman"/>
                <w:sz w:val="21"/>
              </w:rPr>
            </w:pPr>
            <w:r>
              <w:rPr>
                <w:rFonts w:ascii="Times New Roman"/>
                <w:w w:val="99"/>
                <w:sz w:val="21"/>
              </w:rPr>
              <w:t>/</w:t>
            </w:r>
          </w:p>
        </w:tc>
        <w:tc>
          <w:tcPr>
            <w:tcW w:w="2867" w:type="dxa"/>
            <w:tcBorders>
              <w:top w:val="single" w:color="000000" w:sz="4" w:space="0"/>
              <w:left w:val="single" w:color="000000" w:sz="4" w:space="0"/>
              <w:bottom w:val="single" w:color="000000" w:sz="4" w:space="0"/>
              <w:right w:val="single" w:color="000000" w:sz="4" w:space="0"/>
            </w:tcBorders>
          </w:tcPr>
          <w:p>
            <w:pPr>
              <w:pStyle w:val="24"/>
              <w:spacing w:line="252" w:lineRule="exact"/>
              <w:ind w:left="116"/>
              <w:rPr>
                <w:sz w:val="21"/>
              </w:rPr>
            </w:pPr>
            <w:r>
              <w:rPr>
                <w:rFonts w:hint="eastAsia"/>
                <w:sz w:val="21"/>
              </w:rPr>
              <w:t>机械故障等导致热切工序与印刷等废气集气罩收集治理设施效率下降</w:t>
            </w:r>
            <w:r>
              <w:rPr>
                <w:spacing w:val="-10"/>
                <w:sz w:val="21"/>
              </w:rPr>
              <w:t>，</w:t>
            </w:r>
            <w:r>
              <w:rPr>
                <w:rFonts w:hint="eastAsia"/>
                <w:sz w:val="21"/>
              </w:rPr>
              <w:t>废气泄漏造成环境污染的。</w:t>
            </w:r>
          </w:p>
        </w:tc>
        <w:tc>
          <w:tcPr>
            <w:tcW w:w="2876" w:type="dxa"/>
            <w:tcBorders>
              <w:top w:val="single" w:color="000000" w:sz="4" w:space="0"/>
              <w:left w:val="single" w:color="000000" w:sz="4" w:space="0"/>
              <w:bottom w:val="single" w:color="000000" w:sz="4" w:space="0"/>
              <w:right w:val="nil"/>
            </w:tcBorders>
          </w:tcPr>
          <w:p>
            <w:pPr>
              <w:pStyle w:val="24"/>
              <w:spacing w:before="2" w:line="242" w:lineRule="auto"/>
              <w:ind w:right="86"/>
              <w:jc w:val="both"/>
              <w:rPr>
                <w:sz w:val="21"/>
              </w:rPr>
            </w:pPr>
            <w:r>
              <w:rPr>
                <w:rFonts w:hint="eastAsia"/>
                <w:sz w:val="21"/>
              </w:rPr>
              <w:t>机械故障等导致热切工序与印刷等废气集气罩收集治理设施效率下降，</w:t>
            </w:r>
            <w:r>
              <w:rPr>
                <w:spacing w:val="-10"/>
                <w:sz w:val="21"/>
              </w:rPr>
              <w:t>废气大量泄漏造成环境污</w:t>
            </w:r>
            <w:r>
              <w:rPr>
                <w:rFonts w:hint="eastAsia"/>
                <w:spacing w:val="-10"/>
                <w:sz w:val="21"/>
              </w:rPr>
              <w:t>。</w:t>
            </w:r>
          </w:p>
          <w:p>
            <w:pPr>
              <w:pStyle w:val="24"/>
              <w:spacing w:line="252" w:lineRule="exact"/>
              <w:ind w:left="117"/>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89" w:hRule="atLeast"/>
        </w:trPr>
        <w:tc>
          <w:tcPr>
            <w:tcW w:w="451" w:type="dxa"/>
            <w:tcBorders>
              <w:top w:val="single" w:color="000000" w:sz="4" w:space="0"/>
              <w:left w:val="nil"/>
              <w:bottom w:val="single" w:color="000000" w:sz="4" w:space="0"/>
              <w:right w:val="single" w:color="000000" w:sz="4" w:space="0"/>
            </w:tcBorders>
          </w:tcPr>
          <w:p>
            <w:pPr>
              <w:pStyle w:val="24"/>
              <w:rPr>
                <w:b/>
              </w:rPr>
            </w:pPr>
          </w:p>
          <w:p>
            <w:pPr>
              <w:pStyle w:val="24"/>
              <w:spacing w:before="141"/>
              <w:ind w:left="32"/>
              <w:jc w:val="center"/>
              <w:rPr>
                <w:rFonts w:ascii="Times New Roman"/>
                <w:sz w:val="21"/>
              </w:rPr>
            </w:pPr>
            <w:r>
              <w:rPr>
                <w:rFonts w:ascii="Times New Roman"/>
                <w:w w:val="99"/>
                <w:sz w:val="21"/>
              </w:rPr>
              <w:t>4</w:t>
            </w:r>
          </w:p>
        </w:tc>
        <w:tc>
          <w:tcPr>
            <w:tcW w:w="753" w:type="dxa"/>
            <w:tcBorders>
              <w:top w:val="single" w:color="000000" w:sz="4" w:space="0"/>
              <w:left w:val="single" w:color="000000" w:sz="4" w:space="0"/>
              <w:bottom w:val="single" w:color="000000" w:sz="4" w:space="0"/>
              <w:right w:val="single" w:color="000000" w:sz="4" w:space="0"/>
            </w:tcBorders>
          </w:tcPr>
          <w:p>
            <w:pPr>
              <w:pStyle w:val="24"/>
              <w:spacing w:before="3"/>
              <w:rPr>
                <w:b/>
                <w:sz w:val="21"/>
              </w:rPr>
            </w:pPr>
          </w:p>
          <w:p>
            <w:pPr>
              <w:pStyle w:val="24"/>
              <w:spacing w:line="242" w:lineRule="auto"/>
              <w:ind w:left="175" w:right="148"/>
              <w:rPr>
                <w:sz w:val="21"/>
              </w:rPr>
            </w:pPr>
            <w:r>
              <w:rPr>
                <w:sz w:val="21"/>
              </w:rPr>
              <w:t>危废泄漏</w:t>
            </w:r>
          </w:p>
        </w:tc>
        <w:tc>
          <w:tcPr>
            <w:tcW w:w="3014" w:type="dxa"/>
            <w:tcBorders>
              <w:top w:val="single" w:color="000000" w:sz="4" w:space="0"/>
              <w:left w:val="single" w:color="000000" w:sz="4" w:space="0"/>
              <w:bottom w:val="single" w:color="000000" w:sz="4" w:space="0"/>
              <w:right w:val="single" w:color="000000" w:sz="4" w:space="0"/>
            </w:tcBorders>
          </w:tcPr>
          <w:p>
            <w:pPr>
              <w:pStyle w:val="24"/>
              <w:rPr>
                <w:b/>
              </w:rPr>
            </w:pPr>
          </w:p>
          <w:p>
            <w:pPr>
              <w:pStyle w:val="24"/>
              <w:spacing w:before="141"/>
              <w:ind w:left="26"/>
              <w:jc w:val="center"/>
              <w:rPr>
                <w:rFonts w:ascii="Times New Roman"/>
                <w:sz w:val="21"/>
              </w:rPr>
            </w:pPr>
            <w:r>
              <w:rPr>
                <w:rFonts w:ascii="Times New Roman"/>
                <w:w w:val="99"/>
                <w:sz w:val="21"/>
              </w:rPr>
              <w:t>/</w:t>
            </w:r>
          </w:p>
        </w:tc>
        <w:tc>
          <w:tcPr>
            <w:tcW w:w="2867" w:type="dxa"/>
            <w:tcBorders>
              <w:top w:val="single" w:color="000000" w:sz="4" w:space="0"/>
              <w:left w:val="single" w:color="000000" w:sz="4" w:space="0"/>
              <w:bottom w:val="single" w:color="000000" w:sz="4" w:space="0"/>
              <w:right w:val="single" w:color="000000" w:sz="4" w:space="0"/>
            </w:tcBorders>
          </w:tcPr>
          <w:p>
            <w:pPr>
              <w:pStyle w:val="24"/>
              <w:rPr>
                <w:b/>
              </w:rPr>
            </w:pPr>
          </w:p>
          <w:p>
            <w:pPr>
              <w:pStyle w:val="24"/>
              <w:spacing w:before="141"/>
              <w:ind w:left="25"/>
              <w:jc w:val="center"/>
              <w:rPr>
                <w:rFonts w:ascii="Times New Roman"/>
                <w:sz w:val="21"/>
              </w:rPr>
            </w:pPr>
            <w:r>
              <w:rPr>
                <w:rFonts w:ascii="Times New Roman"/>
                <w:w w:val="99"/>
                <w:sz w:val="21"/>
              </w:rPr>
              <w:t>/</w:t>
            </w:r>
          </w:p>
        </w:tc>
        <w:tc>
          <w:tcPr>
            <w:tcW w:w="2876" w:type="dxa"/>
            <w:tcBorders>
              <w:top w:val="single" w:color="000000" w:sz="4" w:space="0"/>
              <w:left w:val="single" w:color="000000" w:sz="4" w:space="0"/>
              <w:bottom w:val="single" w:color="000000" w:sz="4" w:space="0"/>
              <w:right w:val="nil"/>
            </w:tcBorders>
          </w:tcPr>
          <w:p>
            <w:pPr>
              <w:pStyle w:val="24"/>
              <w:spacing w:before="1" w:line="242" w:lineRule="auto"/>
              <w:ind w:left="117" w:right="22" w:firstLine="420"/>
              <w:rPr>
                <w:sz w:val="21"/>
              </w:rPr>
            </w:pPr>
            <w:r>
              <w:rPr>
                <w:sz w:val="21"/>
              </w:rPr>
              <w:t>因管理不善，人为事故， 随意丢弃危废，或一般固废与废机油</w:t>
            </w:r>
            <w:r>
              <w:rPr>
                <w:rFonts w:hint="eastAsia"/>
                <w:sz w:val="21"/>
              </w:rPr>
              <w:t>、废活性</w:t>
            </w:r>
            <w:r>
              <w:rPr>
                <w:rFonts w:hint="eastAsia"/>
                <w:spacing w:val="-8"/>
              </w:rPr>
              <w:t>炭</w:t>
            </w:r>
            <w:r>
              <w:rPr>
                <w:sz w:val="21"/>
              </w:rPr>
              <w:t>等危废混装，造成危废</w:t>
            </w:r>
          </w:p>
          <w:p>
            <w:pPr>
              <w:pStyle w:val="24"/>
              <w:spacing w:line="252" w:lineRule="exact"/>
              <w:ind w:left="117"/>
              <w:rPr>
                <w:sz w:val="21"/>
              </w:rPr>
            </w:pPr>
            <w:r>
              <w:rPr>
                <w:sz w:val="21"/>
              </w:rPr>
              <w:t>弃置、泄漏的。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2" w:hRule="atLeast"/>
        </w:trPr>
        <w:tc>
          <w:tcPr>
            <w:tcW w:w="451" w:type="dxa"/>
            <w:tcBorders>
              <w:top w:val="single" w:color="000000" w:sz="4" w:space="0"/>
              <w:left w:val="nil"/>
              <w:right w:val="single" w:color="000000" w:sz="4" w:space="0"/>
            </w:tcBorders>
          </w:tcPr>
          <w:p>
            <w:pPr>
              <w:pStyle w:val="24"/>
              <w:spacing w:before="152"/>
              <w:ind w:left="32"/>
              <w:jc w:val="center"/>
              <w:rPr>
                <w:rFonts w:ascii="Times New Roman"/>
                <w:sz w:val="21"/>
              </w:rPr>
            </w:pPr>
            <w:r>
              <w:rPr>
                <w:rFonts w:ascii="Times New Roman"/>
                <w:w w:val="99"/>
                <w:sz w:val="21"/>
              </w:rPr>
              <w:t>5</w:t>
            </w:r>
          </w:p>
        </w:tc>
        <w:tc>
          <w:tcPr>
            <w:tcW w:w="753" w:type="dxa"/>
            <w:tcBorders>
              <w:top w:val="single" w:color="000000" w:sz="4" w:space="0"/>
              <w:left w:val="single" w:color="000000" w:sz="4" w:space="0"/>
              <w:right w:val="single" w:color="000000" w:sz="4" w:space="0"/>
            </w:tcBorders>
          </w:tcPr>
          <w:p>
            <w:pPr>
              <w:pStyle w:val="24"/>
              <w:spacing w:before="1"/>
              <w:ind w:left="175"/>
              <w:rPr>
                <w:sz w:val="21"/>
              </w:rPr>
            </w:pPr>
            <w:r>
              <w:rPr>
                <w:spacing w:val="-1"/>
                <w:w w:val="95"/>
                <w:sz w:val="21"/>
              </w:rPr>
              <w:t>化学</w:t>
            </w:r>
          </w:p>
          <w:p>
            <w:pPr>
              <w:pStyle w:val="24"/>
              <w:spacing w:before="2" w:line="250" w:lineRule="exact"/>
              <w:ind w:left="175"/>
              <w:rPr>
                <w:sz w:val="21"/>
              </w:rPr>
            </w:pPr>
            <w:r>
              <w:rPr>
                <w:spacing w:val="-1"/>
                <w:w w:val="95"/>
                <w:sz w:val="21"/>
              </w:rPr>
              <w:t>品泄</w:t>
            </w:r>
          </w:p>
        </w:tc>
        <w:tc>
          <w:tcPr>
            <w:tcW w:w="3014" w:type="dxa"/>
            <w:tcBorders>
              <w:top w:val="single" w:color="000000" w:sz="4" w:space="0"/>
              <w:left w:val="single" w:color="000000" w:sz="4" w:space="0"/>
              <w:right w:val="single" w:color="000000" w:sz="4" w:space="0"/>
            </w:tcBorders>
          </w:tcPr>
          <w:p>
            <w:pPr>
              <w:pStyle w:val="24"/>
              <w:spacing w:before="152"/>
              <w:ind w:left="26"/>
              <w:jc w:val="center"/>
              <w:rPr>
                <w:rFonts w:ascii="Times New Roman"/>
                <w:sz w:val="21"/>
              </w:rPr>
            </w:pPr>
            <w:r>
              <w:rPr>
                <w:rFonts w:ascii="Times New Roman"/>
                <w:w w:val="99"/>
                <w:sz w:val="21"/>
              </w:rPr>
              <w:t>/</w:t>
            </w:r>
          </w:p>
        </w:tc>
        <w:tc>
          <w:tcPr>
            <w:tcW w:w="2867" w:type="dxa"/>
            <w:tcBorders>
              <w:top w:val="single" w:color="000000" w:sz="4" w:space="0"/>
              <w:left w:val="single" w:color="000000" w:sz="4" w:space="0"/>
              <w:right w:val="single" w:color="000000" w:sz="4" w:space="0"/>
            </w:tcBorders>
          </w:tcPr>
          <w:p>
            <w:pPr>
              <w:pStyle w:val="24"/>
              <w:spacing w:before="152"/>
              <w:ind w:left="25"/>
              <w:jc w:val="center"/>
              <w:rPr>
                <w:rFonts w:ascii="Times New Roman"/>
                <w:sz w:val="21"/>
              </w:rPr>
            </w:pPr>
            <w:r>
              <w:rPr>
                <w:rFonts w:ascii="Times New Roman"/>
                <w:w w:val="99"/>
                <w:sz w:val="21"/>
              </w:rPr>
              <w:t>/</w:t>
            </w:r>
          </w:p>
        </w:tc>
        <w:tc>
          <w:tcPr>
            <w:tcW w:w="2876" w:type="dxa"/>
            <w:tcBorders>
              <w:top w:val="single" w:color="000000" w:sz="4" w:space="0"/>
              <w:left w:val="single" w:color="000000" w:sz="4" w:space="0"/>
              <w:right w:val="nil"/>
            </w:tcBorders>
          </w:tcPr>
          <w:p>
            <w:pPr>
              <w:pStyle w:val="24"/>
              <w:spacing w:before="1"/>
              <w:ind w:right="22"/>
              <w:jc w:val="both"/>
              <w:rPr>
                <w:sz w:val="21"/>
              </w:rPr>
            </w:pPr>
            <w:r>
              <w:rPr>
                <w:w w:val="95"/>
                <w:sz w:val="21"/>
              </w:rPr>
              <w:t>因管理不善，人为事故，容器破损等导致</w:t>
            </w:r>
            <w:r>
              <w:rPr>
                <w:rFonts w:hint="eastAsia"/>
                <w:w w:val="95"/>
                <w:sz w:val="21"/>
              </w:rPr>
              <w:t>油墨</w:t>
            </w:r>
          </w:p>
        </w:tc>
      </w:tr>
    </w:tbl>
    <w:p>
      <w:pPr>
        <w:spacing w:line="250" w:lineRule="exact"/>
        <w:jc w:val="right"/>
        <w:rPr>
          <w:sz w:val="21"/>
        </w:rPr>
        <w:sectPr>
          <w:pgSz w:w="11910" w:h="16840"/>
          <w:pgMar w:top="1360" w:right="840" w:bottom="1180" w:left="840" w:header="882" w:footer="993" w:gutter="0"/>
          <w:cols w:space="720" w:num="1"/>
        </w:sectPr>
      </w:pPr>
    </w:p>
    <w:p>
      <w:pPr>
        <w:pStyle w:val="10"/>
        <w:spacing w:before="11"/>
        <w:rPr>
          <w:b/>
          <w:sz w:val="4"/>
        </w:rPr>
      </w:pPr>
    </w:p>
    <w:tbl>
      <w:tblPr>
        <w:tblStyle w:val="15"/>
        <w:tblW w:w="0" w:type="auto"/>
        <w:tblInd w:w="12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51"/>
        <w:gridCol w:w="753"/>
        <w:gridCol w:w="3014"/>
        <w:gridCol w:w="2867"/>
        <w:gridCol w:w="287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5" w:hRule="atLeast"/>
        </w:trPr>
        <w:tc>
          <w:tcPr>
            <w:tcW w:w="451" w:type="dxa"/>
            <w:tcBorders>
              <w:left w:val="nil"/>
              <w:bottom w:val="single" w:color="000000" w:sz="4" w:space="0"/>
              <w:right w:val="single" w:color="000000" w:sz="4" w:space="0"/>
            </w:tcBorders>
          </w:tcPr>
          <w:p>
            <w:pPr>
              <w:pStyle w:val="24"/>
              <w:rPr>
                <w:rFonts w:ascii="Times New Roman"/>
              </w:rPr>
            </w:pPr>
          </w:p>
        </w:tc>
        <w:tc>
          <w:tcPr>
            <w:tcW w:w="753" w:type="dxa"/>
            <w:tcBorders>
              <w:left w:val="single" w:color="000000" w:sz="4" w:space="0"/>
              <w:bottom w:val="single" w:color="000000" w:sz="4" w:space="0"/>
              <w:right w:val="single" w:color="000000" w:sz="4" w:space="0"/>
            </w:tcBorders>
          </w:tcPr>
          <w:p>
            <w:pPr>
              <w:pStyle w:val="24"/>
              <w:spacing w:line="251" w:lineRule="exact"/>
              <w:ind w:left="27"/>
              <w:jc w:val="center"/>
              <w:rPr>
                <w:sz w:val="21"/>
              </w:rPr>
            </w:pPr>
            <w:r>
              <w:rPr>
                <w:w w:val="99"/>
                <w:sz w:val="21"/>
              </w:rPr>
              <w:t>漏</w:t>
            </w:r>
          </w:p>
        </w:tc>
        <w:tc>
          <w:tcPr>
            <w:tcW w:w="3014" w:type="dxa"/>
            <w:tcBorders>
              <w:left w:val="single" w:color="000000" w:sz="4" w:space="0"/>
              <w:bottom w:val="single" w:color="000000" w:sz="4" w:space="0"/>
              <w:right w:val="single" w:color="000000" w:sz="4" w:space="0"/>
            </w:tcBorders>
          </w:tcPr>
          <w:p>
            <w:pPr>
              <w:pStyle w:val="24"/>
              <w:rPr>
                <w:rFonts w:ascii="Times New Roman"/>
              </w:rPr>
            </w:pPr>
          </w:p>
        </w:tc>
        <w:tc>
          <w:tcPr>
            <w:tcW w:w="2867" w:type="dxa"/>
            <w:tcBorders>
              <w:left w:val="single" w:color="000000" w:sz="4" w:space="0"/>
              <w:bottom w:val="single" w:color="000000" w:sz="4" w:space="0"/>
              <w:right w:val="single" w:color="000000" w:sz="4" w:space="0"/>
            </w:tcBorders>
          </w:tcPr>
          <w:p>
            <w:pPr>
              <w:pStyle w:val="24"/>
              <w:rPr>
                <w:rFonts w:ascii="Times New Roman"/>
              </w:rPr>
            </w:pPr>
          </w:p>
        </w:tc>
        <w:tc>
          <w:tcPr>
            <w:tcW w:w="2876" w:type="dxa"/>
            <w:tcBorders>
              <w:left w:val="single" w:color="000000" w:sz="4" w:space="0"/>
              <w:bottom w:val="single" w:color="000000" w:sz="4" w:space="0"/>
              <w:right w:val="nil"/>
            </w:tcBorders>
          </w:tcPr>
          <w:p>
            <w:pPr>
              <w:pStyle w:val="24"/>
              <w:spacing w:line="251" w:lineRule="exact"/>
              <w:rPr>
                <w:sz w:val="21"/>
              </w:rPr>
            </w:pPr>
            <w:r>
              <w:rPr>
                <w:sz w:val="21"/>
              </w:rPr>
              <w:t>泄漏，造成环境安全隐患，</w:t>
            </w:r>
          </w:p>
          <w:p>
            <w:pPr>
              <w:pStyle w:val="24"/>
              <w:spacing w:before="2" w:line="252" w:lineRule="exact"/>
              <w:ind w:left="117"/>
              <w:rPr>
                <w:sz w:val="21"/>
              </w:rPr>
            </w:pPr>
            <w:r>
              <w:rPr>
                <w:sz w:val="21"/>
              </w:rPr>
              <w:t>污染周边环境的。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55" w:hRule="atLeast"/>
        </w:trPr>
        <w:tc>
          <w:tcPr>
            <w:tcW w:w="451" w:type="dxa"/>
            <w:tcBorders>
              <w:top w:val="single" w:color="000000" w:sz="4" w:space="0"/>
              <w:left w:val="nil"/>
              <w:right w:val="single" w:color="000000" w:sz="4" w:space="0"/>
            </w:tcBorders>
          </w:tcPr>
          <w:p>
            <w:pPr>
              <w:pStyle w:val="24"/>
              <w:spacing w:before="10"/>
              <w:rPr>
                <w:b/>
                <w:sz w:val="32"/>
              </w:rPr>
            </w:pPr>
          </w:p>
          <w:p>
            <w:pPr>
              <w:pStyle w:val="24"/>
              <w:spacing w:before="1"/>
              <w:ind w:left="32"/>
              <w:jc w:val="center"/>
              <w:rPr>
                <w:rFonts w:ascii="Times New Roman"/>
                <w:sz w:val="21"/>
              </w:rPr>
            </w:pPr>
            <w:r>
              <w:rPr>
                <w:rFonts w:ascii="Times New Roman"/>
                <w:w w:val="99"/>
                <w:sz w:val="21"/>
              </w:rPr>
              <w:t>6</w:t>
            </w:r>
          </w:p>
        </w:tc>
        <w:tc>
          <w:tcPr>
            <w:tcW w:w="753" w:type="dxa"/>
            <w:tcBorders>
              <w:top w:val="single" w:color="000000" w:sz="4" w:space="0"/>
              <w:left w:val="single" w:color="000000" w:sz="4" w:space="0"/>
              <w:right w:val="single" w:color="000000" w:sz="4" w:space="0"/>
            </w:tcBorders>
          </w:tcPr>
          <w:p>
            <w:pPr>
              <w:pStyle w:val="24"/>
              <w:spacing w:line="242" w:lineRule="auto"/>
              <w:ind w:right="148"/>
              <w:rPr>
                <w:sz w:val="21"/>
              </w:rPr>
            </w:pPr>
            <w:r>
              <w:rPr>
                <w:sz w:val="21"/>
              </w:rPr>
              <w:t>废水泄漏</w:t>
            </w:r>
          </w:p>
        </w:tc>
        <w:tc>
          <w:tcPr>
            <w:tcW w:w="3014" w:type="dxa"/>
            <w:tcBorders>
              <w:top w:val="single" w:color="000000" w:sz="4" w:space="0"/>
              <w:left w:val="single" w:color="000000" w:sz="4" w:space="0"/>
              <w:right w:val="single" w:color="000000" w:sz="4" w:space="0"/>
            </w:tcBorders>
          </w:tcPr>
          <w:p>
            <w:pPr>
              <w:pStyle w:val="24"/>
              <w:spacing w:before="10"/>
              <w:rPr>
                <w:b/>
                <w:sz w:val="32"/>
              </w:rPr>
            </w:pPr>
          </w:p>
          <w:p>
            <w:pPr>
              <w:pStyle w:val="24"/>
              <w:spacing w:before="1"/>
              <w:ind w:left="26"/>
              <w:jc w:val="center"/>
              <w:rPr>
                <w:rFonts w:ascii="Times New Roman"/>
                <w:sz w:val="21"/>
              </w:rPr>
            </w:pPr>
            <w:r>
              <w:rPr>
                <w:rFonts w:ascii="Times New Roman"/>
                <w:w w:val="99"/>
                <w:sz w:val="21"/>
              </w:rPr>
              <w:t>/</w:t>
            </w:r>
          </w:p>
        </w:tc>
        <w:tc>
          <w:tcPr>
            <w:tcW w:w="2867" w:type="dxa"/>
            <w:tcBorders>
              <w:top w:val="single" w:color="000000" w:sz="4" w:space="0"/>
              <w:left w:val="single" w:color="000000" w:sz="4" w:space="0"/>
              <w:right w:val="single" w:color="000000" w:sz="4" w:space="0"/>
            </w:tcBorders>
          </w:tcPr>
          <w:p>
            <w:pPr>
              <w:pStyle w:val="24"/>
              <w:spacing w:before="10"/>
              <w:rPr>
                <w:b/>
                <w:sz w:val="32"/>
              </w:rPr>
            </w:pPr>
          </w:p>
          <w:p>
            <w:pPr>
              <w:pStyle w:val="24"/>
              <w:spacing w:before="1"/>
              <w:ind w:left="25"/>
              <w:jc w:val="center"/>
              <w:rPr>
                <w:rFonts w:ascii="Times New Roman"/>
                <w:sz w:val="21"/>
              </w:rPr>
            </w:pPr>
            <w:r>
              <w:rPr>
                <w:rFonts w:ascii="Times New Roman"/>
                <w:w w:val="99"/>
                <w:sz w:val="21"/>
              </w:rPr>
              <w:t>/</w:t>
            </w:r>
          </w:p>
        </w:tc>
        <w:tc>
          <w:tcPr>
            <w:tcW w:w="2876" w:type="dxa"/>
            <w:tcBorders>
              <w:top w:val="single" w:color="000000" w:sz="4" w:space="0"/>
              <w:left w:val="single" w:color="000000" w:sz="4" w:space="0"/>
              <w:right w:val="nil"/>
            </w:tcBorders>
          </w:tcPr>
          <w:p>
            <w:pPr>
              <w:pStyle w:val="24"/>
              <w:spacing w:line="242" w:lineRule="auto"/>
              <w:ind w:right="92"/>
              <w:jc w:val="both"/>
              <w:rPr>
                <w:sz w:val="21"/>
              </w:rPr>
            </w:pPr>
            <w:r>
              <w:rPr>
                <w:spacing w:val="-10"/>
                <w:sz w:val="21"/>
              </w:rPr>
              <w:t>消防废水未有效</w:t>
            </w:r>
            <w:r>
              <w:rPr>
                <w:sz w:val="21"/>
              </w:rPr>
              <w:t>收集，污染周边环境的。</w:t>
            </w:r>
          </w:p>
        </w:tc>
      </w:tr>
    </w:tbl>
    <w:p>
      <w:pPr>
        <w:pStyle w:val="10"/>
        <w:rPr>
          <w:b/>
          <w:sz w:val="7"/>
        </w:rPr>
      </w:pPr>
    </w:p>
    <w:p>
      <w:pPr>
        <w:pStyle w:val="23"/>
        <w:numPr>
          <w:ilvl w:val="2"/>
          <w:numId w:val="6"/>
        </w:numPr>
        <w:tabs>
          <w:tab w:val="left" w:pos="869"/>
        </w:tabs>
        <w:spacing w:before="70"/>
        <w:rPr>
          <w:b/>
          <w:sz w:val="28"/>
        </w:rPr>
      </w:pPr>
      <w:bookmarkStart w:id="131" w:name="_bookmark65"/>
      <w:bookmarkEnd w:id="131"/>
      <w:bookmarkStart w:id="132" w:name="6.1.1_I级响应"/>
      <w:bookmarkEnd w:id="132"/>
      <w:r>
        <w:rPr>
          <w:rFonts w:ascii="Times New Roman" w:eastAsia="Times New Roman"/>
          <w:b/>
          <w:sz w:val="28"/>
        </w:rPr>
        <w:t>I</w:t>
      </w:r>
      <w:r>
        <w:rPr>
          <w:rFonts w:ascii="Times New Roman" w:eastAsia="Times New Roman"/>
          <w:b/>
          <w:spacing w:val="-1"/>
          <w:sz w:val="28"/>
        </w:rPr>
        <w:t xml:space="preserve"> </w:t>
      </w:r>
      <w:r>
        <w:rPr>
          <w:b/>
          <w:sz w:val="28"/>
        </w:rPr>
        <w:t>级响应</w:t>
      </w:r>
    </w:p>
    <w:p>
      <w:pPr>
        <w:pStyle w:val="10"/>
        <w:spacing w:before="8"/>
        <w:rPr>
          <w:b/>
          <w:sz w:val="26"/>
        </w:rPr>
      </w:pPr>
    </w:p>
    <w:p>
      <w:pPr>
        <w:pStyle w:val="9"/>
        <w:spacing w:before="1"/>
        <w:ind w:left="720"/>
        <w:jc w:val="left"/>
      </w:pPr>
      <w:r>
        <w:t>一级（流域级）</w:t>
      </w:r>
    </w:p>
    <w:p>
      <w:pPr>
        <w:pStyle w:val="10"/>
        <w:spacing w:before="158" w:line="364" w:lineRule="auto"/>
        <w:ind w:left="240" w:right="237" w:firstLine="480"/>
      </w:pPr>
      <w:r>
        <w:t>事件涉及的有害影响可能扩大到公司</w:t>
      </w:r>
      <w:r>
        <w:rPr>
          <w:rFonts w:hint="eastAsia" w:ascii="宋体" w:hAnsi="宋体" w:eastAsia="宋体"/>
        </w:rPr>
        <w:t>Ⅰ</w:t>
      </w:r>
      <w:r>
        <w:rPr>
          <w:spacing w:val="-11"/>
        </w:rPr>
        <w:t>级公共区，已启动公司应急响应无法有效控制的事</w:t>
      </w:r>
      <w:r>
        <w:t>件，只有社会力量可以控制环境事件。如下列情形：</w:t>
      </w:r>
    </w:p>
    <w:p>
      <w:pPr>
        <w:pStyle w:val="10"/>
        <w:spacing w:line="364" w:lineRule="auto"/>
        <w:ind w:left="240" w:right="145" w:firstLine="480"/>
      </w:pPr>
      <w:r>
        <w:rPr>
          <w:rFonts w:hint="eastAsia" w:ascii="宋体" w:hAnsi="宋体" w:eastAsia="宋体"/>
        </w:rPr>
        <w:t>①</w:t>
      </w:r>
      <w:r>
        <w:rPr>
          <w:spacing w:val="-1"/>
        </w:rPr>
        <w:t>操作失误、违章作业，电气线路、电气设备运行时短路、过载、接触不良、散热不良、</w:t>
      </w:r>
      <w:r>
        <w:rPr>
          <w:spacing w:val="-10"/>
        </w:rPr>
        <w:t>漏电、断线碰壳、绝缘老化损坏，</w:t>
      </w:r>
      <w:r>
        <w:rPr>
          <w:rFonts w:hint="eastAsia"/>
          <w:spacing w:val="-10"/>
        </w:rPr>
        <w:t>油墨、乙烯</w:t>
      </w:r>
      <w:r>
        <w:rPr>
          <w:rFonts w:hint="eastAsia"/>
          <w:spacing w:val="-10"/>
          <w:lang w:val="en-US"/>
        </w:rPr>
        <w:t>-醋酸乙烯共聚物（EVA）</w:t>
      </w:r>
      <w:r>
        <w:rPr>
          <w:spacing w:val="-10"/>
        </w:rPr>
        <w:t>等可燃</w:t>
      </w:r>
      <w:r>
        <w:rPr>
          <w:rFonts w:hint="eastAsia"/>
          <w:spacing w:val="-10"/>
        </w:rPr>
        <w:t>液态</w:t>
      </w:r>
      <w:r>
        <w:rPr>
          <w:spacing w:val="-10"/>
        </w:rPr>
        <w:t>泄漏以及原材料、</w:t>
      </w:r>
      <w:r>
        <w:rPr>
          <w:rFonts w:hint="eastAsia"/>
          <w:spacing w:val="-10"/>
        </w:rPr>
        <w:t>塑料成品</w:t>
      </w:r>
      <w:r>
        <w:rPr>
          <w:spacing w:val="-10"/>
        </w:rPr>
        <w:t>等管理不善，导致大规模火灾爆炸，造成人员中毒或伤亡，依靠厂区应急力量无法控制的。</w:t>
      </w:r>
    </w:p>
    <w:p>
      <w:pPr>
        <w:pStyle w:val="10"/>
        <w:spacing w:line="362" w:lineRule="auto"/>
        <w:ind w:left="240" w:right="237" w:firstLine="480"/>
      </w:pPr>
      <w:r>
        <w:rPr>
          <w:rFonts w:hint="eastAsia" w:ascii="宋体" w:hAnsi="宋体" w:eastAsia="宋体"/>
        </w:rPr>
        <w:t>②</w:t>
      </w:r>
      <w:r>
        <w:rPr>
          <w:rFonts w:hint="eastAsia"/>
          <w:spacing w:val="-7"/>
        </w:rPr>
        <w:t>油墨、</w:t>
      </w:r>
      <w:r>
        <w:rPr>
          <w:rFonts w:hint="eastAsia"/>
          <w:spacing w:val="-10"/>
        </w:rPr>
        <w:t>乙烯</w:t>
      </w:r>
      <w:r>
        <w:rPr>
          <w:rFonts w:hint="eastAsia"/>
          <w:spacing w:val="-10"/>
          <w:lang w:val="en-US"/>
        </w:rPr>
        <w:t>-醋酸乙烯共聚物（EVA）</w:t>
      </w:r>
      <w:r>
        <w:rPr>
          <w:spacing w:val="-7"/>
        </w:rPr>
        <w:t>等有毒</w:t>
      </w:r>
      <w:r>
        <w:rPr>
          <w:rFonts w:hint="eastAsia"/>
          <w:spacing w:val="-7"/>
        </w:rPr>
        <w:t>液态</w:t>
      </w:r>
      <w:r>
        <w:rPr>
          <w:spacing w:val="-7"/>
        </w:rPr>
        <w:t>输送管道破损，有毒</w:t>
      </w:r>
      <w:r>
        <w:rPr>
          <w:rFonts w:hint="eastAsia"/>
          <w:spacing w:val="-7"/>
        </w:rPr>
        <w:t>液态</w:t>
      </w:r>
      <w:r>
        <w:rPr>
          <w:spacing w:val="-7"/>
        </w:rPr>
        <w:t>泄漏造成环境安全隐患，导致人员中毒或伤</w:t>
      </w:r>
      <w:r>
        <w:t>亡的。</w:t>
      </w:r>
    </w:p>
    <w:p>
      <w:pPr>
        <w:pStyle w:val="10"/>
        <w:spacing w:before="3" w:line="364" w:lineRule="auto"/>
        <w:ind w:left="240" w:right="237" w:firstLine="480"/>
      </w:pPr>
      <w:r>
        <w:rPr>
          <w:spacing w:val="-6"/>
        </w:rPr>
        <w:t>如赤壁市政府及有关部门成立现场应急指挥部，企业应急指挥部向上移交指挥权，企业应</w:t>
      </w:r>
      <w:r>
        <w:t>急指挥部及各应急小组全力服从配合政府应急队伍的工作，并在上级指挥下做好如下工作：</w:t>
      </w:r>
    </w:p>
    <w:p>
      <w:pPr>
        <w:pStyle w:val="23"/>
        <w:numPr>
          <w:ilvl w:val="0"/>
          <w:numId w:val="32"/>
        </w:numPr>
        <w:tabs>
          <w:tab w:val="left" w:pos="1321"/>
        </w:tabs>
        <w:spacing w:line="364" w:lineRule="auto"/>
        <w:ind w:right="237" w:firstLine="480"/>
        <w:jc w:val="both"/>
        <w:rPr>
          <w:sz w:val="24"/>
        </w:rPr>
      </w:pPr>
      <w:r>
        <w:rPr>
          <w:spacing w:val="-1"/>
          <w:sz w:val="24"/>
        </w:rPr>
        <w:t>企业应急指挥部总指挥</w:t>
      </w:r>
      <w:r>
        <w:rPr>
          <w:rFonts w:hint="eastAsia"/>
          <w:spacing w:val="-1"/>
          <w:sz w:val="24"/>
        </w:rPr>
        <w:t>刘智东</w:t>
      </w:r>
      <w:r>
        <w:rPr>
          <w:spacing w:val="-1"/>
          <w:sz w:val="24"/>
        </w:rPr>
        <w:t>、副总指挥</w:t>
      </w:r>
      <w:r>
        <w:rPr>
          <w:rFonts w:hint="eastAsia"/>
          <w:spacing w:val="-1"/>
          <w:sz w:val="24"/>
        </w:rPr>
        <w:t>马奇</w:t>
      </w:r>
      <w:r>
        <w:rPr>
          <w:spacing w:val="-1"/>
          <w:sz w:val="24"/>
        </w:rPr>
        <w:t>向上级指挥部说明事故情况，包括</w:t>
      </w:r>
      <w:r>
        <w:rPr>
          <w:spacing w:val="-9"/>
          <w:sz w:val="24"/>
        </w:rPr>
        <w:t>事故发生的时间、地点、污染源、事发区域及周边风险物质、人员伤亡情况、事故发展趋势和</w:t>
      </w:r>
      <w:r>
        <w:rPr>
          <w:sz w:val="24"/>
        </w:rPr>
        <w:t>已采取的应急措施等，并配合上级指挥部做好企业各应急小组的指挥工作；</w:t>
      </w:r>
    </w:p>
    <w:p>
      <w:pPr>
        <w:pStyle w:val="23"/>
        <w:numPr>
          <w:ilvl w:val="0"/>
          <w:numId w:val="32"/>
        </w:numPr>
        <w:tabs>
          <w:tab w:val="left" w:pos="1321"/>
        </w:tabs>
        <w:spacing w:line="364" w:lineRule="auto"/>
        <w:ind w:right="237" w:firstLine="480"/>
        <w:jc w:val="both"/>
        <w:rPr>
          <w:sz w:val="24"/>
        </w:rPr>
      </w:pPr>
      <w:r>
        <w:rPr>
          <w:spacing w:val="-1"/>
          <w:sz w:val="24"/>
        </w:rPr>
        <w:t>应急指挥部办公室主任</w:t>
      </w:r>
      <w:r>
        <w:rPr>
          <w:rFonts w:hint="eastAsia"/>
          <w:spacing w:val="-1"/>
          <w:sz w:val="24"/>
        </w:rPr>
        <w:t>马奇</w:t>
      </w:r>
      <w:r>
        <w:rPr>
          <w:spacing w:val="-1"/>
          <w:sz w:val="24"/>
        </w:rPr>
        <w:t>提供事故区域平面布置、管网、工艺流程、危险化学</w:t>
      </w:r>
      <w:r>
        <w:rPr>
          <w:spacing w:val="-10"/>
          <w:sz w:val="24"/>
        </w:rPr>
        <w:t>品、周边区域情况和其它有关资料；根据上级指令，组织及时通告周边单位事故情况，并联系</w:t>
      </w:r>
      <w:r>
        <w:rPr>
          <w:sz w:val="24"/>
        </w:rPr>
        <w:t>企业各应急小组迅速采取应急响应；</w:t>
      </w:r>
    </w:p>
    <w:p>
      <w:pPr>
        <w:pStyle w:val="23"/>
        <w:numPr>
          <w:ilvl w:val="0"/>
          <w:numId w:val="32"/>
        </w:numPr>
        <w:tabs>
          <w:tab w:val="left" w:pos="1321"/>
        </w:tabs>
        <w:spacing w:line="364" w:lineRule="auto"/>
        <w:ind w:right="237" w:firstLine="480"/>
        <w:jc w:val="both"/>
        <w:rPr>
          <w:sz w:val="24"/>
        </w:rPr>
      </w:pPr>
      <w:r>
        <w:rPr>
          <w:spacing w:val="-1"/>
          <w:sz w:val="24"/>
        </w:rPr>
        <w:t>疏散救援组组长</w:t>
      </w:r>
      <w:r>
        <w:rPr>
          <w:rFonts w:hint="eastAsia"/>
          <w:szCs w:val="21"/>
        </w:rPr>
        <w:t>童漫</w:t>
      </w:r>
      <w:r>
        <w:rPr>
          <w:spacing w:val="-1"/>
          <w:sz w:val="24"/>
        </w:rPr>
        <w:t>组织做好本企业员工的疏散工作，并配合周边单位做好疏散</w:t>
      </w:r>
      <w:r>
        <w:rPr>
          <w:spacing w:val="-10"/>
          <w:sz w:val="24"/>
        </w:rPr>
        <w:t>工作，在上级部门到达前实施厂区警戒，禁止无关人员进入，当上级部门到达后配合继续做好警戒疏散工作；结合抢险成员专长做好抢险队伍现场调配，各现场抢险组成员应当按照上级指</w:t>
      </w:r>
      <w:r>
        <w:rPr>
          <w:sz w:val="24"/>
        </w:rPr>
        <w:t>令做好协同、配合和支援；</w:t>
      </w:r>
    </w:p>
    <w:p>
      <w:pPr>
        <w:pStyle w:val="23"/>
        <w:numPr>
          <w:ilvl w:val="0"/>
          <w:numId w:val="32"/>
        </w:numPr>
        <w:tabs>
          <w:tab w:val="left" w:pos="1321"/>
        </w:tabs>
        <w:spacing w:line="364" w:lineRule="auto"/>
        <w:ind w:right="237" w:firstLine="480"/>
        <w:jc w:val="both"/>
        <w:rPr>
          <w:sz w:val="24"/>
        </w:rPr>
      </w:pPr>
      <w:r>
        <w:rPr>
          <w:spacing w:val="-1"/>
          <w:sz w:val="24"/>
        </w:rPr>
        <w:t>医疗后勤组组长</w:t>
      </w:r>
      <w:r>
        <w:rPr>
          <w:rFonts w:hint="eastAsia"/>
          <w:szCs w:val="21"/>
        </w:rPr>
        <w:t>刘佳</w:t>
      </w:r>
      <w:r>
        <w:rPr>
          <w:spacing w:val="-1"/>
          <w:sz w:val="24"/>
        </w:rPr>
        <w:t>提供企业现有应急物资供上级统一调配，并组织及时将物资</w:t>
      </w:r>
      <w:r>
        <w:rPr>
          <w:spacing w:val="-7"/>
          <w:sz w:val="24"/>
        </w:rPr>
        <w:t>运送至指定部位；织转移伤员至安全区域抢救，组织车辆、联系医院，并陪同伤员到相应医院</w:t>
      </w:r>
      <w:r>
        <w:rPr>
          <w:sz w:val="24"/>
        </w:rPr>
        <w:t>抢救；</w:t>
      </w:r>
    </w:p>
    <w:p>
      <w:pPr>
        <w:pStyle w:val="23"/>
        <w:numPr>
          <w:ilvl w:val="0"/>
          <w:numId w:val="32"/>
        </w:numPr>
        <w:tabs>
          <w:tab w:val="left" w:pos="1321"/>
        </w:tabs>
        <w:spacing w:line="304" w:lineRule="exact"/>
        <w:ind w:left="1321"/>
        <w:rPr>
          <w:sz w:val="24"/>
        </w:rPr>
      </w:pPr>
      <w:r>
        <w:rPr>
          <w:sz w:val="24"/>
        </w:rPr>
        <w:t>环境监测组组长</w:t>
      </w:r>
      <w:r>
        <w:rPr>
          <w:rFonts w:hint="eastAsia"/>
          <w:szCs w:val="21"/>
        </w:rPr>
        <w:t>徐萍</w:t>
      </w:r>
      <w:r>
        <w:rPr>
          <w:sz w:val="24"/>
        </w:rPr>
        <w:t>组织做好应急监测工作。</w:t>
      </w:r>
    </w:p>
    <w:p>
      <w:pPr>
        <w:spacing w:line="304" w:lineRule="exact"/>
        <w:rPr>
          <w:sz w:val="24"/>
        </w:rPr>
        <w:sectPr>
          <w:pgSz w:w="11910" w:h="16840"/>
          <w:pgMar w:top="1360" w:right="840" w:bottom="1180" w:left="840" w:header="882" w:footer="993" w:gutter="0"/>
          <w:cols w:space="720" w:num="1"/>
        </w:sectPr>
      </w:pPr>
    </w:p>
    <w:p>
      <w:pPr>
        <w:pStyle w:val="10"/>
        <w:spacing w:before="11"/>
        <w:rPr>
          <w:sz w:val="4"/>
        </w:rPr>
      </w:pPr>
    </w:p>
    <w:p>
      <w:pPr>
        <w:pStyle w:val="10"/>
        <w:ind w:left="2415"/>
        <w:rPr>
          <w:sz w:val="20"/>
        </w:rPr>
      </w:pPr>
      <w:r>
        <w:rPr>
          <w:sz w:val="20"/>
          <w:lang w:val="en-US" w:bidi="ar-SA"/>
        </w:rPr>
        <w:drawing>
          <wp:inline distT="0" distB="0" distL="0" distR="0">
            <wp:extent cx="3449955" cy="332676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27" cstate="print"/>
                    <a:stretch>
                      <a:fillRect/>
                    </a:stretch>
                  </pic:blipFill>
                  <pic:spPr>
                    <a:xfrm>
                      <a:off x="0" y="0"/>
                      <a:ext cx="3450347" cy="3326891"/>
                    </a:xfrm>
                    <a:prstGeom prst="rect">
                      <a:avLst/>
                    </a:prstGeom>
                  </pic:spPr>
                </pic:pic>
              </a:graphicData>
            </a:graphic>
          </wp:inline>
        </w:drawing>
      </w:r>
    </w:p>
    <w:p>
      <w:pPr>
        <w:pStyle w:val="9"/>
        <w:spacing w:before="113"/>
        <w:ind w:left="308" w:right="1"/>
      </w:pPr>
      <w:r>
        <w:t xml:space="preserve">图 </w:t>
      </w:r>
      <w:r>
        <w:rPr>
          <w:rFonts w:ascii="Times New Roman" w:eastAsia="Times New Roman"/>
        </w:rPr>
        <w:t xml:space="preserve">6.1.1-1 I </w:t>
      </w:r>
      <w:r>
        <w:t>级响应流程图</w:t>
      </w:r>
    </w:p>
    <w:p>
      <w:pPr>
        <w:pStyle w:val="10"/>
        <w:spacing w:before="4"/>
        <w:rPr>
          <w:b/>
          <w:sz w:val="19"/>
        </w:rPr>
      </w:pPr>
    </w:p>
    <w:p>
      <w:pPr>
        <w:pStyle w:val="23"/>
        <w:numPr>
          <w:ilvl w:val="2"/>
          <w:numId w:val="6"/>
        </w:numPr>
        <w:tabs>
          <w:tab w:val="left" w:pos="869"/>
        </w:tabs>
        <w:spacing w:before="70"/>
        <w:rPr>
          <w:b/>
          <w:sz w:val="28"/>
        </w:rPr>
      </w:pPr>
      <w:bookmarkStart w:id="133" w:name="_bookmark66"/>
      <w:bookmarkEnd w:id="133"/>
      <w:bookmarkStart w:id="134" w:name="6.1.2_II级响应"/>
      <w:bookmarkEnd w:id="134"/>
      <w:r>
        <w:rPr>
          <w:rFonts w:ascii="Times New Roman" w:eastAsia="Times New Roman"/>
          <w:b/>
          <w:sz w:val="28"/>
        </w:rPr>
        <w:t>II</w:t>
      </w:r>
      <w:r>
        <w:rPr>
          <w:rFonts w:ascii="Times New Roman" w:eastAsia="Times New Roman"/>
          <w:b/>
          <w:spacing w:val="-2"/>
          <w:sz w:val="28"/>
        </w:rPr>
        <w:t xml:space="preserve"> </w:t>
      </w:r>
      <w:r>
        <w:rPr>
          <w:b/>
          <w:sz w:val="28"/>
        </w:rPr>
        <w:t>级响应</w:t>
      </w:r>
    </w:p>
    <w:p>
      <w:pPr>
        <w:pStyle w:val="10"/>
        <w:spacing w:before="8"/>
        <w:rPr>
          <w:b/>
          <w:sz w:val="26"/>
        </w:rPr>
      </w:pPr>
    </w:p>
    <w:p>
      <w:pPr>
        <w:pStyle w:val="9"/>
        <w:ind w:left="720"/>
        <w:jc w:val="left"/>
      </w:pPr>
      <w:r>
        <w:t>二级（厂界级）</w:t>
      </w:r>
    </w:p>
    <w:p>
      <w:pPr>
        <w:pStyle w:val="10"/>
        <w:spacing w:before="161" w:line="362" w:lineRule="auto"/>
        <w:ind w:left="240" w:right="237" w:firstLine="480"/>
      </w:pPr>
      <w:r>
        <w:rPr>
          <w:spacing w:val="-6"/>
        </w:rPr>
        <w:t>事件涉及的有害影响为公司范围内，启动公司应急响应可得到有效控制的事故，但其影响</w:t>
      </w:r>
      <w:r>
        <w:t>预期不会扩大到公司外公共区域。如下列情形：</w:t>
      </w:r>
    </w:p>
    <w:p>
      <w:pPr>
        <w:pStyle w:val="10"/>
        <w:spacing w:before="5" w:line="364" w:lineRule="auto"/>
        <w:ind w:left="240" w:right="145" w:firstLine="480"/>
      </w:pPr>
      <w:r>
        <w:rPr>
          <w:rFonts w:hint="eastAsia" w:ascii="宋体" w:hAnsi="宋体" w:eastAsia="宋体"/>
        </w:rPr>
        <w:t>①</w:t>
      </w:r>
      <w:r>
        <w:rPr>
          <w:spacing w:val="-1"/>
        </w:rPr>
        <w:t>操作失误、违章作业，电气线路、电气设备运行时短路、过载、接触不良、散热不良、</w:t>
      </w:r>
      <w:r>
        <w:rPr>
          <w:spacing w:val="-10"/>
        </w:rPr>
        <w:t>漏电、断线碰壳、绝缘老化损坏等导致电气火灾爆炸，</w:t>
      </w:r>
      <w:r>
        <w:rPr>
          <w:rFonts w:hint="eastAsia"/>
          <w:spacing w:val="-10"/>
        </w:rPr>
        <w:t>油墨、乙烯</w:t>
      </w:r>
      <w:r>
        <w:rPr>
          <w:rFonts w:hint="eastAsia"/>
          <w:spacing w:val="-10"/>
          <w:lang w:val="en-US"/>
        </w:rPr>
        <w:t>-醋酸乙烯共聚物（EVA）</w:t>
      </w:r>
      <w:r>
        <w:rPr>
          <w:spacing w:val="-10"/>
        </w:rPr>
        <w:t>等可燃</w:t>
      </w:r>
      <w:r>
        <w:rPr>
          <w:rFonts w:hint="eastAsia"/>
          <w:spacing w:val="-10"/>
        </w:rPr>
        <w:t>液态</w:t>
      </w:r>
      <w:r>
        <w:rPr>
          <w:spacing w:val="-10"/>
        </w:rPr>
        <w:t>泄漏以及原材料、</w:t>
      </w:r>
      <w:r>
        <w:rPr>
          <w:rFonts w:hint="eastAsia"/>
          <w:spacing w:val="-10"/>
        </w:rPr>
        <w:t>塑料成品</w:t>
      </w:r>
      <w:r>
        <w:rPr>
          <w:spacing w:val="-11"/>
        </w:rPr>
        <w:t>管理不善，导致火灾爆炸，未造成人员中毒或伤亡，环境影响依靠厂区应急力量可以控制的。</w:t>
      </w:r>
    </w:p>
    <w:p>
      <w:pPr>
        <w:pStyle w:val="10"/>
        <w:spacing w:line="362" w:lineRule="auto"/>
        <w:ind w:left="240" w:right="237" w:firstLine="480"/>
      </w:pPr>
      <w:r>
        <w:rPr>
          <w:rFonts w:hint="eastAsia" w:ascii="宋体" w:hAnsi="宋体" w:eastAsia="宋体"/>
        </w:rPr>
        <w:t>②</w:t>
      </w:r>
      <w:r>
        <w:rPr>
          <w:rFonts w:hint="eastAsia"/>
          <w:spacing w:val="-7"/>
        </w:rPr>
        <w:t>油墨、乙烯</w:t>
      </w:r>
      <w:r>
        <w:rPr>
          <w:rFonts w:hint="eastAsia"/>
          <w:spacing w:val="-7"/>
          <w:lang w:val="en-US"/>
        </w:rPr>
        <w:t>-</w:t>
      </w:r>
      <w:r>
        <w:rPr>
          <w:rFonts w:hint="eastAsia"/>
          <w:spacing w:val="-10"/>
          <w:lang w:val="en-US"/>
        </w:rPr>
        <w:t>醋酸乙烯共聚物（EVA）</w:t>
      </w:r>
      <w:r>
        <w:rPr>
          <w:spacing w:val="-7"/>
        </w:rPr>
        <w:t>等有毒</w:t>
      </w:r>
      <w:r>
        <w:rPr>
          <w:rFonts w:hint="eastAsia"/>
          <w:spacing w:val="-7"/>
        </w:rPr>
        <w:t>液态</w:t>
      </w:r>
      <w:r>
        <w:rPr>
          <w:spacing w:val="-7"/>
        </w:rPr>
        <w:t>输送管道破损，有毒</w:t>
      </w:r>
      <w:r>
        <w:rPr>
          <w:rFonts w:hint="eastAsia"/>
          <w:spacing w:val="-7"/>
        </w:rPr>
        <w:t>液态</w:t>
      </w:r>
      <w:r>
        <w:rPr>
          <w:spacing w:val="-7"/>
        </w:rPr>
        <w:t>泄漏造成环境安全隐患，未造成人员中毒或</w:t>
      </w:r>
      <w:r>
        <w:t>伤亡，可依靠厂区应急能力及时处置的。</w:t>
      </w:r>
    </w:p>
    <w:p>
      <w:pPr>
        <w:pStyle w:val="10"/>
        <w:spacing w:before="2" w:line="362" w:lineRule="auto"/>
        <w:ind w:left="720" w:right="42"/>
      </w:pPr>
      <w:r>
        <w:rPr>
          <w:rFonts w:hint="eastAsia" w:ascii="宋体" w:hAnsi="宋体" w:eastAsia="宋体"/>
        </w:rPr>
        <w:t>③</w:t>
      </w:r>
      <w:r>
        <w:t xml:space="preserve">机械故障等导致水膜除尘器等废气治理设施停止运行，废气大量泄漏造成环境污染的。对于 </w:t>
      </w:r>
      <w:r>
        <w:rPr>
          <w:rFonts w:ascii="Times New Roman" w:hAnsi="Times New Roman" w:eastAsia="Times New Roman"/>
        </w:rPr>
        <w:t xml:space="preserve">II </w:t>
      </w:r>
      <w:r>
        <w:t>级环境事件，公司可通过自身的应急能力将事件控制在厂区内，则启动二级响应，</w:t>
      </w:r>
    </w:p>
    <w:p>
      <w:pPr>
        <w:pStyle w:val="10"/>
        <w:spacing w:before="5" w:line="364" w:lineRule="auto"/>
        <w:ind w:left="240" w:right="237"/>
      </w:pPr>
      <w:r>
        <w:rPr>
          <w:spacing w:val="-7"/>
        </w:rPr>
        <w:t>由总指挥</w:t>
      </w:r>
      <w:r>
        <w:rPr>
          <w:rFonts w:hint="eastAsia"/>
          <w:spacing w:val="-7"/>
        </w:rPr>
        <w:t>刘智东</w:t>
      </w:r>
      <w:r>
        <w:rPr>
          <w:spacing w:val="-7"/>
        </w:rPr>
        <w:t>负责指挥，组织相关应急小组开展应急工作，视现场情况，总指挥可指令授予</w:t>
      </w:r>
      <w:r>
        <w:t>应急指挥部某成员行使总指挥职权。</w:t>
      </w:r>
    </w:p>
    <w:p>
      <w:pPr>
        <w:spacing w:line="364" w:lineRule="auto"/>
        <w:sectPr>
          <w:pgSz w:w="11910" w:h="16840"/>
          <w:pgMar w:top="1360" w:right="840" w:bottom="1180" w:left="840" w:header="882" w:footer="993" w:gutter="0"/>
          <w:cols w:space="720" w:num="1"/>
        </w:sectPr>
      </w:pPr>
    </w:p>
    <w:p>
      <w:pPr>
        <w:pStyle w:val="10"/>
        <w:spacing w:before="11"/>
        <w:rPr>
          <w:sz w:val="4"/>
        </w:rPr>
      </w:pPr>
    </w:p>
    <w:p>
      <w:pPr>
        <w:pStyle w:val="10"/>
        <w:ind w:left="3877"/>
        <w:rPr>
          <w:sz w:val="20"/>
        </w:rPr>
      </w:pPr>
      <w:r>
        <w:rPr>
          <w:sz w:val="20"/>
          <w:lang w:val="en-US" w:bidi="ar-SA"/>
        </w:rPr>
        <w:drawing>
          <wp:inline distT="0" distB="0" distL="0" distR="0">
            <wp:extent cx="1796415" cy="252095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28" cstate="print"/>
                    <a:stretch>
                      <a:fillRect/>
                    </a:stretch>
                  </pic:blipFill>
                  <pic:spPr>
                    <a:xfrm>
                      <a:off x="0" y="0"/>
                      <a:ext cx="1796532" cy="2521172"/>
                    </a:xfrm>
                    <a:prstGeom prst="rect">
                      <a:avLst/>
                    </a:prstGeom>
                  </pic:spPr>
                </pic:pic>
              </a:graphicData>
            </a:graphic>
          </wp:inline>
        </w:drawing>
      </w:r>
    </w:p>
    <w:p>
      <w:pPr>
        <w:pStyle w:val="10"/>
        <w:spacing w:before="8"/>
        <w:rPr>
          <w:sz w:val="5"/>
        </w:rPr>
      </w:pPr>
    </w:p>
    <w:p>
      <w:pPr>
        <w:pStyle w:val="9"/>
        <w:spacing w:before="74"/>
        <w:ind w:left="486" w:right="1"/>
      </w:pPr>
      <w:r>
        <w:t xml:space="preserve">图 </w:t>
      </w:r>
      <w:r>
        <w:rPr>
          <w:rFonts w:ascii="Times New Roman" w:eastAsia="Times New Roman"/>
        </w:rPr>
        <w:t xml:space="preserve">6.1.2-1 II </w:t>
      </w:r>
      <w:r>
        <w:t>级响应流程图</w:t>
      </w:r>
    </w:p>
    <w:p>
      <w:pPr>
        <w:pStyle w:val="10"/>
        <w:spacing w:before="1"/>
        <w:rPr>
          <w:b/>
          <w:sz w:val="19"/>
        </w:rPr>
      </w:pPr>
    </w:p>
    <w:p>
      <w:pPr>
        <w:pStyle w:val="23"/>
        <w:numPr>
          <w:ilvl w:val="2"/>
          <w:numId w:val="6"/>
        </w:numPr>
        <w:tabs>
          <w:tab w:val="left" w:pos="869"/>
        </w:tabs>
        <w:spacing w:before="73"/>
        <w:rPr>
          <w:b/>
          <w:sz w:val="28"/>
        </w:rPr>
      </w:pPr>
      <w:bookmarkStart w:id="135" w:name="6.1.3_III级响应"/>
      <w:bookmarkEnd w:id="135"/>
      <w:bookmarkStart w:id="136" w:name="_bookmark67"/>
      <w:bookmarkEnd w:id="136"/>
      <w:r>
        <w:rPr>
          <w:rFonts w:ascii="Times New Roman" w:eastAsia="Times New Roman"/>
          <w:b/>
          <w:sz w:val="28"/>
        </w:rPr>
        <w:t>III</w:t>
      </w:r>
      <w:r>
        <w:rPr>
          <w:rFonts w:ascii="Times New Roman" w:eastAsia="Times New Roman"/>
          <w:b/>
          <w:spacing w:val="-3"/>
          <w:sz w:val="28"/>
        </w:rPr>
        <w:t xml:space="preserve"> </w:t>
      </w:r>
      <w:r>
        <w:rPr>
          <w:b/>
          <w:sz w:val="28"/>
        </w:rPr>
        <w:t>级响应</w:t>
      </w:r>
    </w:p>
    <w:p>
      <w:pPr>
        <w:pStyle w:val="10"/>
        <w:spacing w:before="8"/>
        <w:rPr>
          <w:b/>
          <w:sz w:val="26"/>
        </w:rPr>
      </w:pPr>
    </w:p>
    <w:p>
      <w:pPr>
        <w:pStyle w:val="9"/>
        <w:ind w:left="720"/>
        <w:jc w:val="left"/>
      </w:pPr>
      <w:r>
        <w:t>三级（车间级）</w:t>
      </w:r>
    </w:p>
    <w:p>
      <w:pPr>
        <w:pStyle w:val="10"/>
        <w:spacing w:before="158" w:line="364" w:lineRule="auto"/>
        <w:ind w:left="240" w:right="237" w:firstLine="480"/>
      </w:pPr>
      <w:r>
        <w:rPr>
          <w:spacing w:val="-7"/>
        </w:rPr>
        <w:t>事件涉及的有害影响为各个车间工段；这类突发环境事件可能需要投入整个事件所属车间</w:t>
      </w:r>
      <w:r>
        <w:t>的应急救援力量才能控制，但一般不会影响到事件所属车间以外其他区域。如下列情形：</w:t>
      </w:r>
    </w:p>
    <w:p>
      <w:pPr>
        <w:pStyle w:val="10"/>
        <w:spacing w:line="306" w:lineRule="exact"/>
        <w:ind w:left="720"/>
      </w:pPr>
      <w:r>
        <w:rPr>
          <w:rFonts w:hint="eastAsia" w:ascii="宋体" w:hAnsi="宋体" w:eastAsia="宋体"/>
        </w:rPr>
        <w:t>①</w:t>
      </w:r>
      <w:r>
        <w:t>机械故障等导致水膜除尘器等废气治理设施效率下降，废气泄漏造成环境污染的。</w:t>
      </w:r>
    </w:p>
    <w:p>
      <w:pPr>
        <w:pStyle w:val="10"/>
        <w:spacing w:before="161" w:line="362" w:lineRule="auto"/>
        <w:ind w:left="240" w:right="237" w:firstLine="480"/>
      </w:pPr>
      <w:r>
        <w:rPr>
          <w:rFonts w:hint="eastAsia" w:ascii="宋体" w:hAnsi="宋体" w:eastAsia="宋体"/>
        </w:rPr>
        <w:t>②</w:t>
      </w:r>
      <w:r>
        <w:rPr>
          <w:spacing w:val="-9"/>
        </w:rPr>
        <w:t>因管理不善，人为事故，随意丢弃危废，或一般固废与废机油等危废混装，造成危废弃</w:t>
      </w:r>
      <w:r>
        <w:t>置、泄漏的。</w:t>
      </w:r>
    </w:p>
    <w:p>
      <w:pPr>
        <w:pStyle w:val="10"/>
        <w:spacing w:before="5" w:line="362" w:lineRule="auto"/>
        <w:ind w:left="240" w:right="237" w:firstLine="480"/>
      </w:pPr>
      <w:r>
        <w:rPr>
          <w:rFonts w:hint="eastAsia" w:ascii="宋体" w:hAnsi="宋体" w:eastAsia="宋体"/>
        </w:rPr>
        <w:t>③</w:t>
      </w:r>
      <w:r>
        <w:rPr>
          <w:spacing w:val="-10"/>
        </w:rPr>
        <w:t>因管理不善，人为事故，容器破损等导致</w:t>
      </w:r>
      <w:r>
        <w:rPr>
          <w:rFonts w:hint="eastAsia"/>
          <w:spacing w:val="-10"/>
        </w:rPr>
        <w:t>油墨</w:t>
      </w:r>
      <w:r>
        <w:rPr>
          <w:spacing w:val="-10"/>
        </w:rPr>
        <w:t>泄漏，造成环境安全隐患，污</w:t>
      </w:r>
      <w:r>
        <w:t>染周边环境的。</w:t>
      </w:r>
    </w:p>
    <w:p>
      <w:pPr>
        <w:pStyle w:val="10"/>
        <w:spacing w:before="5" w:line="362" w:lineRule="auto"/>
        <w:ind w:left="240" w:right="145" w:firstLine="480"/>
      </w:pPr>
      <w:r>
        <w:rPr>
          <w:rFonts w:hint="eastAsia" w:ascii="宋体" w:hAnsi="宋体" w:eastAsia="宋体"/>
        </w:rPr>
        <w:t>④</w:t>
      </w:r>
      <w:r>
        <w:t>消防废水未有效收集， 污染周边环境的。</w:t>
      </w:r>
    </w:p>
    <w:p>
      <w:pPr>
        <w:pStyle w:val="10"/>
        <w:spacing w:before="5" w:line="364" w:lineRule="auto"/>
        <w:ind w:left="240" w:right="237" w:firstLine="480"/>
        <w:jc w:val="both"/>
      </w:pPr>
      <w:r>
        <w:rPr>
          <w:spacing w:val="-7"/>
        </w:rPr>
        <w:t>三级应急响应启动现场处置方案，及时告知有关负责人，并进行有效监控，根据事故发展决定是否上报和扩大应急。三级应急指挥由相应部门负责人指挥，或者授权部门其他相关人员</w:t>
      </w:r>
      <w:r>
        <w:t>指挥应急处置。</w:t>
      </w:r>
    </w:p>
    <w:p>
      <w:pPr>
        <w:pStyle w:val="10"/>
        <w:ind w:left="3660"/>
        <w:rPr>
          <w:sz w:val="20"/>
        </w:rPr>
      </w:pPr>
      <w:r>
        <w:rPr>
          <w:sz w:val="20"/>
          <w:lang w:val="en-US" w:bidi="ar-SA"/>
        </w:rPr>
        <w:drawing>
          <wp:inline distT="0" distB="0" distL="0" distR="0">
            <wp:extent cx="2071370" cy="120015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29" cstate="print"/>
                    <a:stretch>
                      <a:fillRect/>
                    </a:stretch>
                  </pic:blipFill>
                  <pic:spPr>
                    <a:xfrm>
                      <a:off x="0" y="0"/>
                      <a:ext cx="2071669" cy="1200150"/>
                    </a:xfrm>
                    <a:prstGeom prst="rect">
                      <a:avLst/>
                    </a:prstGeom>
                  </pic:spPr>
                </pic:pic>
              </a:graphicData>
            </a:graphic>
          </wp:inline>
        </w:drawing>
      </w:r>
    </w:p>
    <w:p>
      <w:pPr>
        <w:pStyle w:val="9"/>
        <w:spacing w:before="139"/>
        <w:ind w:right="1"/>
      </w:pPr>
      <w:r>
        <w:t xml:space="preserve">图 </w:t>
      </w:r>
      <w:r>
        <w:rPr>
          <w:rFonts w:ascii="Times New Roman" w:eastAsia="Times New Roman"/>
        </w:rPr>
        <w:t xml:space="preserve">6.1.3-1 III </w:t>
      </w:r>
      <w:r>
        <w:t>级响应流程图</w:t>
      </w:r>
    </w:p>
    <w:p>
      <w:pPr>
        <w:sectPr>
          <w:pgSz w:w="11910" w:h="16840"/>
          <w:pgMar w:top="1360" w:right="840" w:bottom="1180" w:left="840" w:header="882" w:footer="993" w:gutter="0"/>
          <w:cols w:space="720" w:num="1"/>
        </w:sectPr>
      </w:pPr>
    </w:p>
    <w:p>
      <w:pPr>
        <w:pStyle w:val="6"/>
        <w:numPr>
          <w:ilvl w:val="1"/>
          <w:numId w:val="6"/>
        </w:numPr>
        <w:tabs>
          <w:tab w:val="left" w:pos="766"/>
        </w:tabs>
        <w:spacing w:before="66"/>
      </w:pPr>
      <w:bookmarkStart w:id="137" w:name="6.2_响应程序"/>
      <w:bookmarkEnd w:id="137"/>
      <w:bookmarkStart w:id="138" w:name="_bookmark68"/>
      <w:bookmarkEnd w:id="138"/>
      <w:r>
        <w:t>响应程序</w:t>
      </w:r>
    </w:p>
    <w:p>
      <w:pPr>
        <w:pStyle w:val="10"/>
        <w:spacing w:before="6"/>
        <w:rPr>
          <w:b/>
          <w:sz w:val="27"/>
        </w:rPr>
      </w:pPr>
    </w:p>
    <w:p>
      <w:pPr>
        <w:pStyle w:val="10"/>
        <w:spacing w:line="364" w:lineRule="auto"/>
        <w:ind w:left="240" w:right="240" w:firstLine="480"/>
      </w:pPr>
      <w:r>
        <w:t>（</w:t>
      </w:r>
      <w:r>
        <w:rPr>
          <w:rFonts w:ascii="Times New Roman" w:eastAsia="Times New Roman"/>
        </w:rPr>
        <w:t>1</w:t>
      </w:r>
      <w:r>
        <w:t xml:space="preserve">）公司应急响应程序分为接警、预警、判断响应级别、应急启动、控制及救援行动、扩大应急、应急终止和后期处置等步骤。公司应急响应流程见图 </w:t>
      </w:r>
      <w:r>
        <w:rPr>
          <w:rFonts w:ascii="Times New Roman" w:eastAsia="Times New Roman"/>
        </w:rPr>
        <w:t>6.2-1</w:t>
      </w:r>
      <w:r>
        <w:t>。</w:t>
      </w:r>
    </w:p>
    <w:p>
      <w:pPr>
        <w:pStyle w:val="10"/>
        <w:ind w:left="242"/>
        <w:rPr>
          <w:sz w:val="20"/>
        </w:rPr>
      </w:pPr>
      <w:r>
        <w:rPr>
          <w:sz w:val="20"/>
          <w:lang w:val="en-US" w:bidi="ar-SA"/>
        </w:rPr>
        <w:drawing>
          <wp:inline distT="0" distB="0" distL="0" distR="0">
            <wp:extent cx="6174105" cy="424688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30" cstate="print"/>
                    <a:stretch>
                      <a:fillRect/>
                    </a:stretch>
                  </pic:blipFill>
                  <pic:spPr>
                    <a:xfrm>
                      <a:off x="0" y="0"/>
                      <a:ext cx="6174699" cy="4247292"/>
                    </a:xfrm>
                    <a:prstGeom prst="rect">
                      <a:avLst/>
                    </a:prstGeom>
                  </pic:spPr>
                </pic:pic>
              </a:graphicData>
            </a:graphic>
          </wp:inline>
        </w:drawing>
      </w:r>
    </w:p>
    <w:p>
      <w:pPr>
        <w:pStyle w:val="9"/>
        <w:spacing w:before="150"/>
        <w:ind w:left="325" w:right="1"/>
      </w:pPr>
      <w:r>
        <w:t xml:space="preserve">图 </w:t>
      </w:r>
      <w:r>
        <w:rPr>
          <w:rFonts w:ascii="Times New Roman" w:eastAsia="Times New Roman"/>
        </w:rPr>
        <w:t xml:space="preserve">6.2-1  </w:t>
      </w:r>
      <w:r>
        <w:rPr>
          <w:rFonts w:hint="eastAsia" w:eastAsia="宋体"/>
        </w:rPr>
        <w:t>赤壁市泰博服饰股份有限公</w:t>
      </w:r>
      <w:r>
        <w:t>突发环境事件应急响应程序</w:t>
      </w:r>
    </w:p>
    <w:p>
      <w:pPr>
        <w:pStyle w:val="10"/>
        <w:rPr>
          <w:b/>
          <w:sz w:val="26"/>
        </w:rPr>
      </w:pPr>
    </w:p>
    <w:p>
      <w:pPr>
        <w:pStyle w:val="6"/>
        <w:numPr>
          <w:ilvl w:val="1"/>
          <w:numId w:val="6"/>
        </w:numPr>
        <w:tabs>
          <w:tab w:val="left" w:pos="766"/>
        </w:tabs>
        <w:spacing w:before="224"/>
      </w:pPr>
      <w:bookmarkStart w:id="139" w:name="6.3_启动应急响应"/>
      <w:bookmarkEnd w:id="139"/>
      <w:bookmarkStart w:id="140" w:name="_bookmark69"/>
      <w:bookmarkEnd w:id="140"/>
      <w:r>
        <w:t>启动应急响应</w:t>
      </w:r>
    </w:p>
    <w:p>
      <w:pPr>
        <w:pStyle w:val="10"/>
        <w:spacing w:before="8"/>
        <w:rPr>
          <w:b/>
          <w:sz w:val="27"/>
        </w:rPr>
      </w:pPr>
    </w:p>
    <w:p>
      <w:pPr>
        <w:pStyle w:val="10"/>
        <w:spacing w:before="1" w:line="364" w:lineRule="auto"/>
        <w:ind w:left="240" w:right="237" w:firstLine="480"/>
      </w:pPr>
      <w:r>
        <w:rPr>
          <w:spacing w:val="-7"/>
        </w:rPr>
        <w:t>根据突发环境事件预警级别，由现场应急指挥部先行指挥应急救援行动，企业应急指挥部</w:t>
      </w:r>
      <w:r>
        <w:t>接警后，应急指挥部领导成员进入应急事件处理程序，启动相应的应急预案进行分级响应。</w:t>
      </w:r>
    </w:p>
    <w:p>
      <w:pPr>
        <w:pStyle w:val="23"/>
        <w:numPr>
          <w:ilvl w:val="0"/>
          <w:numId w:val="33"/>
        </w:numPr>
        <w:tabs>
          <w:tab w:val="left" w:pos="1321"/>
        </w:tabs>
        <w:spacing w:line="306" w:lineRule="exact"/>
        <w:rPr>
          <w:sz w:val="24"/>
        </w:rPr>
      </w:pPr>
      <w:r>
        <w:rPr>
          <w:sz w:val="24"/>
        </w:rPr>
        <w:t>三级突发事件响应</w:t>
      </w:r>
    </w:p>
    <w:p>
      <w:pPr>
        <w:pStyle w:val="10"/>
        <w:spacing w:before="158"/>
        <w:ind w:left="720"/>
      </w:pPr>
      <w:r>
        <w:t>三级应急响应由应急指挥部办公室主任负责实施（</w:t>
      </w:r>
      <w:r>
        <w:rPr>
          <w:rFonts w:hint="eastAsia"/>
        </w:rPr>
        <w:t>马奇</w:t>
      </w:r>
      <w:r>
        <w:t>，）。</w:t>
      </w:r>
    </w:p>
    <w:p>
      <w:pPr>
        <w:pStyle w:val="10"/>
        <w:spacing w:before="160" w:line="362" w:lineRule="auto"/>
        <w:ind w:left="240" w:right="145" w:firstLine="480"/>
      </w:pPr>
      <w:r>
        <w:rPr>
          <w:rFonts w:hint="eastAsia" w:ascii="宋体" w:hAnsi="宋体" w:eastAsia="宋体"/>
        </w:rPr>
        <w:t>①</w:t>
      </w:r>
      <w:r>
        <w:t>三级应急响应启动后，应急指挥部办公室主任负责落实响应，指挥事发工段开展工作， 同时报告总指挥。</w:t>
      </w:r>
    </w:p>
    <w:p>
      <w:pPr>
        <w:pStyle w:val="10"/>
        <w:spacing w:before="5" w:line="364" w:lineRule="auto"/>
        <w:ind w:left="240" w:right="237" w:firstLine="480"/>
      </w:pPr>
      <w:r>
        <w:rPr>
          <w:rFonts w:hint="eastAsia" w:ascii="宋体" w:hAnsi="宋体" w:eastAsia="宋体"/>
        </w:rPr>
        <w:t>②</w:t>
      </w:r>
      <w:r>
        <w:rPr>
          <w:spacing w:val="-10"/>
        </w:rPr>
        <w:t>保障人员安全。所有参加应急行动的人员必须经过一定的专业培训，并在保障自身安全</w:t>
      </w:r>
      <w:r>
        <w:t>的情况下参与应急行动，应急行动中以优先处理伤员、再处理事件为原则。</w:t>
      </w:r>
    </w:p>
    <w:p>
      <w:pPr>
        <w:spacing w:line="364" w:lineRule="auto"/>
        <w:sectPr>
          <w:pgSz w:w="11910" w:h="16840"/>
          <w:pgMar w:top="1360" w:right="840" w:bottom="1180" w:left="840" w:header="882" w:footer="993" w:gutter="0"/>
          <w:cols w:space="720" w:num="1"/>
        </w:sectPr>
      </w:pPr>
    </w:p>
    <w:p>
      <w:pPr>
        <w:pStyle w:val="10"/>
        <w:spacing w:before="64" w:line="364" w:lineRule="auto"/>
        <w:ind w:left="240" w:right="237" w:firstLine="480"/>
      </w:pPr>
      <w:r>
        <w:rPr>
          <w:rFonts w:hint="eastAsia" w:ascii="宋体" w:hAnsi="宋体" w:eastAsia="宋体"/>
        </w:rPr>
        <w:t>③</w:t>
      </w:r>
      <w:r>
        <w:rPr>
          <w:spacing w:val="-10"/>
        </w:rPr>
        <w:t>及时控制，防止事件扩大。三级应急响应中，应急行动应及时处置，应急材料应用应本</w:t>
      </w:r>
      <w:r>
        <w:t>着就近原则，防止环境事件的升级，将事件控制在初发状态，消除可能的次生、再生灾害。</w:t>
      </w:r>
    </w:p>
    <w:p>
      <w:pPr>
        <w:pStyle w:val="10"/>
        <w:spacing w:line="364" w:lineRule="auto"/>
        <w:ind w:left="240" w:right="237" w:firstLine="480"/>
        <w:jc w:val="both"/>
      </w:pPr>
      <w:r>
        <w:rPr>
          <w:rFonts w:hint="eastAsia" w:ascii="宋体" w:hAnsi="宋体" w:eastAsia="宋体"/>
        </w:rPr>
        <w:t>④</w:t>
      </w:r>
      <w:r>
        <w:t xml:space="preserve">及时报告。应急响应启动后 </w:t>
      </w:r>
      <w:r>
        <w:rPr>
          <w:rFonts w:ascii="Times New Roman" w:hAnsi="Times New Roman" w:eastAsia="Times New Roman"/>
        </w:rPr>
        <w:t xml:space="preserve">2 </w:t>
      </w:r>
      <w:r>
        <w:rPr>
          <w:spacing w:val="-1"/>
        </w:rPr>
        <w:t>个小时内将环境事件情况报告给咸宁市生态环境局赤壁</w:t>
      </w:r>
      <w:r>
        <w:rPr>
          <w:spacing w:val="-10"/>
        </w:rPr>
        <w:t>市分局；当环境事件有新的发展以及事件失控或应急响应升级时，现场应急指挥部指挥必须及</w:t>
      </w:r>
      <w:r>
        <w:rPr>
          <w:spacing w:val="-6"/>
        </w:rPr>
        <w:t>时上报咸宁市生态环境局赤壁市分局、赤壁市应急管理局、赤壁市政府，以便启动响应应急措</w:t>
      </w:r>
      <w:r>
        <w:t>施。</w:t>
      </w:r>
    </w:p>
    <w:p>
      <w:pPr>
        <w:pStyle w:val="23"/>
        <w:numPr>
          <w:ilvl w:val="0"/>
          <w:numId w:val="33"/>
        </w:numPr>
        <w:tabs>
          <w:tab w:val="left" w:pos="1321"/>
        </w:tabs>
        <w:spacing w:line="305" w:lineRule="exact"/>
        <w:rPr>
          <w:sz w:val="24"/>
        </w:rPr>
      </w:pPr>
      <w:r>
        <w:rPr>
          <w:sz w:val="24"/>
        </w:rPr>
        <w:t>二级突发环境事件响应</w:t>
      </w:r>
    </w:p>
    <w:p>
      <w:pPr>
        <w:pStyle w:val="10"/>
        <w:spacing w:before="159"/>
        <w:ind w:left="720"/>
      </w:pPr>
      <w:r>
        <w:t>二级应急响应由应急指挥部总指挥负责实施（</w:t>
      </w:r>
      <w:r>
        <w:rPr>
          <w:rFonts w:hint="eastAsia"/>
        </w:rPr>
        <w:t>刘智东</w:t>
      </w:r>
      <w:r>
        <w:t>，</w:t>
      </w:r>
      <w:r>
        <w:rPr>
          <w:rFonts w:hint="eastAsia"/>
          <w:szCs w:val="21"/>
        </w:rPr>
        <w:t>13907246986</w:t>
      </w:r>
      <w:r>
        <w:t>）。</w:t>
      </w:r>
    </w:p>
    <w:p>
      <w:pPr>
        <w:pStyle w:val="10"/>
        <w:spacing w:before="160" w:line="362" w:lineRule="auto"/>
        <w:ind w:left="240" w:right="237" w:firstLine="480"/>
        <w:jc w:val="both"/>
      </w:pPr>
      <w:r>
        <w:rPr>
          <w:spacing w:val="-4"/>
        </w:rPr>
        <w:t>当事件确认为二级突发环境事件响应或升级为二级突发环境事件响应时，在公司应急总指</w:t>
      </w:r>
      <w:r>
        <w:rPr>
          <w:spacing w:val="-6"/>
        </w:rPr>
        <w:t>挥陈孔银及应急指挥部成员到达现场前，由现场应急指挥组指挥应急响应行动；公司应急总指</w:t>
      </w:r>
      <w:r>
        <w:t>挥到达现场后，立即接管现场应急指挥。二级突发事件处置原则：</w:t>
      </w:r>
    </w:p>
    <w:p>
      <w:pPr>
        <w:pStyle w:val="10"/>
        <w:spacing w:before="7" w:line="364" w:lineRule="auto"/>
        <w:ind w:left="240" w:right="237" w:firstLine="480"/>
      </w:pPr>
      <w:r>
        <w:rPr>
          <w:rFonts w:hint="eastAsia" w:ascii="宋体" w:hAnsi="宋体" w:eastAsia="宋体"/>
        </w:rPr>
        <w:t>①</w:t>
      </w:r>
      <w:r>
        <w:rPr>
          <w:spacing w:val="-9"/>
        </w:rPr>
        <w:t>以前期控制为主，同时及时抢救、疏散人员，根据突发事件应急处置程序和处置方案要</w:t>
      </w:r>
      <w:r>
        <w:t>点、危险化学品事故区域划分原则建立警戒线；</w:t>
      </w:r>
    </w:p>
    <w:p>
      <w:pPr>
        <w:pStyle w:val="10"/>
        <w:spacing w:line="306" w:lineRule="exact"/>
        <w:ind w:left="720"/>
      </w:pPr>
      <w:r>
        <w:rPr>
          <w:rFonts w:hint="eastAsia" w:ascii="宋体" w:hAnsi="宋体" w:eastAsia="宋体"/>
        </w:rPr>
        <w:t>②</w:t>
      </w:r>
      <w:r>
        <w:t>各个应急工作组根据本预案的要求，带领本组人员开展相应的应急行动；</w:t>
      </w:r>
    </w:p>
    <w:p>
      <w:pPr>
        <w:pStyle w:val="10"/>
        <w:spacing w:before="160"/>
        <w:ind w:left="720"/>
      </w:pPr>
      <w:r>
        <w:rPr>
          <w:rFonts w:hint="eastAsia" w:ascii="宋体" w:hAnsi="宋体" w:eastAsia="宋体"/>
        </w:rPr>
        <w:t>③</w:t>
      </w:r>
      <w:r>
        <w:t>根据情况启动与相邻单位应急联动；</w:t>
      </w:r>
    </w:p>
    <w:p>
      <w:pPr>
        <w:pStyle w:val="10"/>
        <w:spacing w:before="158" w:line="364" w:lineRule="auto"/>
        <w:ind w:left="240" w:right="237" w:firstLine="480"/>
      </w:pPr>
      <w:r>
        <w:rPr>
          <w:rFonts w:hint="eastAsia" w:ascii="宋体" w:hAnsi="宋体" w:eastAsia="宋体"/>
        </w:rPr>
        <w:t>④</w:t>
      </w:r>
      <w:r>
        <w:t xml:space="preserve">根据事件发展情况，现场应急行动总指挥在 </w:t>
      </w:r>
      <w:r>
        <w:rPr>
          <w:rFonts w:ascii="Times New Roman" w:hAnsi="Times New Roman" w:eastAsia="Times New Roman"/>
        </w:rPr>
        <w:t xml:space="preserve">1 </w:t>
      </w:r>
      <w:r>
        <w:t>个小时内必须向咸宁市生态环境局赤壁市分局汇报情况；</w:t>
      </w:r>
    </w:p>
    <w:p>
      <w:pPr>
        <w:pStyle w:val="10"/>
        <w:spacing w:line="306" w:lineRule="exact"/>
        <w:ind w:left="720"/>
      </w:pPr>
      <w:r>
        <w:rPr>
          <w:rFonts w:hint="eastAsia" w:ascii="宋体" w:hAnsi="宋体" w:eastAsia="宋体"/>
        </w:rPr>
        <w:t>⑤</w:t>
      </w:r>
      <w:r>
        <w:t>在应急处置中应本着</w:t>
      </w:r>
      <w:r>
        <w:rPr>
          <w:rFonts w:ascii="Times New Roman" w:hAnsi="Times New Roman" w:eastAsia="Times New Roman"/>
        </w:rPr>
        <w:t>“</w:t>
      </w:r>
      <w:r>
        <w:t>以人为本、及时控制、及时消除、及时报告</w:t>
      </w:r>
      <w:r>
        <w:rPr>
          <w:rFonts w:ascii="Times New Roman" w:hAnsi="Times New Roman" w:eastAsia="Times New Roman"/>
        </w:rPr>
        <w:t>”</w:t>
      </w:r>
      <w:r>
        <w:t>的原则。</w:t>
      </w:r>
    </w:p>
    <w:p>
      <w:pPr>
        <w:pStyle w:val="23"/>
        <w:numPr>
          <w:ilvl w:val="0"/>
          <w:numId w:val="33"/>
        </w:numPr>
        <w:tabs>
          <w:tab w:val="left" w:pos="1321"/>
        </w:tabs>
        <w:spacing w:before="161"/>
        <w:rPr>
          <w:sz w:val="24"/>
        </w:rPr>
      </w:pPr>
      <w:r>
        <w:rPr>
          <w:sz w:val="24"/>
        </w:rPr>
        <w:t>一级突发环境事件响应</w:t>
      </w:r>
    </w:p>
    <w:p>
      <w:pPr>
        <w:pStyle w:val="10"/>
        <w:spacing w:before="158" w:line="364" w:lineRule="auto"/>
        <w:ind w:left="720" w:right="117"/>
      </w:pPr>
      <w:r>
        <w:rPr>
          <w:spacing w:val="-11"/>
        </w:rPr>
        <w:t>在上级部门到达前，二级应急响应由应急指挥部总指挥负责实施</w:t>
      </w:r>
      <w:r>
        <w:t>（</w:t>
      </w:r>
      <w:r>
        <w:rPr>
          <w:rFonts w:hint="eastAsia"/>
        </w:rPr>
        <w:t>刘智东</w:t>
      </w:r>
      <w:r>
        <w:t>，</w:t>
      </w:r>
      <w:r>
        <w:rPr>
          <w:rFonts w:hint="eastAsia"/>
          <w:szCs w:val="21"/>
        </w:rPr>
        <w:t>13907246986</w:t>
      </w:r>
      <w:r>
        <w:rPr>
          <w:spacing w:val="-120"/>
        </w:rPr>
        <w:t>）</w:t>
      </w:r>
      <w:r>
        <w:rPr>
          <w:spacing w:val="-17"/>
        </w:rPr>
        <w:t>。</w:t>
      </w:r>
      <w:r>
        <w:rPr>
          <w:spacing w:val="-3"/>
        </w:rPr>
        <w:t>当事件确认为一级突发环境事件响应或升级为一级突发环境事件响应时，在公司应急指挥</w:t>
      </w:r>
    </w:p>
    <w:p>
      <w:pPr>
        <w:pStyle w:val="10"/>
        <w:spacing w:line="364" w:lineRule="auto"/>
        <w:ind w:left="240" w:right="237"/>
      </w:pPr>
      <w:r>
        <w:rPr>
          <w:spacing w:val="-8"/>
        </w:rPr>
        <w:t>部成员到达现场前，由现场应急指挥组指挥应急响应行动；公司应急总指挥到达现场后，立即</w:t>
      </w:r>
      <w:r>
        <w:t>接管现场应急指挥。一级突发事件处置原则：</w:t>
      </w:r>
    </w:p>
    <w:p>
      <w:pPr>
        <w:pStyle w:val="10"/>
        <w:spacing w:line="362" w:lineRule="auto"/>
        <w:ind w:left="240" w:right="237" w:firstLine="480"/>
        <w:jc w:val="both"/>
      </w:pPr>
      <w:r>
        <w:rPr>
          <w:rFonts w:hint="eastAsia" w:ascii="宋体" w:hAnsi="宋体" w:eastAsia="宋体"/>
        </w:rPr>
        <w:t>①</w:t>
      </w:r>
      <w:r>
        <w:rPr>
          <w:spacing w:val="-6"/>
        </w:rPr>
        <w:t>应急指挥部除遵循二级突发环境事件响应的要求外，应立即向赤壁市应急管理局、赤壁</w:t>
      </w:r>
      <w:r>
        <w:rPr>
          <w:spacing w:val="-10"/>
        </w:rPr>
        <w:t>市消防大队、咸宁市生态环境局赤壁市分局乃至咸宁市级有关部门请求支援，同时请求咸宁市</w:t>
      </w:r>
      <w:r>
        <w:t>人民政府、赤壁市人民政府启动突发事件应急预案；</w:t>
      </w:r>
    </w:p>
    <w:p>
      <w:pPr>
        <w:pStyle w:val="10"/>
        <w:spacing w:before="6"/>
        <w:ind w:left="720"/>
      </w:pPr>
      <w:r>
        <w:rPr>
          <w:rFonts w:hint="eastAsia" w:ascii="宋体" w:hAnsi="宋体" w:eastAsia="宋体"/>
        </w:rPr>
        <w:t>②</w:t>
      </w:r>
      <w:r>
        <w:t>当上级部门应急指令到达后，公司应急指挥部必须贯彻执行；</w:t>
      </w:r>
    </w:p>
    <w:p>
      <w:pPr>
        <w:pStyle w:val="10"/>
        <w:spacing w:before="158" w:line="364" w:lineRule="auto"/>
        <w:ind w:left="240" w:right="237" w:firstLine="480"/>
      </w:pPr>
      <w:r>
        <w:rPr>
          <w:rFonts w:hint="eastAsia" w:ascii="宋体" w:hAnsi="宋体" w:eastAsia="宋体"/>
        </w:rPr>
        <w:t>③</w:t>
      </w:r>
      <w:r>
        <w:rPr>
          <w:spacing w:val="-8"/>
        </w:rPr>
        <w:t>当上级应急指挥人员到达现场后，公司应急指挥部总指挥应立即报告事件的情况和已采</w:t>
      </w:r>
      <w:r>
        <w:t>取的措施，服从上级应急指挥人员的指挥，积极配合各项应急处置工作。</w:t>
      </w:r>
    </w:p>
    <w:p>
      <w:pPr>
        <w:spacing w:line="364" w:lineRule="auto"/>
        <w:sectPr>
          <w:pgSz w:w="11910" w:h="16840"/>
          <w:pgMar w:top="1360" w:right="840" w:bottom="1180" w:left="840" w:header="882" w:footer="993" w:gutter="0"/>
          <w:cols w:space="720" w:num="1"/>
        </w:sectPr>
      </w:pPr>
    </w:p>
    <w:p>
      <w:pPr>
        <w:pStyle w:val="6"/>
        <w:numPr>
          <w:ilvl w:val="1"/>
          <w:numId w:val="6"/>
        </w:numPr>
        <w:tabs>
          <w:tab w:val="left" w:pos="766"/>
        </w:tabs>
        <w:spacing w:before="66"/>
      </w:pPr>
      <w:bookmarkStart w:id="141" w:name="_bookmark70"/>
      <w:bookmarkEnd w:id="141"/>
      <w:bookmarkStart w:id="142" w:name="6.4_应急处置"/>
      <w:bookmarkEnd w:id="142"/>
      <w:r>
        <w:t>应急处置</w:t>
      </w:r>
    </w:p>
    <w:p>
      <w:pPr>
        <w:pStyle w:val="10"/>
        <w:spacing w:before="6"/>
        <w:rPr>
          <w:b/>
          <w:sz w:val="27"/>
        </w:rPr>
      </w:pPr>
    </w:p>
    <w:p>
      <w:pPr>
        <w:pStyle w:val="23"/>
        <w:numPr>
          <w:ilvl w:val="0"/>
          <w:numId w:val="34"/>
        </w:numPr>
        <w:tabs>
          <w:tab w:val="left" w:pos="1321"/>
        </w:tabs>
        <w:rPr>
          <w:sz w:val="24"/>
        </w:rPr>
      </w:pPr>
      <w:r>
        <w:rPr>
          <w:sz w:val="24"/>
        </w:rPr>
        <w:t>应急处置原则</w:t>
      </w:r>
    </w:p>
    <w:p>
      <w:pPr>
        <w:pStyle w:val="10"/>
        <w:spacing w:before="161" w:line="362" w:lineRule="auto"/>
        <w:ind w:left="240" w:right="237" w:firstLine="480"/>
      </w:pPr>
      <w:r>
        <w:rPr>
          <w:rFonts w:hint="eastAsia" w:ascii="宋体" w:hAnsi="宋体" w:eastAsia="宋体"/>
        </w:rPr>
        <w:t>①</w:t>
      </w:r>
      <w:r>
        <w:rPr>
          <w:spacing w:val="-8"/>
        </w:rPr>
        <w:t>发生突发环境事件后，应急救援人员首先抢救现场受伤人员，要及时把现场中毒、受伤</w:t>
      </w:r>
      <w:r>
        <w:t>人员救出现场。</w:t>
      </w:r>
    </w:p>
    <w:p>
      <w:pPr>
        <w:pStyle w:val="10"/>
        <w:spacing w:before="5"/>
        <w:ind w:left="720"/>
      </w:pPr>
      <w:r>
        <w:rPr>
          <w:rFonts w:hint="eastAsia" w:ascii="宋体" w:hAnsi="宋体" w:eastAsia="宋体"/>
        </w:rPr>
        <w:t>②</w:t>
      </w:r>
      <w:r>
        <w:t>在抢救受伤人员的同时，要及早切断危险源和堵塞泄漏点。</w:t>
      </w:r>
    </w:p>
    <w:p>
      <w:pPr>
        <w:pStyle w:val="10"/>
        <w:spacing w:before="160"/>
        <w:ind w:left="720"/>
      </w:pPr>
      <w:r>
        <w:rPr>
          <w:rFonts w:hint="eastAsia" w:ascii="宋体" w:hAnsi="宋体" w:eastAsia="宋体"/>
        </w:rPr>
        <w:t>③</w:t>
      </w:r>
      <w:r>
        <w:t>及时把可能波及的危险源进行隔离封闭，控制事故的发展趋势。</w:t>
      </w:r>
    </w:p>
    <w:p>
      <w:pPr>
        <w:pStyle w:val="10"/>
        <w:spacing w:before="159" w:line="362" w:lineRule="auto"/>
        <w:ind w:left="240" w:right="237" w:firstLine="480"/>
      </w:pPr>
      <w:r>
        <w:rPr>
          <w:rFonts w:hint="eastAsia" w:ascii="宋体" w:hAnsi="宋体" w:eastAsia="宋体"/>
        </w:rPr>
        <w:t>④</w:t>
      </w:r>
      <w:r>
        <w:rPr>
          <w:spacing w:val="-8"/>
        </w:rPr>
        <w:t>发生突发环境事件时，一定要坚持先自救的原则，及时把事故消灭在初始状态，无力自</w:t>
      </w:r>
      <w:r>
        <w:t>救的要及时上报赤壁市政府或生态环境部门，由赤壁市政府或生态环境部门介入指挥救援。</w:t>
      </w:r>
    </w:p>
    <w:p>
      <w:pPr>
        <w:pStyle w:val="23"/>
        <w:numPr>
          <w:ilvl w:val="0"/>
          <w:numId w:val="34"/>
        </w:numPr>
        <w:tabs>
          <w:tab w:val="left" w:pos="1321"/>
        </w:tabs>
        <w:spacing w:before="4"/>
        <w:rPr>
          <w:sz w:val="24"/>
        </w:rPr>
      </w:pPr>
      <w:r>
        <w:rPr>
          <w:sz w:val="24"/>
        </w:rPr>
        <w:t>应急处置分类</w:t>
      </w:r>
    </w:p>
    <w:p>
      <w:pPr>
        <w:pStyle w:val="10"/>
        <w:spacing w:before="161"/>
        <w:ind w:left="720"/>
      </w:pPr>
      <w:r>
        <w:rPr>
          <w:rFonts w:hint="eastAsia" w:ascii="宋体" w:hAnsi="宋体" w:eastAsia="宋体"/>
        </w:rPr>
        <w:t>①</w:t>
      </w:r>
      <w:r>
        <w:t>火灾爆炸事故应急处置</w:t>
      </w:r>
    </w:p>
    <w:p>
      <w:pPr>
        <w:pStyle w:val="10"/>
        <w:spacing w:before="158"/>
        <w:ind w:left="720"/>
      </w:pPr>
      <w:r>
        <w:rPr>
          <w:rFonts w:hint="eastAsia" w:ascii="宋体" w:hAnsi="宋体" w:eastAsia="宋体"/>
        </w:rPr>
        <w:t>②</w:t>
      </w:r>
      <w:r>
        <w:t>有毒</w:t>
      </w:r>
      <w:r>
        <w:rPr>
          <w:rFonts w:hint="eastAsia"/>
        </w:rPr>
        <w:t>液态</w:t>
      </w:r>
      <w:r>
        <w:t>泄漏事故应急处置</w:t>
      </w:r>
    </w:p>
    <w:p>
      <w:pPr>
        <w:pStyle w:val="10"/>
        <w:spacing w:before="161"/>
        <w:ind w:left="720"/>
      </w:pPr>
      <w:r>
        <w:rPr>
          <w:rFonts w:hint="eastAsia" w:ascii="宋体" w:hAnsi="宋体" w:eastAsia="宋体"/>
        </w:rPr>
        <w:t>③</w:t>
      </w:r>
      <w:r>
        <w:t>废气泄漏事故应急处置</w:t>
      </w:r>
    </w:p>
    <w:p>
      <w:pPr>
        <w:pStyle w:val="10"/>
        <w:spacing w:before="158"/>
        <w:ind w:left="720"/>
      </w:pPr>
      <w:r>
        <w:rPr>
          <w:rFonts w:hint="eastAsia" w:ascii="宋体" w:hAnsi="宋体" w:eastAsia="宋体"/>
        </w:rPr>
        <w:t>④</w:t>
      </w:r>
      <w:r>
        <w:t>危废泄漏事故应急处置</w:t>
      </w:r>
    </w:p>
    <w:p>
      <w:pPr>
        <w:pStyle w:val="10"/>
        <w:spacing w:before="160"/>
        <w:ind w:left="720"/>
      </w:pPr>
      <w:r>
        <w:t>⑤化学品泄漏事故应急处置</w:t>
      </w:r>
    </w:p>
    <w:p>
      <w:pPr>
        <w:pStyle w:val="10"/>
        <w:spacing w:before="158"/>
        <w:ind w:left="720"/>
      </w:pPr>
      <w:r>
        <w:t>⑥废水泄漏事故应急处置</w:t>
      </w:r>
    </w:p>
    <w:p>
      <w:pPr>
        <w:pStyle w:val="10"/>
        <w:spacing w:before="10"/>
      </w:pPr>
    </w:p>
    <w:p>
      <w:pPr>
        <w:pStyle w:val="23"/>
        <w:numPr>
          <w:ilvl w:val="2"/>
          <w:numId w:val="6"/>
        </w:numPr>
        <w:tabs>
          <w:tab w:val="left" w:pos="869"/>
        </w:tabs>
        <w:rPr>
          <w:b/>
          <w:sz w:val="28"/>
        </w:rPr>
      </w:pPr>
      <w:bookmarkStart w:id="143" w:name="6.4.1火灾爆炸事故应急处置"/>
      <w:bookmarkEnd w:id="143"/>
      <w:bookmarkStart w:id="144" w:name="_bookmark71"/>
      <w:bookmarkEnd w:id="144"/>
      <w:r>
        <w:rPr>
          <w:b/>
          <w:sz w:val="28"/>
        </w:rPr>
        <w:t>火灾爆炸事故应急处置</w:t>
      </w:r>
    </w:p>
    <w:p>
      <w:pPr>
        <w:pStyle w:val="10"/>
        <w:spacing w:before="10"/>
        <w:rPr>
          <w:b/>
          <w:sz w:val="32"/>
        </w:rPr>
      </w:pPr>
    </w:p>
    <w:p>
      <w:pPr>
        <w:pStyle w:val="23"/>
        <w:numPr>
          <w:ilvl w:val="0"/>
          <w:numId w:val="35"/>
        </w:numPr>
        <w:tabs>
          <w:tab w:val="left" w:pos="1321"/>
        </w:tabs>
        <w:spacing w:before="1"/>
        <w:rPr>
          <w:sz w:val="24"/>
        </w:rPr>
      </w:pPr>
      <w:r>
        <w:rPr>
          <w:sz w:val="24"/>
        </w:rPr>
        <w:t>信息报告</w:t>
      </w:r>
    </w:p>
    <w:p>
      <w:pPr>
        <w:pStyle w:val="10"/>
        <w:spacing w:before="160" w:line="364" w:lineRule="auto"/>
        <w:ind w:left="240" w:right="235" w:firstLine="480"/>
        <w:jc w:val="both"/>
      </w:pPr>
      <w:r>
        <w:t>发生火灾爆炸事故后，现场人员要立即向部门负责人报告，并上报应急指挥部</w:t>
      </w:r>
      <w:r>
        <w:rPr>
          <w:spacing w:val="4"/>
        </w:rPr>
        <w:t>（</w:t>
      </w:r>
      <w:r>
        <w:rPr>
          <w:spacing w:val="1"/>
        </w:rPr>
        <w:t xml:space="preserve">电话： </w:t>
      </w:r>
      <w:r>
        <w:rPr>
          <w:rFonts w:hint="eastAsia"/>
          <w:szCs w:val="21"/>
        </w:rPr>
        <w:t>13907246986</w:t>
      </w:r>
      <w:r>
        <w:rPr>
          <w:spacing w:val="1"/>
        </w:rPr>
        <w:t>）</w:t>
      </w:r>
      <w:r>
        <w:t>，应急指挥部接到报告后，自下而上逐级报告或救援。如火势继续蔓延，不易</w:t>
      </w:r>
      <w:r>
        <w:rPr>
          <w:spacing w:val="-10"/>
        </w:rPr>
        <w:t xml:space="preserve">控制、迅速报火警 </w:t>
      </w:r>
      <w:r>
        <w:rPr>
          <w:rFonts w:ascii="Times New Roman" w:eastAsia="Times New Roman"/>
          <w:spacing w:val="-4"/>
        </w:rPr>
        <w:t>119</w:t>
      </w:r>
      <w:r>
        <w:rPr>
          <w:spacing w:val="-5"/>
        </w:rPr>
        <w:t>，请求外部支援。本公司制定有安全生产专项应急预案，发生火灾爆炸</w:t>
      </w:r>
      <w:r>
        <w:rPr>
          <w:spacing w:val="-9"/>
        </w:rPr>
        <w:t>时，应急指挥部将适时启动安全生产专项应急预案，并上报赤壁市应急管理局，请求支援，并</w:t>
      </w:r>
      <w:r>
        <w:t>服从上级统一指挥。</w:t>
      </w:r>
    </w:p>
    <w:p>
      <w:pPr>
        <w:pStyle w:val="10"/>
        <w:spacing w:before="3"/>
        <w:ind w:left="720"/>
      </w:pPr>
      <w:r>
        <w:t>报告内容：</w:t>
      </w:r>
    </w:p>
    <w:p>
      <w:pPr>
        <w:pStyle w:val="23"/>
        <w:numPr>
          <w:ilvl w:val="0"/>
          <w:numId w:val="36"/>
        </w:numPr>
        <w:tabs>
          <w:tab w:val="left" w:pos="1081"/>
        </w:tabs>
        <w:spacing w:before="161"/>
        <w:rPr>
          <w:sz w:val="24"/>
        </w:rPr>
      </w:pPr>
      <w:r>
        <w:rPr>
          <w:sz w:val="24"/>
        </w:rPr>
        <w:t>单位发生事故概况；</w:t>
      </w:r>
    </w:p>
    <w:p>
      <w:pPr>
        <w:pStyle w:val="23"/>
        <w:numPr>
          <w:ilvl w:val="0"/>
          <w:numId w:val="36"/>
        </w:numPr>
        <w:tabs>
          <w:tab w:val="left" w:pos="1081"/>
        </w:tabs>
        <w:spacing w:before="160"/>
        <w:rPr>
          <w:sz w:val="24"/>
        </w:rPr>
      </w:pPr>
      <w:r>
        <w:rPr>
          <w:sz w:val="24"/>
        </w:rPr>
        <w:t>事故发生单位、发生地点、时间等；</w:t>
      </w:r>
    </w:p>
    <w:p>
      <w:pPr>
        <w:pStyle w:val="23"/>
        <w:numPr>
          <w:ilvl w:val="0"/>
          <w:numId w:val="36"/>
        </w:numPr>
        <w:tabs>
          <w:tab w:val="left" w:pos="1081"/>
        </w:tabs>
        <w:spacing w:before="161"/>
        <w:rPr>
          <w:sz w:val="24"/>
        </w:rPr>
      </w:pPr>
      <w:r>
        <w:rPr>
          <w:sz w:val="24"/>
        </w:rPr>
        <w:t>事故的简要经过、伤亡情况、伤害程度、涉及范围等；</w:t>
      </w:r>
    </w:p>
    <w:p>
      <w:pPr>
        <w:pStyle w:val="23"/>
        <w:numPr>
          <w:ilvl w:val="0"/>
          <w:numId w:val="36"/>
        </w:numPr>
        <w:tabs>
          <w:tab w:val="left" w:pos="1081"/>
        </w:tabs>
        <w:spacing w:before="160"/>
        <w:rPr>
          <w:sz w:val="24"/>
        </w:rPr>
      </w:pPr>
      <w:r>
        <w:rPr>
          <w:sz w:val="24"/>
        </w:rPr>
        <w:t>事故发生原因的初步判断；</w:t>
      </w:r>
    </w:p>
    <w:p>
      <w:pPr>
        <w:pStyle w:val="23"/>
        <w:numPr>
          <w:ilvl w:val="0"/>
          <w:numId w:val="36"/>
        </w:numPr>
        <w:tabs>
          <w:tab w:val="left" w:pos="1081"/>
        </w:tabs>
        <w:spacing w:before="161"/>
        <w:rPr>
          <w:sz w:val="24"/>
        </w:rPr>
      </w:pPr>
      <w:r>
        <w:rPr>
          <w:sz w:val="24"/>
        </w:rPr>
        <w:t>事故发生后已采取的措施及当前事故抢险情况等。</w:t>
      </w:r>
    </w:p>
    <w:p>
      <w:pPr>
        <w:rPr>
          <w:sz w:val="24"/>
        </w:rPr>
        <w:sectPr>
          <w:pgSz w:w="11910" w:h="16840"/>
          <w:pgMar w:top="1360" w:right="840" w:bottom="1180" w:left="840" w:header="882" w:footer="993" w:gutter="0"/>
          <w:cols w:space="720" w:num="1"/>
        </w:sectPr>
      </w:pPr>
    </w:p>
    <w:p>
      <w:pPr>
        <w:pStyle w:val="23"/>
        <w:numPr>
          <w:ilvl w:val="0"/>
          <w:numId w:val="35"/>
        </w:numPr>
        <w:tabs>
          <w:tab w:val="left" w:pos="1321"/>
        </w:tabs>
        <w:spacing w:before="143"/>
        <w:rPr>
          <w:sz w:val="24"/>
        </w:rPr>
      </w:pPr>
      <w:r>
        <w:rPr>
          <w:sz w:val="24"/>
        </w:rPr>
        <w:t>处置措施</w:t>
      </w:r>
    </w:p>
    <w:p>
      <w:pPr>
        <w:pStyle w:val="23"/>
        <w:numPr>
          <w:ilvl w:val="0"/>
          <w:numId w:val="37"/>
        </w:numPr>
        <w:tabs>
          <w:tab w:val="left" w:pos="1081"/>
        </w:tabs>
        <w:spacing w:before="160" w:line="364" w:lineRule="auto"/>
        <w:ind w:right="145" w:firstLine="480"/>
        <w:rPr>
          <w:sz w:val="24"/>
        </w:rPr>
      </w:pPr>
      <w:r>
        <w:rPr>
          <w:sz w:val="24"/>
        </w:rPr>
        <w:t>事故发生部门应当立即组织开展现场急救工作，同时上报事故信息，请求应急救援。</w:t>
      </w:r>
      <w:r>
        <w:rPr>
          <w:spacing w:val="-5"/>
          <w:sz w:val="24"/>
        </w:rPr>
        <w:t>应急指挥部接到报警后立即启动应急预案，应急指挥部办公室、应急指挥部办公室通知各应急</w:t>
      </w:r>
      <w:r>
        <w:rPr>
          <w:spacing w:val="-6"/>
          <w:sz w:val="24"/>
        </w:rPr>
        <w:t>小组赶赴现场，发生事故部门应积极开展自救、互救。根据现场危害程度和具体情况，疏散、</w:t>
      </w:r>
      <w:r>
        <w:rPr>
          <w:sz w:val="24"/>
        </w:rPr>
        <w:t>撤离可能受到事故波及的人员；</w:t>
      </w:r>
    </w:p>
    <w:p>
      <w:pPr>
        <w:pStyle w:val="23"/>
        <w:numPr>
          <w:ilvl w:val="0"/>
          <w:numId w:val="37"/>
        </w:numPr>
        <w:tabs>
          <w:tab w:val="left" w:pos="1081"/>
        </w:tabs>
        <w:spacing w:before="3" w:line="364" w:lineRule="auto"/>
        <w:ind w:right="117" w:firstLine="480"/>
        <w:rPr>
          <w:sz w:val="24"/>
        </w:rPr>
      </w:pPr>
      <w:r>
        <w:rPr>
          <w:sz w:val="24"/>
        </w:rPr>
        <w:t>疏散救援组组织人员迅速离开危险源，保护现场。及时标明危险区域，彻底隔离危险</w:t>
      </w:r>
      <w:r>
        <w:rPr>
          <w:spacing w:val="-16"/>
          <w:sz w:val="24"/>
        </w:rPr>
        <w:t xml:space="preserve">源，封锁危险场所，设置警戒线，划定警戒区，必要时实行其他控制措施，防止无关人员进入， </w:t>
      </w:r>
      <w:r>
        <w:rPr>
          <w:spacing w:val="-5"/>
          <w:sz w:val="24"/>
        </w:rPr>
        <w:t>为其他人员应急救援工作创造安全的救援环境。切断相关部位电源，立即组织人员转移易燃物料，堵塞泄漏物料，防止次生、衍生事件的发生，尽快回复生产和社会秩序；</w:t>
      </w:r>
    </w:p>
    <w:p>
      <w:pPr>
        <w:pStyle w:val="23"/>
        <w:numPr>
          <w:ilvl w:val="0"/>
          <w:numId w:val="37"/>
        </w:numPr>
        <w:tabs>
          <w:tab w:val="left" w:pos="1081"/>
        </w:tabs>
        <w:spacing w:before="2" w:line="364" w:lineRule="auto"/>
        <w:ind w:right="237" w:firstLine="480"/>
        <w:jc w:val="both"/>
        <w:rPr>
          <w:sz w:val="24"/>
        </w:rPr>
      </w:pPr>
      <w:r>
        <w:rPr>
          <w:spacing w:val="-1"/>
          <w:sz w:val="24"/>
        </w:rPr>
        <w:t>现场应急指挥部根据事故发生部门现场的情况，决定是否启动安全生产专项预案。当</w:t>
      </w:r>
      <w:r>
        <w:rPr>
          <w:spacing w:val="-7"/>
          <w:sz w:val="24"/>
        </w:rPr>
        <w:t>启动专项预案或事故扩大时，应立即向当地政府相关部门报告，并请求支援。根据职责分工安</w:t>
      </w:r>
      <w:r>
        <w:rPr>
          <w:sz w:val="24"/>
        </w:rPr>
        <w:t>排有关人员做好应急救护人员的引导；</w:t>
      </w:r>
    </w:p>
    <w:p>
      <w:pPr>
        <w:pStyle w:val="23"/>
        <w:numPr>
          <w:ilvl w:val="0"/>
          <w:numId w:val="37"/>
        </w:numPr>
        <w:tabs>
          <w:tab w:val="left" w:pos="1081"/>
        </w:tabs>
        <w:spacing w:before="2" w:line="364" w:lineRule="auto"/>
        <w:ind w:right="240" w:firstLine="480"/>
        <w:rPr>
          <w:sz w:val="24"/>
        </w:rPr>
      </w:pPr>
      <w:r>
        <w:rPr>
          <w:spacing w:val="-1"/>
          <w:sz w:val="24"/>
        </w:rPr>
        <w:t xml:space="preserve">医疗后勤组应当立即调集救援物资和医疗物资，采取措施开展现场急救工作，同时， </w:t>
      </w:r>
      <w:r>
        <w:rPr>
          <w:sz w:val="24"/>
        </w:rPr>
        <w:t>提出下一步医疗的建议；</w:t>
      </w:r>
    </w:p>
    <w:p>
      <w:pPr>
        <w:pStyle w:val="23"/>
        <w:numPr>
          <w:ilvl w:val="0"/>
          <w:numId w:val="37"/>
        </w:numPr>
        <w:tabs>
          <w:tab w:val="left" w:pos="1081"/>
        </w:tabs>
        <w:spacing w:before="1" w:line="364" w:lineRule="auto"/>
        <w:ind w:right="115" w:firstLine="480"/>
        <w:rPr>
          <w:sz w:val="24"/>
        </w:rPr>
      </w:pPr>
      <w:r>
        <w:rPr>
          <w:spacing w:val="-6"/>
          <w:sz w:val="24"/>
        </w:rPr>
        <w:t xml:space="preserve">在应急状态下，各部门应当调动一切力量和应急资源，努力控制、降低人员伤亡程度 </w:t>
      </w:r>
      <w:r>
        <w:rPr>
          <w:spacing w:val="-4"/>
          <w:sz w:val="24"/>
        </w:rPr>
        <w:t>，事故得到控制后，应当立即开展事故调查，为尽快事故恢复创造条件；</w:t>
      </w:r>
    </w:p>
    <w:p>
      <w:pPr>
        <w:pStyle w:val="23"/>
        <w:numPr>
          <w:ilvl w:val="0"/>
          <w:numId w:val="37"/>
        </w:numPr>
        <w:tabs>
          <w:tab w:val="left" w:pos="1081"/>
        </w:tabs>
        <w:spacing w:before="1" w:line="364" w:lineRule="auto"/>
        <w:ind w:right="117" w:firstLine="480"/>
        <w:rPr>
          <w:sz w:val="24"/>
        </w:rPr>
      </w:pPr>
      <w:r>
        <w:rPr>
          <w:spacing w:val="-4"/>
          <w:sz w:val="24"/>
        </w:rPr>
        <w:t>当事故有可能出现扩大的苗头时，应急指挥部应当及时向政府有关部门请求社会支援，上级部门到达后上交指挥权并服从指挥；</w:t>
      </w:r>
    </w:p>
    <w:p>
      <w:pPr>
        <w:pStyle w:val="23"/>
        <w:numPr>
          <w:ilvl w:val="0"/>
          <w:numId w:val="37"/>
        </w:numPr>
        <w:tabs>
          <w:tab w:val="left" w:pos="1081"/>
        </w:tabs>
        <w:spacing w:before="1" w:line="364" w:lineRule="auto"/>
        <w:ind w:right="117" w:firstLine="480"/>
        <w:rPr>
          <w:sz w:val="24"/>
        </w:rPr>
      </w:pPr>
      <w:r>
        <w:rPr>
          <w:sz w:val="24"/>
        </w:rPr>
        <w:t xml:space="preserve">在同时满足人员伤亡情况得到救护与控制；事故隐患得到消除，防范措施得到落实； </w:t>
      </w:r>
      <w:r>
        <w:rPr>
          <w:spacing w:val="-16"/>
          <w:sz w:val="24"/>
        </w:rPr>
        <w:t>应受教育者受到教育，事故责任者受到责任追究后，应急指挥部经研究决定宣布终止应急状态。</w:t>
      </w:r>
    </w:p>
    <w:p>
      <w:pPr>
        <w:pStyle w:val="23"/>
        <w:numPr>
          <w:ilvl w:val="0"/>
          <w:numId w:val="37"/>
        </w:numPr>
        <w:tabs>
          <w:tab w:val="left" w:pos="1081"/>
        </w:tabs>
        <w:spacing w:before="2"/>
        <w:ind w:left="1081"/>
        <w:rPr>
          <w:sz w:val="24"/>
        </w:rPr>
      </w:pPr>
      <w:r>
        <w:rPr>
          <w:sz w:val="24"/>
        </w:rPr>
        <w:t>救援中所有产生的废水排入事故应急池暂存，作为污水进行处理。</w:t>
      </w:r>
    </w:p>
    <w:p>
      <w:pPr>
        <w:pStyle w:val="23"/>
        <w:numPr>
          <w:ilvl w:val="0"/>
          <w:numId w:val="35"/>
        </w:numPr>
        <w:tabs>
          <w:tab w:val="left" w:pos="1321"/>
        </w:tabs>
        <w:spacing w:before="160"/>
        <w:rPr>
          <w:sz w:val="24"/>
        </w:rPr>
      </w:pPr>
      <w:r>
        <w:rPr>
          <w:sz w:val="24"/>
        </w:rPr>
        <w:t>应急物资与装备保障</w:t>
      </w:r>
    </w:p>
    <w:p>
      <w:pPr>
        <w:pStyle w:val="10"/>
        <w:spacing w:before="161" w:line="364" w:lineRule="auto"/>
        <w:ind w:left="240" w:right="115" w:firstLine="480"/>
        <w:jc w:val="both"/>
      </w:pPr>
      <w:r>
        <w:rPr>
          <w:spacing w:val="-14"/>
        </w:rPr>
        <w:t xml:space="preserve">火灾爆炸发生时，医疗后勤组应及时调用应急所需的装备：消防物资如灭火器、消防沙等， </w:t>
      </w:r>
      <w:r>
        <w:t>医疗救护设备如药箱、车辆等，防护物资如防护手套等，警戒疏散物资如指示牌、警戒线等， 以及水泵、电工常用工具等其他设备。</w:t>
      </w:r>
    </w:p>
    <w:p>
      <w:pPr>
        <w:pStyle w:val="23"/>
        <w:numPr>
          <w:ilvl w:val="0"/>
          <w:numId w:val="35"/>
        </w:numPr>
        <w:tabs>
          <w:tab w:val="left" w:pos="1321"/>
        </w:tabs>
        <w:spacing w:before="1"/>
        <w:rPr>
          <w:sz w:val="24"/>
        </w:rPr>
      </w:pPr>
      <w:r>
        <w:rPr>
          <w:sz w:val="24"/>
        </w:rPr>
        <w:t>人员疏散</w:t>
      </w:r>
    </w:p>
    <w:p>
      <w:pPr>
        <w:pStyle w:val="23"/>
        <w:numPr>
          <w:ilvl w:val="0"/>
          <w:numId w:val="38"/>
        </w:numPr>
        <w:tabs>
          <w:tab w:val="left" w:pos="1081"/>
        </w:tabs>
        <w:spacing w:before="161" w:line="364" w:lineRule="auto"/>
        <w:ind w:right="237" w:firstLine="480"/>
        <w:rPr>
          <w:sz w:val="24"/>
        </w:rPr>
      </w:pPr>
      <w:r>
        <w:rPr>
          <w:spacing w:val="-2"/>
          <w:sz w:val="24"/>
        </w:rPr>
        <w:t>人员疏散由疏散救援组统一进行组织，明确下达</w:t>
      </w:r>
      <w:r>
        <w:rPr>
          <w:rFonts w:ascii="Times New Roman" w:hAnsi="Times New Roman" w:eastAsia="Times New Roman"/>
          <w:sz w:val="24"/>
        </w:rPr>
        <w:t>“</w:t>
      </w:r>
      <w:r>
        <w:rPr>
          <w:spacing w:val="-2"/>
          <w:sz w:val="24"/>
        </w:rPr>
        <w:t xml:space="preserve">什么原因导致什么位置火灾爆炸， </w:t>
      </w:r>
      <w:r>
        <w:rPr>
          <w:spacing w:val="-4"/>
          <w:sz w:val="24"/>
        </w:rPr>
        <w:t>通过什么通道向什么区域疏散，到什么地方集结</w:t>
      </w:r>
      <w:r>
        <w:rPr>
          <w:rFonts w:ascii="Times New Roman" w:hAnsi="Times New Roman" w:eastAsia="Times New Roman"/>
          <w:sz w:val="24"/>
        </w:rPr>
        <w:t>”</w:t>
      </w:r>
      <w:r>
        <w:rPr>
          <w:sz w:val="24"/>
        </w:rPr>
        <w:t>指令。</w:t>
      </w:r>
    </w:p>
    <w:p>
      <w:pPr>
        <w:pStyle w:val="23"/>
        <w:numPr>
          <w:ilvl w:val="0"/>
          <w:numId w:val="38"/>
        </w:numPr>
        <w:tabs>
          <w:tab w:val="left" w:pos="1081"/>
        </w:tabs>
        <w:spacing w:before="1"/>
        <w:ind w:left="1081"/>
        <w:rPr>
          <w:sz w:val="24"/>
        </w:rPr>
      </w:pPr>
      <w:r>
        <w:rPr>
          <w:spacing w:val="-5"/>
          <w:sz w:val="24"/>
        </w:rPr>
        <w:t>疏散顺序原则是先危险后一般、先人员后财物、先火灾爆炸区后外围、先通道后房间、</w:t>
      </w:r>
    </w:p>
    <w:p>
      <w:pPr>
        <w:rPr>
          <w:sz w:val="24"/>
        </w:rPr>
        <w:sectPr>
          <w:footerReference r:id="rId12" w:type="default"/>
          <w:pgSz w:w="11910" w:h="16840"/>
          <w:pgMar w:top="1360" w:right="840" w:bottom="1180" w:left="840" w:header="882" w:footer="993" w:gutter="0"/>
          <w:pgNumType w:start="40"/>
          <w:cols w:space="720" w:num="1"/>
        </w:sectPr>
      </w:pPr>
    </w:p>
    <w:p>
      <w:pPr>
        <w:pStyle w:val="10"/>
        <w:spacing w:before="143"/>
        <w:ind w:left="240"/>
      </w:pPr>
      <w:r>
        <w:t>先出口后内部。</w:t>
      </w:r>
    </w:p>
    <w:p>
      <w:pPr>
        <w:pStyle w:val="23"/>
        <w:numPr>
          <w:ilvl w:val="0"/>
          <w:numId w:val="38"/>
        </w:numPr>
        <w:tabs>
          <w:tab w:val="left" w:pos="1081"/>
        </w:tabs>
        <w:spacing w:before="160" w:line="364" w:lineRule="auto"/>
        <w:ind w:right="237" w:firstLine="480"/>
        <w:rPr>
          <w:sz w:val="24"/>
        </w:rPr>
      </w:pPr>
      <w:r>
        <w:rPr>
          <w:spacing w:val="-1"/>
          <w:sz w:val="24"/>
        </w:rPr>
        <w:t>在疏散路径上指定人员组织引导、指示出口，并适当控制流量，在出口处安排专人指</w:t>
      </w:r>
      <w:r>
        <w:rPr>
          <w:sz w:val="24"/>
        </w:rPr>
        <w:t>示集结方向，疏散人员不准中途停留或者返回。</w:t>
      </w:r>
    </w:p>
    <w:p>
      <w:pPr>
        <w:pStyle w:val="23"/>
        <w:numPr>
          <w:ilvl w:val="0"/>
          <w:numId w:val="38"/>
        </w:numPr>
        <w:tabs>
          <w:tab w:val="left" w:pos="1081"/>
        </w:tabs>
        <w:spacing w:before="1" w:line="364" w:lineRule="auto"/>
        <w:ind w:right="237" w:firstLine="480"/>
        <w:rPr>
          <w:sz w:val="24"/>
        </w:rPr>
      </w:pPr>
      <w:r>
        <w:rPr>
          <w:sz w:val="24"/>
        </w:rPr>
        <w:t>设备</w:t>
      </w:r>
      <w:r>
        <w:rPr>
          <w:rFonts w:ascii="Times New Roman" w:eastAsia="Times New Roman"/>
          <w:sz w:val="24"/>
        </w:rPr>
        <w:t>/</w:t>
      </w:r>
      <w:r>
        <w:rPr>
          <w:spacing w:val="-4"/>
          <w:sz w:val="24"/>
        </w:rPr>
        <w:t>装置使用人在撤离前，利用最短的时间，关闭该区域内可能会引起更大事故的电</w:t>
      </w:r>
      <w:r>
        <w:rPr>
          <w:sz w:val="24"/>
        </w:rPr>
        <w:t>源和管道阀门等。</w:t>
      </w:r>
    </w:p>
    <w:p>
      <w:pPr>
        <w:pStyle w:val="23"/>
        <w:numPr>
          <w:ilvl w:val="0"/>
          <w:numId w:val="38"/>
        </w:numPr>
        <w:tabs>
          <w:tab w:val="left" w:pos="1081"/>
        </w:tabs>
        <w:spacing w:before="2" w:line="364" w:lineRule="auto"/>
        <w:ind w:right="237" w:firstLine="480"/>
        <w:rPr>
          <w:sz w:val="24"/>
        </w:rPr>
      </w:pPr>
      <w:r>
        <w:rPr>
          <w:spacing w:val="-1"/>
          <w:sz w:val="24"/>
        </w:rPr>
        <w:t>人员在安全地点以部门为单位进行集合，由部门在场职位最高人员清点人数，并向现</w:t>
      </w:r>
      <w:r>
        <w:rPr>
          <w:sz w:val="24"/>
        </w:rPr>
        <w:t>场指挥部报告人员情况。若发现缺员，应报告所缺人员的姓名和事故前所处位置等。</w:t>
      </w:r>
    </w:p>
    <w:p>
      <w:pPr>
        <w:pStyle w:val="23"/>
        <w:numPr>
          <w:ilvl w:val="0"/>
          <w:numId w:val="38"/>
        </w:numPr>
        <w:tabs>
          <w:tab w:val="left" w:pos="1081"/>
        </w:tabs>
        <w:spacing w:before="1" w:line="364" w:lineRule="auto"/>
        <w:ind w:right="117" w:firstLine="480"/>
        <w:rPr>
          <w:sz w:val="24"/>
        </w:rPr>
      </w:pPr>
      <w:r>
        <w:rPr>
          <w:spacing w:val="-4"/>
          <w:sz w:val="24"/>
        </w:rPr>
        <w:t>当事故危急周边单位或社区时，现场指挥部直接联系当地政府主管部门以及周边单位、社区负责人发布消息，提出要求组织撤离疏散或者请求援助。</w:t>
      </w:r>
    </w:p>
    <w:p>
      <w:pPr>
        <w:pStyle w:val="23"/>
        <w:numPr>
          <w:ilvl w:val="0"/>
          <w:numId w:val="35"/>
        </w:numPr>
        <w:tabs>
          <w:tab w:val="left" w:pos="1321"/>
        </w:tabs>
        <w:spacing w:before="1"/>
        <w:rPr>
          <w:sz w:val="24"/>
        </w:rPr>
      </w:pPr>
      <w:r>
        <w:rPr>
          <w:sz w:val="24"/>
        </w:rPr>
        <w:t>伤员救护</w:t>
      </w:r>
    </w:p>
    <w:p>
      <w:pPr>
        <w:pStyle w:val="10"/>
        <w:spacing w:before="161"/>
        <w:ind w:left="720"/>
      </w:pPr>
      <w:r>
        <w:rPr>
          <w:rFonts w:ascii="Times New Roman" w:eastAsia="Times New Roman"/>
        </w:rPr>
        <w:t>1</w:t>
      </w:r>
      <w:r>
        <w:t>）伤员救护主要由医疗后勤组负责。</w:t>
      </w:r>
    </w:p>
    <w:p>
      <w:pPr>
        <w:pStyle w:val="23"/>
        <w:numPr>
          <w:ilvl w:val="0"/>
          <w:numId w:val="39"/>
        </w:numPr>
        <w:tabs>
          <w:tab w:val="left" w:pos="1081"/>
        </w:tabs>
        <w:spacing w:before="160"/>
        <w:rPr>
          <w:sz w:val="24"/>
        </w:rPr>
      </w:pPr>
      <w:r>
        <w:rPr>
          <w:sz w:val="24"/>
        </w:rPr>
        <w:t>将伤者迅速撤离现场，转移到上风或侧上风方向空气无污染地区；</w:t>
      </w:r>
    </w:p>
    <w:p>
      <w:pPr>
        <w:pStyle w:val="23"/>
        <w:numPr>
          <w:ilvl w:val="0"/>
          <w:numId w:val="39"/>
        </w:numPr>
        <w:tabs>
          <w:tab w:val="left" w:pos="1081"/>
        </w:tabs>
        <w:spacing w:before="161" w:line="364" w:lineRule="auto"/>
        <w:ind w:left="240" w:right="237" w:firstLine="480"/>
        <w:rPr>
          <w:sz w:val="24"/>
        </w:rPr>
      </w:pPr>
      <w:r>
        <w:rPr>
          <w:spacing w:val="-1"/>
          <w:sz w:val="24"/>
        </w:rPr>
        <w:t>对呼吸、心跳停止者，立即进行人工呼吸和心脏挤压，采取心肺复苏措施，并给予氧</w:t>
      </w:r>
      <w:r>
        <w:rPr>
          <w:sz w:val="24"/>
        </w:rPr>
        <w:t>气；</w:t>
      </w:r>
    </w:p>
    <w:p>
      <w:pPr>
        <w:pStyle w:val="23"/>
        <w:numPr>
          <w:ilvl w:val="0"/>
          <w:numId w:val="39"/>
        </w:numPr>
        <w:tabs>
          <w:tab w:val="left" w:pos="1081"/>
        </w:tabs>
        <w:spacing w:before="1" w:line="364" w:lineRule="auto"/>
        <w:ind w:left="240" w:right="237" w:firstLine="480"/>
        <w:rPr>
          <w:sz w:val="24"/>
        </w:rPr>
      </w:pPr>
      <w:r>
        <w:rPr>
          <w:spacing w:val="-1"/>
          <w:sz w:val="24"/>
        </w:rPr>
        <w:t>脱去被染污者的服装；皮肤污染者，用流动清水或肥皂水彻底冲洗；眼睛污染者，用</w:t>
      </w:r>
      <w:r>
        <w:rPr>
          <w:sz w:val="24"/>
        </w:rPr>
        <w:t>大量流动清水彻底冲洗；</w:t>
      </w:r>
    </w:p>
    <w:p>
      <w:pPr>
        <w:pStyle w:val="23"/>
        <w:numPr>
          <w:ilvl w:val="0"/>
          <w:numId w:val="39"/>
        </w:numPr>
        <w:tabs>
          <w:tab w:val="left" w:pos="1081"/>
        </w:tabs>
        <w:spacing w:before="1"/>
        <w:rPr>
          <w:sz w:val="24"/>
        </w:rPr>
      </w:pPr>
      <w:r>
        <w:rPr>
          <w:sz w:val="24"/>
        </w:rPr>
        <w:t>使用特效药物治疗；严重者送医院观察治疗。</w:t>
      </w:r>
    </w:p>
    <w:p>
      <w:pPr>
        <w:pStyle w:val="10"/>
        <w:spacing w:before="7"/>
        <w:rPr>
          <w:sz w:val="18"/>
        </w:rPr>
      </w:pPr>
    </w:p>
    <w:p>
      <w:pPr>
        <w:pStyle w:val="23"/>
        <w:numPr>
          <w:ilvl w:val="2"/>
          <w:numId w:val="6"/>
        </w:numPr>
        <w:tabs>
          <w:tab w:val="left" w:pos="869"/>
        </w:tabs>
        <w:rPr>
          <w:b/>
          <w:sz w:val="28"/>
        </w:rPr>
      </w:pPr>
      <w:bookmarkStart w:id="145" w:name="6.4.2有毒气体泄漏事故应急处置"/>
      <w:bookmarkEnd w:id="145"/>
      <w:bookmarkStart w:id="146" w:name="_bookmark72"/>
      <w:bookmarkEnd w:id="146"/>
      <w:r>
        <w:rPr>
          <w:b/>
          <w:sz w:val="28"/>
        </w:rPr>
        <w:t>有毒</w:t>
      </w:r>
      <w:r>
        <w:rPr>
          <w:rFonts w:hint="eastAsia"/>
          <w:b/>
          <w:sz w:val="28"/>
        </w:rPr>
        <w:t>液态</w:t>
      </w:r>
      <w:r>
        <w:rPr>
          <w:b/>
          <w:sz w:val="28"/>
        </w:rPr>
        <w:t>泄漏事故应急处置</w:t>
      </w:r>
    </w:p>
    <w:p>
      <w:pPr>
        <w:pStyle w:val="10"/>
        <w:spacing w:before="11"/>
        <w:rPr>
          <w:b/>
          <w:sz w:val="32"/>
        </w:rPr>
      </w:pPr>
    </w:p>
    <w:p>
      <w:pPr>
        <w:pStyle w:val="23"/>
        <w:numPr>
          <w:ilvl w:val="0"/>
          <w:numId w:val="40"/>
        </w:numPr>
        <w:tabs>
          <w:tab w:val="left" w:pos="1321"/>
        </w:tabs>
        <w:rPr>
          <w:sz w:val="24"/>
        </w:rPr>
      </w:pPr>
      <w:r>
        <w:rPr>
          <w:sz w:val="24"/>
        </w:rPr>
        <w:t>信息报告</w:t>
      </w:r>
    </w:p>
    <w:p>
      <w:pPr>
        <w:pStyle w:val="10"/>
        <w:spacing w:before="160" w:line="364" w:lineRule="auto"/>
        <w:ind w:left="240" w:right="115" w:firstLine="480"/>
      </w:pPr>
      <w:r>
        <w:rPr>
          <w:spacing w:val="-12"/>
        </w:rPr>
        <w:t>发生有毒</w:t>
      </w:r>
      <w:r>
        <w:rPr>
          <w:rFonts w:hint="eastAsia"/>
          <w:spacing w:val="-12"/>
        </w:rPr>
        <w:t>液态</w:t>
      </w:r>
      <w:r>
        <w:rPr>
          <w:spacing w:val="-12"/>
        </w:rPr>
        <w:t>泄漏事故后，现场人员要立即向部门负责人报告，并上报应急指挥部</w:t>
      </w:r>
      <w:r>
        <w:rPr>
          <w:spacing w:val="-3"/>
        </w:rPr>
        <w:t>（</w:t>
      </w:r>
      <w:r>
        <w:rPr>
          <w:spacing w:val="-5"/>
        </w:rPr>
        <w:t xml:space="preserve">电话： </w:t>
      </w:r>
      <w:r>
        <w:rPr>
          <w:rFonts w:hint="eastAsia"/>
          <w:szCs w:val="21"/>
        </w:rPr>
        <w:t>13907246986</w:t>
      </w:r>
      <w:r>
        <w:t>），应急指挥部接到报告后，自下而上逐级报告或救援。如有毒</w:t>
      </w:r>
      <w:r>
        <w:rPr>
          <w:rFonts w:hint="eastAsia"/>
        </w:rPr>
        <w:t>液态</w:t>
      </w:r>
      <w:r>
        <w:t>泄漏不易控</w:t>
      </w:r>
      <w:r>
        <w:rPr>
          <w:spacing w:val="-8"/>
        </w:rPr>
        <w:t xml:space="preserve">制、引发火灾爆炸，应迅速报火警 </w:t>
      </w:r>
      <w:r>
        <w:rPr>
          <w:rFonts w:ascii="Times New Roman" w:eastAsia="Times New Roman"/>
          <w:spacing w:val="-4"/>
        </w:rPr>
        <w:t>119</w:t>
      </w:r>
      <w:r>
        <w:rPr>
          <w:spacing w:val="-3"/>
        </w:rPr>
        <w:t>，请求外部支援。发生有毒</w:t>
      </w:r>
      <w:r>
        <w:rPr>
          <w:rFonts w:hint="eastAsia"/>
          <w:spacing w:val="-3"/>
        </w:rPr>
        <w:t>液态</w:t>
      </w:r>
      <w:r>
        <w:rPr>
          <w:spacing w:val="-3"/>
        </w:rPr>
        <w:t>泄漏和泄漏引发的火灾</w:t>
      </w:r>
      <w:r>
        <w:rPr>
          <w:spacing w:val="-9"/>
        </w:rPr>
        <w:t>爆炸时，应急指挥部将适时启动公司安全生产专项应急预案，并上报赤壁市生态环境、应急管理部门，请求支援，并服从上级统一指挥。</w:t>
      </w:r>
    </w:p>
    <w:p>
      <w:pPr>
        <w:pStyle w:val="10"/>
        <w:spacing w:before="3"/>
        <w:ind w:left="720"/>
      </w:pPr>
      <w:r>
        <w:t>报告内容：</w:t>
      </w:r>
    </w:p>
    <w:p>
      <w:pPr>
        <w:pStyle w:val="23"/>
        <w:numPr>
          <w:ilvl w:val="0"/>
          <w:numId w:val="41"/>
        </w:numPr>
        <w:tabs>
          <w:tab w:val="left" w:pos="1081"/>
        </w:tabs>
        <w:spacing w:before="161"/>
        <w:rPr>
          <w:sz w:val="24"/>
        </w:rPr>
      </w:pPr>
      <w:r>
        <w:rPr>
          <w:sz w:val="24"/>
        </w:rPr>
        <w:t>事故概况包括发生单位、时间、地点；</w:t>
      </w:r>
    </w:p>
    <w:p>
      <w:pPr>
        <w:pStyle w:val="23"/>
        <w:numPr>
          <w:ilvl w:val="0"/>
          <w:numId w:val="41"/>
        </w:numPr>
        <w:tabs>
          <w:tab w:val="left" w:pos="1081"/>
        </w:tabs>
        <w:spacing w:before="160"/>
        <w:rPr>
          <w:sz w:val="24"/>
        </w:rPr>
      </w:pPr>
      <w:r>
        <w:rPr>
          <w:sz w:val="24"/>
        </w:rPr>
        <w:t>泄漏的有毒</w:t>
      </w:r>
      <w:r>
        <w:rPr>
          <w:rFonts w:hint="eastAsia"/>
          <w:sz w:val="24"/>
        </w:rPr>
        <w:t>液态</w:t>
      </w:r>
      <w:r>
        <w:rPr>
          <w:sz w:val="24"/>
        </w:rPr>
        <w:t>种类、位置、数量；</w:t>
      </w:r>
    </w:p>
    <w:p>
      <w:pPr>
        <w:pStyle w:val="23"/>
        <w:numPr>
          <w:ilvl w:val="0"/>
          <w:numId w:val="41"/>
        </w:numPr>
        <w:tabs>
          <w:tab w:val="left" w:pos="1081"/>
        </w:tabs>
        <w:spacing w:before="161"/>
        <w:rPr>
          <w:sz w:val="24"/>
        </w:rPr>
      </w:pPr>
      <w:r>
        <w:rPr>
          <w:sz w:val="24"/>
        </w:rPr>
        <w:t>事故的简要经过、伤亡情况、伤害程度、涉及范围等；</w:t>
      </w:r>
    </w:p>
    <w:p>
      <w:pPr>
        <w:pStyle w:val="23"/>
        <w:numPr>
          <w:ilvl w:val="0"/>
          <w:numId w:val="41"/>
        </w:numPr>
        <w:tabs>
          <w:tab w:val="left" w:pos="1081"/>
        </w:tabs>
        <w:spacing w:before="160"/>
        <w:rPr>
          <w:sz w:val="24"/>
        </w:rPr>
      </w:pPr>
      <w:r>
        <w:rPr>
          <w:sz w:val="24"/>
        </w:rPr>
        <w:t>事故发生原因的初步判断；</w:t>
      </w:r>
    </w:p>
    <w:p>
      <w:pPr>
        <w:rPr>
          <w:sz w:val="24"/>
        </w:rPr>
        <w:sectPr>
          <w:pgSz w:w="11910" w:h="16840"/>
          <w:pgMar w:top="1360" w:right="840" w:bottom="1180" w:left="840" w:header="882" w:footer="993" w:gutter="0"/>
          <w:cols w:space="720" w:num="1"/>
        </w:sectPr>
      </w:pPr>
    </w:p>
    <w:p>
      <w:pPr>
        <w:pStyle w:val="23"/>
        <w:numPr>
          <w:ilvl w:val="0"/>
          <w:numId w:val="41"/>
        </w:numPr>
        <w:tabs>
          <w:tab w:val="left" w:pos="1081"/>
        </w:tabs>
        <w:spacing w:before="143"/>
        <w:rPr>
          <w:sz w:val="24"/>
        </w:rPr>
      </w:pPr>
      <w:r>
        <w:rPr>
          <w:sz w:val="24"/>
        </w:rPr>
        <w:t>事故发生后已采取的措施及当前事故抢险情况等。</w:t>
      </w:r>
    </w:p>
    <w:p>
      <w:pPr>
        <w:pStyle w:val="23"/>
        <w:numPr>
          <w:ilvl w:val="0"/>
          <w:numId w:val="40"/>
        </w:numPr>
        <w:tabs>
          <w:tab w:val="left" w:pos="1321"/>
        </w:tabs>
        <w:spacing w:before="160"/>
        <w:rPr>
          <w:sz w:val="24"/>
        </w:rPr>
      </w:pPr>
      <w:r>
        <w:rPr>
          <w:sz w:val="24"/>
        </w:rPr>
        <w:t>处置措施</w:t>
      </w:r>
    </w:p>
    <w:p>
      <w:pPr>
        <w:pStyle w:val="23"/>
        <w:numPr>
          <w:ilvl w:val="0"/>
          <w:numId w:val="42"/>
        </w:numPr>
        <w:tabs>
          <w:tab w:val="left" w:pos="1081"/>
        </w:tabs>
        <w:spacing w:before="82" w:line="364" w:lineRule="auto"/>
        <w:ind w:right="145" w:firstLine="480"/>
        <w:rPr>
          <w:sz w:val="24"/>
        </w:rPr>
      </w:pPr>
      <w:r>
        <w:rPr>
          <w:sz w:val="24"/>
        </w:rPr>
        <w:t>发生有毒</w:t>
      </w:r>
      <w:r>
        <w:rPr>
          <w:rFonts w:hint="eastAsia"/>
          <w:sz w:val="24"/>
        </w:rPr>
        <w:t>液态</w:t>
      </w:r>
      <w:r>
        <w:rPr>
          <w:sz w:val="24"/>
        </w:rPr>
        <w:t>泄漏事件后，第一发现人应立即切断电源，同时报告分管负责人和应急</w:t>
      </w:r>
      <w:r>
        <w:rPr>
          <w:spacing w:val="-1"/>
          <w:sz w:val="24"/>
        </w:rPr>
        <w:t>指挥部，包括流失、泄漏、扩散的有毒</w:t>
      </w:r>
      <w:r>
        <w:rPr>
          <w:rFonts w:hint="eastAsia"/>
          <w:spacing w:val="-1"/>
          <w:sz w:val="24"/>
        </w:rPr>
        <w:t>液态</w:t>
      </w:r>
      <w:r>
        <w:rPr>
          <w:spacing w:val="-1"/>
          <w:sz w:val="24"/>
        </w:rPr>
        <w:t>类别、数量、发生时间、影响范围及严重程度等。</w:t>
      </w:r>
      <w:r>
        <w:rPr>
          <w:spacing w:val="-5"/>
          <w:sz w:val="24"/>
        </w:rPr>
        <w:t>由应急指挥部视事故危害程度报告赤壁市生态环境、应急管理局等部门。在做好轻度中毒者保护性措施后，其他工作人员应迅速全开风机，排空室内泄漏</w:t>
      </w:r>
      <w:r>
        <w:rPr>
          <w:rFonts w:hint="eastAsia"/>
          <w:spacing w:val="-5"/>
          <w:sz w:val="24"/>
        </w:rPr>
        <w:t>液态</w:t>
      </w:r>
      <w:r>
        <w:rPr>
          <w:spacing w:val="-5"/>
          <w:sz w:val="24"/>
        </w:rPr>
        <w:t>。</w:t>
      </w:r>
    </w:p>
    <w:p>
      <w:pPr>
        <w:pStyle w:val="23"/>
        <w:numPr>
          <w:ilvl w:val="0"/>
          <w:numId w:val="42"/>
        </w:numPr>
        <w:tabs>
          <w:tab w:val="left" w:pos="1083"/>
        </w:tabs>
        <w:spacing w:line="364" w:lineRule="auto"/>
        <w:ind w:right="235" w:firstLine="480"/>
        <w:jc w:val="both"/>
        <w:rPr>
          <w:sz w:val="24"/>
        </w:rPr>
      </w:pPr>
      <w:r>
        <w:rPr>
          <w:spacing w:val="-2"/>
          <w:sz w:val="24"/>
        </w:rPr>
        <w:t xml:space="preserve">发生泄漏后，由环境监测组配合监测单位取煤气泄漏区域及周围空间空气样做 </w:t>
      </w:r>
      <w:r>
        <w:rPr>
          <w:rFonts w:ascii="Times New Roman" w:eastAsia="Times New Roman"/>
          <w:sz w:val="24"/>
        </w:rPr>
        <w:t>CO</w:t>
      </w:r>
      <w:r>
        <w:rPr>
          <w:rFonts w:ascii="Times New Roman" w:eastAsia="Times New Roman"/>
          <w:spacing w:val="18"/>
          <w:sz w:val="24"/>
        </w:rPr>
        <w:t xml:space="preserve"> </w:t>
      </w:r>
      <w:r>
        <w:rPr>
          <w:sz w:val="24"/>
        </w:rPr>
        <w:t>含</w:t>
      </w:r>
      <w:r>
        <w:rPr>
          <w:spacing w:val="-7"/>
          <w:sz w:val="24"/>
        </w:rPr>
        <w:t xml:space="preserve">量分析，根据测定的 </w:t>
      </w:r>
      <w:r>
        <w:rPr>
          <w:rFonts w:ascii="Times New Roman" w:eastAsia="Times New Roman"/>
          <w:sz w:val="24"/>
        </w:rPr>
        <w:t>CO</w:t>
      </w:r>
      <w:r>
        <w:rPr>
          <w:rFonts w:ascii="Times New Roman" w:eastAsia="Times New Roman"/>
          <w:spacing w:val="-2"/>
          <w:sz w:val="24"/>
        </w:rPr>
        <w:t xml:space="preserve"> </w:t>
      </w:r>
      <w:r>
        <w:rPr>
          <w:spacing w:val="-10"/>
          <w:sz w:val="24"/>
        </w:rPr>
        <w:t xml:space="preserve">含量结果，当 </w:t>
      </w:r>
      <w:r>
        <w:rPr>
          <w:rFonts w:ascii="Times New Roman" w:eastAsia="Times New Roman"/>
          <w:sz w:val="24"/>
        </w:rPr>
        <w:t>CO</w:t>
      </w:r>
      <w:r>
        <w:rPr>
          <w:rFonts w:ascii="Times New Roman" w:eastAsia="Times New Roman"/>
          <w:spacing w:val="-2"/>
          <w:sz w:val="24"/>
        </w:rPr>
        <w:t xml:space="preserve"> </w:t>
      </w:r>
      <w:r>
        <w:rPr>
          <w:sz w:val="24"/>
        </w:rPr>
        <w:t xml:space="preserve">含量超过 </w:t>
      </w:r>
      <w:r>
        <w:rPr>
          <w:rFonts w:ascii="Times New Roman" w:eastAsia="Times New Roman"/>
          <w:sz w:val="24"/>
        </w:rPr>
        <w:t>50mg/m</w:t>
      </w:r>
      <w:r>
        <w:rPr>
          <w:rFonts w:ascii="Times New Roman" w:eastAsia="Times New Roman"/>
          <w:position w:val="8"/>
          <w:sz w:val="15"/>
        </w:rPr>
        <w:t>3</w:t>
      </w:r>
      <w:r>
        <w:rPr>
          <w:rFonts w:ascii="Times New Roman" w:eastAsia="Times New Roman"/>
          <w:spacing w:val="20"/>
          <w:position w:val="8"/>
          <w:sz w:val="15"/>
        </w:rPr>
        <w:t xml:space="preserve"> </w:t>
      </w:r>
      <w:r>
        <w:rPr>
          <w:rFonts w:ascii="Times New Roman" w:eastAsia="Times New Roman"/>
          <w:sz w:val="24"/>
        </w:rPr>
        <w:t>( 40PPm</w:t>
      </w:r>
      <w:r>
        <w:rPr>
          <w:sz w:val="24"/>
        </w:rPr>
        <w:t>）</w:t>
      </w:r>
      <w:r>
        <w:rPr>
          <w:spacing w:val="-2"/>
          <w:sz w:val="24"/>
        </w:rPr>
        <w:t>时，需进行人员疏散或戒严，由疏散救援组协助险区内人员的撤离、布岗，疏通抢险通道。</w:t>
      </w:r>
    </w:p>
    <w:p>
      <w:pPr>
        <w:pStyle w:val="23"/>
        <w:numPr>
          <w:ilvl w:val="0"/>
          <w:numId w:val="42"/>
        </w:numPr>
        <w:tabs>
          <w:tab w:val="left" w:pos="1081"/>
        </w:tabs>
        <w:spacing w:line="364" w:lineRule="auto"/>
        <w:ind w:right="117" w:firstLine="480"/>
        <w:rPr>
          <w:sz w:val="24"/>
        </w:rPr>
      </w:pPr>
      <w:r>
        <w:rPr>
          <w:sz w:val="24"/>
        </w:rPr>
        <w:t>疏散救援组根据有毒</w:t>
      </w:r>
      <w:r>
        <w:rPr>
          <w:rFonts w:hint="eastAsia"/>
          <w:sz w:val="24"/>
        </w:rPr>
        <w:t>液态</w:t>
      </w:r>
      <w:r>
        <w:rPr>
          <w:sz w:val="24"/>
        </w:rPr>
        <w:t>泄漏的扩散情况建立警戒区，疏散救援组进入危险区域人员</w:t>
      </w:r>
      <w:r>
        <w:rPr>
          <w:spacing w:val="-13"/>
          <w:sz w:val="24"/>
        </w:rPr>
        <w:t xml:space="preserve">必须佩戴氧气或空气呼吸器，严禁用纱布口罩或其他不适合的防中毒器具防护。大面积泄漏时， </w:t>
      </w:r>
      <w:r>
        <w:rPr>
          <w:sz w:val="24"/>
        </w:rPr>
        <w:t>应立即设立警戒范围，所有人员依据</w:t>
      </w:r>
      <w:r>
        <w:rPr>
          <w:rFonts w:ascii="Times New Roman" w:hAnsi="Times New Roman" w:eastAsia="Times New Roman"/>
          <w:sz w:val="24"/>
        </w:rPr>
        <w:t>“</w:t>
      </w:r>
      <w:r>
        <w:rPr>
          <w:sz w:val="24"/>
        </w:rPr>
        <w:t>逆风而逃</w:t>
      </w:r>
      <w:r>
        <w:rPr>
          <w:rFonts w:ascii="Times New Roman" w:hAnsi="Times New Roman" w:eastAsia="Times New Roman"/>
          <w:sz w:val="24"/>
        </w:rPr>
        <w:t>”</w:t>
      </w:r>
      <w:r>
        <w:rPr>
          <w:sz w:val="24"/>
        </w:rPr>
        <w:t>的原则，迅速疏散到安全地带。</w:t>
      </w:r>
    </w:p>
    <w:p>
      <w:pPr>
        <w:pStyle w:val="23"/>
        <w:numPr>
          <w:ilvl w:val="0"/>
          <w:numId w:val="42"/>
        </w:numPr>
        <w:tabs>
          <w:tab w:val="left" w:pos="1081"/>
        </w:tabs>
        <w:spacing w:line="364" w:lineRule="auto"/>
        <w:ind w:right="145" w:firstLine="480"/>
        <w:rPr>
          <w:sz w:val="24"/>
        </w:rPr>
      </w:pPr>
      <w:r>
        <w:rPr>
          <w:sz w:val="24"/>
        </w:rPr>
        <w:t>少量泄漏，进行修理时可以采用堵缝（用堵漏胶剂、木塞）或者打补的方法来实现。</w:t>
      </w:r>
      <w:r>
        <w:rPr>
          <w:spacing w:val="-1"/>
          <w:sz w:val="24"/>
        </w:rPr>
        <w:t>大量泄漏且修理难度较大的情况下，应停止生产，待</w:t>
      </w:r>
      <w:r>
        <w:rPr>
          <w:rFonts w:hint="eastAsia"/>
          <w:spacing w:val="-1"/>
          <w:sz w:val="24"/>
        </w:rPr>
        <w:t>液态</w:t>
      </w:r>
      <w:r>
        <w:rPr>
          <w:spacing w:val="-1"/>
          <w:sz w:val="24"/>
        </w:rPr>
        <w:t>扩散至安全浓度后，进行整体包焊、</w:t>
      </w:r>
      <w:r>
        <w:rPr>
          <w:spacing w:val="-9"/>
          <w:sz w:val="24"/>
        </w:rPr>
        <w:t>整体包扎。在进行上述修理操作前，必须对泄漏部位进行检查确认，一般采取用木质工具轻敲</w:t>
      </w:r>
      <w:r>
        <w:rPr>
          <w:spacing w:val="-11"/>
          <w:sz w:val="24"/>
        </w:rPr>
        <w:t>的办法，查看泄漏点的形状和大小，检查泄漏部位是否适合于不停产粘接，检查人应富有实践经验并必须佩戴呼吸器或其他防毒器具。</w:t>
      </w:r>
    </w:p>
    <w:p>
      <w:pPr>
        <w:pStyle w:val="23"/>
        <w:numPr>
          <w:ilvl w:val="0"/>
          <w:numId w:val="42"/>
        </w:numPr>
        <w:tabs>
          <w:tab w:val="left" w:pos="1081"/>
        </w:tabs>
        <w:spacing w:line="364" w:lineRule="auto"/>
        <w:ind w:right="229" w:firstLine="480"/>
        <w:jc w:val="both"/>
        <w:rPr>
          <w:sz w:val="24"/>
        </w:rPr>
      </w:pPr>
      <w:r>
        <w:rPr>
          <w:spacing w:val="-1"/>
          <w:sz w:val="24"/>
        </w:rPr>
        <w:t>进入泄漏区域工作按照如下标准进行：</w:t>
      </w:r>
      <w:r>
        <w:rPr>
          <w:rFonts w:ascii="Times New Roman" w:eastAsia="Times New Roman"/>
          <w:spacing w:val="-4"/>
          <w:sz w:val="24"/>
        </w:rPr>
        <w:t>CO</w:t>
      </w:r>
      <w:r>
        <w:rPr>
          <w:rFonts w:ascii="Times New Roman" w:eastAsia="Times New Roman"/>
          <w:spacing w:val="-3"/>
          <w:sz w:val="24"/>
        </w:rPr>
        <w:t xml:space="preserve"> </w:t>
      </w:r>
      <w:r>
        <w:rPr>
          <w:spacing w:val="-10"/>
          <w:sz w:val="24"/>
        </w:rPr>
        <w:t xml:space="preserve">含量不超过 </w:t>
      </w:r>
      <w:r>
        <w:rPr>
          <w:rFonts w:ascii="Times New Roman" w:eastAsia="Times New Roman"/>
          <w:sz w:val="24"/>
        </w:rPr>
        <w:t>30mg/m</w:t>
      </w:r>
      <w:r>
        <w:rPr>
          <w:rFonts w:ascii="Times New Roman" w:eastAsia="Times New Roman"/>
          <w:position w:val="8"/>
          <w:sz w:val="15"/>
        </w:rPr>
        <w:t>3</w:t>
      </w:r>
      <w:r>
        <w:rPr>
          <w:rFonts w:ascii="Times New Roman" w:eastAsia="Times New Roman"/>
          <w:spacing w:val="21"/>
          <w:position w:val="8"/>
          <w:sz w:val="15"/>
        </w:rPr>
        <w:t xml:space="preserve"> </w:t>
      </w:r>
      <w:r>
        <w:rPr>
          <w:rFonts w:ascii="Times New Roman" w:eastAsia="Times New Roman"/>
          <w:spacing w:val="-2"/>
          <w:sz w:val="24"/>
        </w:rPr>
        <w:t xml:space="preserve">( </w:t>
      </w:r>
      <w:r>
        <w:rPr>
          <w:rFonts w:ascii="Times New Roman" w:eastAsia="Times New Roman"/>
          <w:sz w:val="24"/>
        </w:rPr>
        <w:t>24PPm</w:t>
      </w:r>
      <w:r>
        <w:rPr>
          <w:sz w:val="24"/>
        </w:rPr>
        <w:t>）</w:t>
      </w:r>
      <w:r>
        <w:rPr>
          <w:spacing w:val="-3"/>
          <w:sz w:val="24"/>
        </w:rPr>
        <w:t>时，可较长</w:t>
      </w:r>
      <w:r>
        <w:rPr>
          <w:spacing w:val="-4"/>
          <w:sz w:val="24"/>
        </w:rPr>
        <w:t>时间工作；</w:t>
      </w:r>
      <w:r>
        <w:rPr>
          <w:rFonts w:ascii="Times New Roman" w:eastAsia="Times New Roman"/>
          <w:spacing w:val="-7"/>
          <w:sz w:val="24"/>
        </w:rPr>
        <w:t>CO</w:t>
      </w:r>
      <w:r>
        <w:rPr>
          <w:rFonts w:ascii="Times New Roman" w:eastAsia="Times New Roman"/>
          <w:spacing w:val="2"/>
          <w:sz w:val="24"/>
        </w:rPr>
        <w:t xml:space="preserve"> </w:t>
      </w:r>
      <w:r>
        <w:rPr>
          <w:spacing w:val="-10"/>
          <w:sz w:val="24"/>
        </w:rPr>
        <w:t xml:space="preserve">含量不超过 </w:t>
      </w:r>
      <w:r>
        <w:rPr>
          <w:rFonts w:ascii="Times New Roman" w:eastAsia="Times New Roman"/>
          <w:sz w:val="24"/>
        </w:rPr>
        <w:t>50mg/m</w:t>
      </w:r>
      <w:r>
        <w:rPr>
          <w:rFonts w:ascii="Times New Roman" w:eastAsia="Times New Roman"/>
          <w:position w:val="8"/>
          <w:sz w:val="15"/>
        </w:rPr>
        <w:t>3</w:t>
      </w:r>
      <w:r>
        <w:rPr>
          <w:rFonts w:ascii="Times New Roman" w:eastAsia="Times New Roman"/>
          <w:spacing w:val="25"/>
          <w:position w:val="8"/>
          <w:sz w:val="15"/>
        </w:rPr>
        <w:t xml:space="preserve"> </w:t>
      </w:r>
      <w:r>
        <w:rPr>
          <w:rFonts w:ascii="Times New Roman" w:eastAsia="Times New Roman"/>
          <w:sz w:val="24"/>
        </w:rPr>
        <w:t xml:space="preserve">( </w:t>
      </w:r>
      <w:r>
        <w:rPr>
          <w:rFonts w:ascii="Times New Roman" w:eastAsia="Times New Roman"/>
          <w:spacing w:val="-4"/>
          <w:sz w:val="24"/>
        </w:rPr>
        <w:t>40PPm</w:t>
      </w:r>
      <w:r>
        <w:rPr>
          <w:spacing w:val="-4"/>
          <w:sz w:val="24"/>
        </w:rPr>
        <w:t>）</w:t>
      </w:r>
      <w:r>
        <w:rPr>
          <w:spacing w:val="-10"/>
          <w:sz w:val="24"/>
        </w:rPr>
        <w:t xml:space="preserve">时，连续工作时间不得超过 </w:t>
      </w:r>
      <w:r>
        <w:rPr>
          <w:rFonts w:ascii="Times New Roman" w:eastAsia="Times New Roman"/>
          <w:sz w:val="24"/>
        </w:rPr>
        <w:t>1</w:t>
      </w:r>
      <w:r>
        <w:rPr>
          <w:rFonts w:ascii="Times New Roman" w:eastAsia="Times New Roman"/>
          <w:spacing w:val="1"/>
          <w:sz w:val="24"/>
        </w:rPr>
        <w:t xml:space="preserve"> </w:t>
      </w:r>
      <w:r>
        <w:rPr>
          <w:spacing w:val="-2"/>
          <w:sz w:val="24"/>
        </w:rPr>
        <w:t>小时；</w:t>
      </w:r>
      <w:r>
        <w:rPr>
          <w:rFonts w:ascii="Times New Roman" w:eastAsia="Times New Roman"/>
          <w:spacing w:val="-6"/>
          <w:sz w:val="24"/>
        </w:rPr>
        <w:t>CO</w:t>
      </w:r>
      <w:r>
        <w:rPr>
          <w:rFonts w:ascii="Times New Roman" w:eastAsia="Times New Roman"/>
          <w:spacing w:val="1"/>
          <w:sz w:val="24"/>
        </w:rPr>
        <w:t xml:space="preserve"> </w:t>
      </w:r>
      <w:r>
        <w:rPr>
          <w:sz w:val="24"/>
        </w:rPr>
        <w:t>含量不</w:t>
      </w:r>
      <w:r>
        <w:rPr>
          <w:spacing w:val="-11"/>
          <w:sz w:val="24"/>
        </w:rPr>
        <w:t xml:space="preserve">超过 </w:t>
      </w:r>
      <w:r>
        <w:rPr>
          <w:rFonts w:ascii="Times New Roman" w:eastAsia="Times New Roman"/>
          <w:sz w:val="24"/>
        </w:rPr>
        <w:t>100mg/m</w:t>
      </w:r>
      <w:r>
        <w:rPr>
          <w:rFonts w:ascii="Times New Roman" w:eastAsia="Times New Roman"/>
          <w:position w:val="8"/>
          <w:sz w:val="15"/>
        </w:rPr>
        <w:t>3</w:t>
      </w:r>
      <w:r>
        <w:rPr>
          <w:rFonts w:ascii="Times New Roman" w:eastAsia="Times New Roman"/>
          <w:spacing w:val="1"/>
          <w:position w:val="8"/>
          <w:sz w:val="15"/>
        </w:rPr>
        <w:t xml:space="preserve"> </w:t>
      </w:r>
      <w:r>
        <w:rPr>
          <w:rFonts w:ascii="Times New Roman" w:eastAsia="Times New Roman"/>
          <w:spacing w:val="7"/>
          <w:sz w:val="24"/>
        </w:rPr>
        <w:t xml:space="preserve">( </w:t>
      </w:r>
      <w:r>
        <w:rPr>
          <w:rFonts w:ascii="Times New Roman" w:eastAsia="Times New Roman"/>
          <w:spacing w:val="4"/>
          <w:sz w:val="24"/>
        </w:rPr>
        <w:t>80PPm</w:t>
      </w:r>
      <w:r>
        <w:rPr>
          <w:spacing w:val="4"/>
          <w:sz w:val="24"/>
        </w:rPr>
        <w:t>）</w:t>
      </w:r>
      <w:r>
        <w:rPr>
          <w:spacing w:val="7"/>
          <w:sz w:val="24"/>
        </w:rPr>
        <w:t xml:space="preserve">时，连续工作时间不得超过 </w:t>
      </w:r>
      <w:r>
        <w:rPr>
          <w:rFonts w:ascii="Times New Roman" w:eastAsia="Times New Roman"/>
          <w:sz w:val="24"/>
        </w:rPr>
        <w:t>0.5</w:t>
      </w:r>
      <w:r>
        <w:rPr>
          <w:rFonts w:ascii="Times New Roman" w:eastAsia="Times New Roman"/>
          <w:spacing w:val="15"/>
          <w:sz w:val="24"/>
        </w:rPr>
        <w:t xml:space="preserve"> </w:t>
      </w:r>
      <w:r>
        <w:rPr>
          <w:spacing w:val="10"/>
          <w:sz w:val="24"/>
        </w:rPr>
        <w:t>小时；</w:t>
      </w:r>
      <w:r>
        <w:rPr>
          <w:rFonts w:ascii="Times New Roman" w:eastAsia="Times New Roman"/>
          <w:spacing w:val="4"/>
          <w:sz w:val="24"/>
        </w:rPr>
        <w:t>CO</w:t>
      </w:r>
      <w:r>
        <w:rPr>
          <w:rFonts w:ascii="Times New Roman" w:eastAsia="Times New Roman"/>
          <w:spacing w:val="13"/>
          <w:sz w:val="24"/>
        </w:rPr>
        <w:t xml:space="preserve"> </w:t>
      </w:r>
      <w:r>
        <w:rPr>
          <w:spacing w:val="1"/>
          <w:sz w:val="24"/>
        </w:rPr>
        <w:t xml:space="preserve">含量不超过 </w:t>
      </w:r>
      <w:r>
        <w:rPr>
          <w:rFonts w:ascii="Times New Roman" w:eastAsia="Times New Roman"/>
          <w:sz w:val="24"/>
        </w:rPr>
        <w:t>200mg/m</w:t>
      </w:r>
      <w:r>
        <w:rPr>
          <w:rFonts w:ascii="Times New Roman" w:eastAsia="Times New Roman"/>
          <w:position w:val="8"/>
          <w:sz w:val="15"/>
        </w:rPr>
        <w:t>3</w:t>
      </w:r>
      <w:r>
        <w:rPr>
          <w:rFonts w:ascii="Times New Roman" w:eastAsia="Times New Roman"/>
          <w:sz w:val="15"/>
        </w:rPr>
        <w:t xml:space="preserve"> </w:t>
      </w:r>
      <w:r>
        <w:rPr>
          <w:rFonts w:ascii="Times New Roman" w:eastAsia="Times New Roman"/>
          <w:spacing w:val="7"/>
          <w:sz w:val="24"/>
        </w:rPr>
        <w:t xml:space="preserve">( </w:t>
      </w:r>
      <w:r>
        <w:rPr>
          <w:rFonts w:ascii="Times New Roman" w:eastAsia="Times New Roman"/>
          <w:sz w:val="24"/>
        </w:rPr>
        <w:t>160PPm)</w:t>
      </w:r>
      <w:r>
        <w:rPr>
          <w:spacing w:val="-4"/>
          <w:sz w:val="24"/>
        </w:rPr>
        <w:t xml:space="preserve">时，连续工作时间不超过 </w:t>
      </w:r>
      <w:r>
        <w:rPr>
          <w:rFonts w:ascii="Times New Roman" w:eastAsia="Times New Roman"/>
          <w:sz w:val="24"/>
        </w:rPr>
        <w:t>15-20</w:t>
      </w:r>
      <w:r>
        <w:rPr>
          <w:rFonts w:ascii="Times New Roman" w:eastAsia="Times New Roman"/>
          <w:spacing w:val="14"/>
          <w:sz w:val="24"/>
        </w:rPr>
        <w:t xml:space="preserve"> </w:t>
      </w:r>
      <w:r>
        <w:rPr>
          <w:sz w:val="24"/>
        </w:rPr>
        <w:t>分钟。工作人员每次进入煤气泄漏区域工作的时间</w:t>
      </w:r>
      <w:r>
        <w:rPr>
          <w:spacing w:val="-10"/>
          <w:sz w:val="24"/>
        </w:rPr>
        <w:t xml:space="preserve">间隔至少在 </w:t>
      </w:r>
      <w:r>
        <w:rPr>
          <w:rFonts w:ascii="Times New Roman" w:eastAsia="Times New Roman"/>
          <w:sz w:val="24"/>
        </w:rPr>
        <w:t xml:space="preserve">2 </w:t>
      </w:r>
      <w:r>
        <w:rPr>
          <w:sz w:val="24"/>
        </w:rPr>
        <w:t>小时以上。</w:t>
      </w:r>
    </w:p>
    <w:p>
      <w:pPr>
        <w:pStyle w:val="23"/>
        <w:numPr>
          <w:ilvl w:val="0"/>
          <w:numId w:val="42"/>
        </w:numPr>
        <w:tabs>
          <w:tab w:val="left" w:pos="1081"/>
        </w:tabs>
        <w:spacing w:line="364" w:lineRule="auto"/>
        <w:ind w:right="235" w:firstLine="480"/>
        <w:jc w:val="both"/>
        <w:rPr>
          <w:sz w:val="24"/>
        </w:rPr>
      </w:pPr>
      <w:r>
        <w:rPr>
          <w:spacing w:val="-12"/>
          <w:sz w:val="24"/>
        </w:rPr>
        <w:t xml:space="preserve">泄漏现场 </w:t>
      </w:r>
      <w:r>
        <w:rPr>
          <w:rFonts w:ascii="Times New Roman" w:eastAsia="Times New Roman"/>
          <w:sz w:val="24"/>
        </w:rPr>
        <w:t>40m</w:t>
      </w:r>
      <w:r>
        <w:rPr>
          <w:rFonts w:ascii="Times New Roman" w:eastAsia="Times New Roman"/>
          <w:spacing w:val="1"/>
          <w:sz w:val="24"/>
        </w:rPr>
        <w:t xml:space="preserve"> </w:t>
      </w:r>
      <w:r>
        <w:rPr>
          <w:spacing w:val="-6"/>
          <w:sz w:val="24"/>
        </w:rPr>
        <w:t>内，禁止有火源并应采取防止着火的措施，配备足够的灭火器具，有风</w:t>
      </w:r>
      <w:r>
        <w:rPr>
          <w:spacing w:val="-1"/>
          <w:sz w:val="24"/>
        </w:rPr>
        <w:t xml:space="preserve">力吹向的下风侧，应根据实际情况延长禁区范围。与堵漏工作无关的人员必须离开现场 </w:t>
      </w:r>
      <w:r>
        <w:rPr>
          <w:rFonts w:ascii="Times New Roman" w:eastAsia="Times New Roman"/>
          <w:sz w:val="24"/>
        </w:rPr>
        <w:t xml:space="preserve">40m </w:t>
      </w:r>
      <w:r>
        <w:rPr>
          <w:sz w:val="24"/>
        </w:rPr>
        <w:t>外。作业所采用的工具必须是不发火星的木质等材质工具。</w:t>
      </w:r>
    </w:p>
    <w:p>
      <w:pPr>
        <w:pStyle w:val="23"/>
        <w:numPr>
          <w:ilvl w:val="0"/>
          <w:numId w:val="42"/>
        </w:numPr>
        <w:tabs>
          <w:tab w:val="left" w:pos="1081"/>
        </w:tabs>
        <w:spacing w:line="362" w:lineRule="auto"/>
        <w:ind w:right="237" w:firstLine="480"/>
        <w:rPr>
          <w:sz w:val="24"/>
        </w:rPr>
      </w:pPr>
      <w:r>
        <w:rPr>
          <w:spacing w:val="-1"/>
          <w:sz w:val="24"/>
        </w:rPr>
        <w:t>若发生火灾爆炸事故，应立即停止产生有毒</w:t>
      </w:r>
      <w:r>
        <w:rPr>
          <w:rFonts w:hint="eastAsia"/>
          <w:spacing w:val="-1"/>
          <w:sz w:val="24"/>
        </w:rPr>
        <w:t>液态</w:t>
      </w:r>
      <w:r>
        <w:rPr>
          <w:spacing w:val="-1"/>
          <w:sz w:val="24"/>
        </w:rPr>
        <w:t>的生产工序，在实施上述应急措施的</w:t>
      </w:r>
      <w:r>
        <w:rPr>
          <w:sz w:val="24"/>
        </w:rPr>
        <w:t>同时按照火灾爆炸应急处置措施开展处置工作。</w:t>
      </w:r>
    </w:p>
    <w:p>
      <w:pPr>
        <w:pStyle w:val="23"/>
        <w:numPr>
          <w:ilvl w:val="0"/>
          <w:numId w:val="40"/>
        </w:numPr>
        <w:tabs>
          <w:tab w:val="left" w:pos="1321"/>
        </w:tabs>
        <w:spacing w:before="71"/>
        <w:rPr>
          <w:sz w:val="24"/>
        </w:rPr>
      </w:pPr>
      <w:r>
        <w:rPr>
          <w:sz w:val="24"/>
        </w:rPr>
        <w:t>应急物资与装备保障</w:t>
      </w:r>
    </w:p>
    <w:p>
      <w:pPr>
        <w:pStyle w:val="10"/>
        <w:spacing w:before="161" w:line="364" w:lineRule="auto"/>
        <w:ind w:left="240" w:right="237" w:firstLine="480"/>
      </w:pPr>
      <w:r>
        <w:rPr>
          <w:spacing w:val="-8"/>
        </w:rPr>
        <w:t>有毒</w:t>
      </w:r>
      <w:r>
        <w:rPr>
          <w:rFonts w:hint="eastAsia"/>
          <w:spacing w:val="-8"/>
        </w:rPr>
        <w:t>液态</w:t>
      </w:r>
      <w:r>
        <w:rPr>
          <w:spacing w:val="-8"/>
        </w:rPr>
        <w:t>泄漏发生时，医疗后勤组应及时调用应急所需的装备：污染源切断和堵漏物资如</w:t>
      </w:r>
      <w:r>
        <w:rPr>
          <w:spacing w:val="-9"/>
        </w:rPr>
        <w:t>管道修补剂等，消防物资如灭火器、消防沙等，医疗救护设备如药箱、车辆等，防护物资如防</w:t>
      </w:r>
    </w:p>
    <w:p>
      <w:pPr>
        <w:spacing w:line="364" w:lineRule="auto"/>
        <w:sectPr>
          <w:pgSz w:w="11910" w:h="16840"/>
          <w:pgMar w:top="1360" w:right="840" w:bottom="1180" w:left="840" w:header="882" w:footer="993" w:gutter="0"/>
          <w:cols w:space="720" w:num="1"/>
        </w:sectPr>
      </w:pPr>
    </w:p>
    <w:p>
      <w:pPr>
        <w:pStyle w:val="10"/>
        <w:spacing w:before="143"/>
        <w:ind w:left="240"/>
      </w:pPr>
      <w:r>
        <w:t>护手套、防毒面具等，警戒疏散物资如指示牌、警戒线等。</w:t>
      </w:r>
    </w:p>
    <w:p>
      <w:pPr>
        <w:pStyle w:val="23"/>
        <w:numPr>
          <w:ilvl w:val="0"/>
          <w:numId w:val="40"/>
        </w:numPr>
        <w:tabs>
          <w:tab w:val="left" w:pos="1321"/>
        </w:tabs>
        <w:spacing w:before="160"/>
        <w:rPr>
          <w:sz w:val="24"/>
        </w:rPr>
      </w:pPr>
      <w:r>
        <w:rPr>
          <w:sz w:val="24"/>
        </w:rPr>
        <w:t>人员疏散</w:t>
      </w:r>
    </w:p>
    <w:p>
      <w:pPr>
        <w:pStyle w:val="23"/>
        <w:numPr>
          <w:ilvl w:val="0"/>
          <w:numId w:val="43"/>
        </w:numPr>
        <w:tabs>
          <w:tab w:val="left" w:pos="1081"/>
        </w:tabs>
        <w:spacing w:before="161" w:line="364" w:lineRule="auto"/>
        <w:ind w:right="117" w:firstLine="480"/>
        <w:rPr>
          <w:sz w:val="24"/>
        </w:rPr>
      </w:pPr>
      <w:r>
        <w:rPr>
          <w:spacing w:val="-6"/>
          <w:sz w:val="24"/>
        </w:rPr>
        <w:t>人员疏散由疏散救援组统一进行组织，明确下达</w:t>
      </w:r>
      <w:r>
        <w:rPr>
          <w:rFonts w:ascii="Times New Roman" w:hAnsi="Times New Roman" w:eastAsia="Times New Roman"/>
          <w:sz w:val="24"/>
        </w:rPr>
        <w:t>“</w:t>
      </w:r>
      <w:r>
        <w:rPr>
          <w:sz w:val="24"/>
        </w:rPr>
        <w:t>什么原因导致什么位置有毒</w:t>
      </w:r>
      <w:r>
        <w:rPr>
          <w:rFonts w:hint="eastAsia"/>
          <w:sz w:val="24"/>
        </w:rPr>
        <w:t>液态</w:t>
      </w:r>
      <w:r>
        <w:rPr>
          <w:sz w:val="24"/>
        </w:rPr>
        <w:t>泄漏</w:t>
      </w:r>
      <w:r>
        <w:rPr>
          <w:spacing w:val="-4"/>
          <w:sz w:val="24"/>
        </w:rPr>
        <w:t>，通过什么通道向什么区域疏散，到什么地方集结</w:t>
      </w:r>
      <w:r>
        <w:rPr>
          <w:rFonts w:ascii="Times New Roman" w:hAnsi="Times New Roman" w:eastAsia="Times New Roman"/>
          <w:sz w:val="24"/>
        </w:rPr>
        <w:t>”</w:t>
      </w:r>
      <w:r>
        <w:rPr>
          <w:sz w:val="24"/>
        </w:rPr>
        <w:t>指令。</w:t>
      </w:r>
    </w:p>
    <w:p>
      <w:pPr>
        <w:pStyle w:val="23"/>
        <w:numPr>
          <w:ilvl w:val="0"/>
          <w:numId w:val="43"/>
        </w:numPr>
        <w:tabs>
          <w:tab w:val="left" w:pos="1081"/>
        </w:tabs>
        <w:spacing w:before="1" w:line="364" w:lineRule="auto"/>
        <w:ind w:right="237" w:firstLine="480"/>
        <w:rPr>
          <w:sz w:val="24"/>
        </w:rPr>
      </w:pPr>
      <w:r>
        <w:rPr>
          <w:spacing w:val="-1"/>
          <w:sz w:val="24"/>
        </w:rPr>
        <w:t>疏散顺序原则是先危险后一般、先人员后财物、先泄漏区后外围、先通道后房间、先</w:t>
      </w:r>
      <w:r>
        <w:rPr>
          <w:sz w:val="24"/>
        </w:rPr>
        <w:t>出口后内部。</w:t>
      </w:r>
    </w:p>
    <w:p>
      <w:pPr>
        <w:pStyle w:val="23"/>
        <w:numPr>
          <w:ilvl w:val="0"/>
          <w:numId w:val="43"/>
        </w:numPr>
        <w:tabs>
          <w:tab w:val="left" w:pos="1081"/>
        </w:tabs>
        <w:spacing w:before="1" w:line="364" w:lineRule="auto"/>
        <w:ind w:right="237" w:firstLine="480"/>
        <w:rPr>
          <w:sz w:val="24"/>
        </w:rPr>
      </w:pPr>
      <w:r>
        <w:rPr>
          <w:spacing w:val="-1"/>
          <w:sz w:val="24"/>
        </w:rPr>
        <w:t>在疏散路径上指定人员组织引导、指示出口，并适当控制流量，在出口处安排专人指</w:t>
      </w:r>
      <w:r>
        <w:rPr>
          <w:sz w:val="24"/>
        </w:rPr>
        <w:t>示集结方向，疏散人员不准中途停留或者返回。</w:t>
      </w:r>
    </w:p>
    <w:p>
      <w:pPr>
        <w:pStyle w:val="23"/>
        <w:numPr>
          <w:ilvl w:val="0"/>
          <w:numId w:val="43"/>
        </w:numPr>
        <w:tabs>
          <w:tab w:val="left" w:pos="1081"/>
        </w:tabs>
        <w:spacing w:before="1" w:line="364" w:lineRule="auto"/>
        <w:ind w:right="237" w:firstLine="480"/>
        <w:rPr>
          <w:sz w:val="24"/>
        </w:rPr>
      </w:pPr>
      <w:r>
        <w:rPr>
          <w:sz w:val="24"/>
        </w:rPr>
        <w:t>设备</w:t>
      </w:r>
      <w:r>
        <w:rPr>
          <w:rFonts w:ascii="Times New Roman" w:eastAsia="Times New Roman"/>
          <w:sz w:val="24"/>
        </w:rPr>
        <w:t>/</w:t>
      </w:r>
      <w:r>
        <w:rPr>
          <w:spacing w:val="-4"/>
          <w:sz w:val="24"/>
        </w:rPr>
        <w:t>装置使用人在撤离前，利用最短的时间，关闭该区域内可能会引起更大事故的电</w:t>
      </w:r>
      <w:r>
        <w:rPr>
          <w:sz w:val="24"/>
        </w:rPr>
        <w:t>源和管道阀门等。</w:t>
      </w:r>
    </w:p>
    <w:p>
      <w:pPr>
        <w:pStyle w:val="23"/>
        <w:numPr>
          <w:ilvl w:val="0"/>
          <w:numId w:val="43"/>
        </w:numPr>
        <w:tabs>
          <w:tab w:val="left" w:pos="1081"/>
        </w:tabs>
        <w:spacing w:before="2" w:line="364" w:lineRule="auto"/>
        <w:ind w:right="237" w:firstLine="480"/>
        <w:rPr>
          <w:sz w:val="24"/>
        </w:rPr>
      </w:pPr>
      <w:r>
        <w:rPr>
          <w:spacing w:val="-1"/>
          <w:sz w:val="24"/>
        </w:rPr>
        <w:t>人员在安全地点以部门为单位进行集合，由部门在场职位最高人员清点人数，并向现</w:t>
      </w:r>
      <w:r>
        <w:rPr>
          <w:sz w:val="24"/>
        </w:rPr>
        <w:t>场指挥部报告人员情况。若发现缺员，应报告所缺人员的姓名和事故前所处位置等。</w:t>
      </w:r>
    </w:p>
    <w:p>
      <w:pPr>
        <w:pStyle w:val="23"/>
        <w:numPr>
          <w:ilvl w:val="0"/>
          <w:numId w:val="43"/>
        </w:numPr>
        <w:tabs>
          <w:tab w:val="left" w:pos="1081"/>
        </w:tabs>
        <w:spacing w:before="1" w:line="364" w:lineRule="auto"/>
        <w:ind w:right="117" w:firstLine="480"/>
        <w:rPr>
          <w:sz w:val="24"/>
        </w:rPr>
      </w:pPr>
      <w:r>
        <w:rPr>
          <w:spacing w:val="-4"/>
          <w:sz w:val="24"/>
        </w:rPr>
        <w:t>当事故危急周边单位或社区时，现场指挥部直接联系当地政府主管部门以及周边单位、社区负责人发布消息，提出要求组织撤离疏散或者请求援助。</w:t>
      </w:r>
    </w:p>
    <w:p>
      <w:pPr>
        <w:pStyle w:val="23"/>
        <w:numPr>
          <w:ilvl w:val="0"/>
          <w:numId w:val="40"/>
        </w:numPr>
        <w:tabs>
          <w:tab w:val="left" w:pos="1321"/>
        </w:tabs>
        <w:spacing w:before="1"/>
        <w:rPr>
          <w:sz w:val="24"/>
        </w:rPr>
      </w:pPr>
      <w:r>
        <w:rPr>
          <w:sz w:val="24"/>
        </w:rPr>
        <w:t>伤员救护</w:t>
      </w:r>
    </w:p>
    <w:p>
      <w:pPr>
        <w:pStyle w:val="23"/>
        <w:numPr>
          <w:ilvl w:val="0"/>
          <w:numId w:val="44"/>
        </w:numPr>
        <w:tabs>
          <w:tab w:val="left" w:pos="1081"/>
        </w:tabs>
        <w:spacing w:before="160" w:line="364" w:lineRule="auto"/>
        <w:ind w:right="117" w:firstLine="480"/>
        <w:rPr>
          <w:sz w:val="24"/>
        </w:rPr>
      </w:pPr>
      <w:r>
        <w:rPr>
          <w:spacing w:val="-5"/>
          <w:sz w:val="24"/>
        </w:rPr>
        <w:t>泄漏引起人员轻微中毒，中毒者可自行或在他人帮助下先尽快离开室内到空气新鲜处</w:t>
      </w:r>
      <w:r>
        <w:rPr>
          <w:spacing w:val="-4"/>
          <w:sz w:val="24"/>
        </w:rPr>
        <w:t>，喝热浓茶，促进血液循环。或在他人护送下到医院吸氧，消除症状。</w:t>
      </w:r>
    </w:p>
    <w:p>
      <w:pPr>
        <w:pStyle w:val="23"/>
        <w:numPr>
          <w:ilvl w:val="0"/>
          <w:numId w:val="44"/>
        </w:numPr>
        <w:tabs>
          <w:tab w:val="left" w:pos="1081"/>
        </w:tabs>
        <w:spacing w:before="2" w:line="364" w:lineRule="auto"/>
        <w:ind w:right="115" w:firstLine="480"/>
        <w:rPr>
          <w:sz w:val="24"/>
        </w:rPr>
      </w:pPr>
      <w:r>
        <w:rPr>
          <w:spacing w:val="-4"/>
          <w:sz w:val="24"/>
        </w:rPr>
        <w:t>在做好轻度中毒者保护性措施后，其他工作人员应迅速全开风机，排空室内泄漏</w:t>
      </w:r>
      <w:r>
        <w:rPr>
          <w:rFonts w:hint="eastAsia"/>
          <w:spacing w:val="-4"/>
          <w:sz w:val="24"/>
        </w:rPr>
        <w:t>液态</w:t>
      </w:r>
      <w:r>
        <w:rPr>
          <w:spacing w:val="-11"/>
          <w:sz w:val="24"/>
        </w:rPr>
        <w:t xml:space="preserve">，然后用便携式 </w:t>
      </w:r>
      <w:r>
        <w:rPr>
          <w:rFonts w:ascii="Times New Roman" w:eastAsia="Times New Roman"/>
          <w:sz w:val="24"/>
        </w:rPr>
        <w:t>CO</w:t>
      </w:r>
      <w:r>
        <w:rPr>
          <w:rFonts w:ascii="Times New Roman" w:eastAsia="Times New Roman"/>
          <w:spacing w:val="-1"/>
          <w:sz w:val="24"/>
        </w:rPr>
        <w:t xml:space="preserve"> </w:t>
      </w:r>
      <w:r>
        <w:rPr>
          <w:sz w:val="24"/>
        </w:rPr>
        <w:t>报警仪确定煤气泄漏部位，安排设备泄漏点的处理。</w:t>
      </w:r>
    </w:p>
    <w:p>
      <w:pPr>
        <w:pStyle w:val="23"/>
        <w:numPr>
          <w:ilvl w:val="0"/>
          <w:numId w:val="44"/>
        </w:numPr>
        <w:tabs>
          <w:tab w:val="left" w:pos="1081"/>
        </w:tabs>
        <w:spacing w:before="1" w:line="364" w:lineRule="auto"/>
        <w:ind w:right="240" w:firstLine="480"/>
        <w:rPr>
          <w:sz w:val="24"/>
        </w:rPr>
      </w:pPr>
      <w:r>
        <w:rPr>
          <w:spacing w:val="-1"/>
          <w:sz w:val="24"/>
        </w:rPr>
        <w:t>中毒者未恢复知觉前，不得用送往较远医院急救。就近送往医院时，在途中应采取有</w:t>
      </w:r>
      <w:r>
        <w:rPr>
          <w:sz w:val="24"/>
        </w:rPr>
        <w:t>效的急救措施，并应有医务人员护送。</w:t>
      </w:r>
    </w:p>
    <w:p>
      <w:pPr>
        <w:pStyle w:val="23"/>
        <w:numPr>
          <w:ilvl w:val="2"/>
          <w:numId w:val="6"/>
        </w:numPr>
        <w:tabs>
          <w:tab w:val="left" w:pos="869"/>
        </w:tabs>
        <w:spacing w:before="79"/>
        <w:rPr>
          <w:b/>
          <w:sz w:val="28"/>
        </w:rPr>
      </w:pPr>
      <w:bookmarkStart w:id="147" w:name="_bookmark73"/>
      <w:bookmarkEnd w:id="147"/>
      <w:bookmarkStart w:id="148" w:name="6.4.3废气泄漏事故应急处置"/>
      <w:bookmarkEnd w:id="148"/>
      <w:r>
        <w:rPr>
          <w:b/>
          <w:sz w:val="28"/>
        </w:rPr>
        <w:t>废气泄漏事故应急处置</w:t>
      </w:r>
    </w:p>
    <w:p>
      <w:pPr>
        <w:pStyle w:val="10"/>
        <w:spacing w:before="10"/>
        <w:rPr>
          <w:b/>
          <w:sz w:val="32"/>
        </w:rPr>
      </w:pPr>
    </w:p>
    <w:p>
      <w:pPr>
        <w:pStyle w:val="23"/>
        <w:numPr>
          <w:ilvl w:val="0"/>
          <w:numId w:val="45"/>
        </w:numPr>
        <w:tabs>
          <w:tab w:val="left" w:pos="1321"/>
        </w:tabs>
        <w:rPr>
          <w:sz w:val="24"/>
        </w:rPr>
      </w:pPr>
      <w:r>
        <w:rPr>
          <w:sz w:val="24"/>
        </w:rPr>
        <w:t>信息报告</w:t>
      </w:r>
    </w:p>
    <w:p>
      <w:pPr>
        <w:pStyle w:val="10"/>
        <w:spacing w:before="161" w:line="364" w:lineRule="auto"/>
        <w:ind w:left="240" w:right="237" w:firstLine="480"/>
        <w:jc w:val="both"/>
      </w:pPr>
      <w:r>
        <w:t xml:space="preserve">发生废气泄漏事故后，现场人员要立即向部门负责人报告，并上报应急指挥部（电话： </w:t>
      </w:r>
      <w:r>
        <w:rPr>
          <w:rFonts w:hint="eastAsia"/>
          <w:szCs w:val="21"/>
        </w:rPr>
        <w:t>13907246986</w:t>
      </w:r>
      <w:r>
        <w:t>），应急指挥部接到报告后，自下而上逐级报告或救援。如废气泄漏不易控制、危害范围较大，应迅速报生态环境部门，请求外部支援，并服从上级指令安排和统一指挥。</w:t>
      </w:r>
    </w:p>
    <w:p>
      <w:pPr>
        <w:pStyle w:val="10"/>
        <w:spacing w:before="1"/>
        <w:ind w:left="720"/>
      </w:pPr>
      <w:r>
        <w:t>报告内容：</w:t>
      </w:r>
    </w:p>
    <w:p>
      <w:pPr>
        <w:pStyle w:val="23"/>
        <w:numPr>
          <w:ilvl w:val="0"/>
          <w:numId w:val="46"/>
        </w:numPr>
        <w:tabs>
          <w:tab w:val="left" w:pos="1081"/>
        </w:tabs>
        <w:spacing w:before="161"/>
        <w:rPr>
          <w:sz w:val="24"/>
        </w:rPr>
      </w:pPr>
      <w:r>
        <w:rPr>
          <w:sz w:val="24"/>
        </w:rPr>
        <w:t>单位发生事故概况；</w:t>
      </w:r>
    </w:p>
    <w:p>
      <w:pPr>
        <w:pStyle w:val="23"/>
        <w:numPr>
          <w:ilvl w:val="0"/>
          <w:numId w:val="46"/>
        </w:numPr>
        <w:tabs>
          <w:tab w:val="left" w:pos="1081"/>
        </w:tabs>
        <w:spacing w:before="160"/>
        <w:rPr>
          <w:sz w:val="24"/>
        </w:rPr>
      </w:pPr>
      <w:r>
        <w:rPr>
          <w:sz w:val="24"/>
        </w:rPr>
        <w:t>事故发生单位、发生地点、时间等；</w:t>
      </w:r>
    </w:p>
    <w:p>
      <w:pPr>
        <w:rPr>
          <w:sz w:val="24"/>
        </w:rPr>
        <w:sectPr>
          <w:pgSz w:w="11910" w:h="16840"/>
          <w:pgMar w:top="1360" w:right="840" w:bottom="1180" w:left="840" w:header="882" w:footer="993" w:gutter="0"/>
          <w:cols w:space="720" w:num="1"/>
        </w:sectPr>
      </w:pPr>
    </w:p>
    <w:p>
      <w:pPr>
        <w:pStyle w:val="23"/>
        <w:numPr>
          <w:ilvl w:val="0"/>
          <w:numId w:val="46"/>
        </w:numPr>
        <w:tabs>
          <w:tab w:val="left" w:pos="1081"/>
        </w:tabs>
        <w:spacing w:before="143"/>
        <w:rPr>
          <w:sz w:val="24"/>
        </w:rPr>
      </w:pPr>
      <w:r>
        <w:rPr>
          <w:sz w:val="24"/>
        </w:rPr>
        <w:t>事故的简要经过、涉及范围等；</w:t>
      </w:r>
    </w:p>
    <w:p>
      <w:pPr>
        <w:pStyle w:val="23"/>
        <w:numPr>
          <w:ilvl w:val="0"/>
          <w:numId w:val="46"/>
        </w:numPr>
        <w:tabs>
          <w:tab w:val="left" w:pos="1081"/>
        </w:tabs>
        <w:spacing w:before="160"/>
        <w:rPr>
          <w:sz w:val="24"/>
        </w:rPr>
      </w:pPr>
      <w:r>
        <w:rPr>
          <w:sz w:val="24"/>
        </w:rPr>
        <w:t>事故发生原因的初步判断；</w:t>
      </w:r>
    </w:p>
    <w:p>
      <w:pPr>
        <w:pStyle w:val="23"/>
        <w:numPr>
          <w:ilvl w:val="0"/>
          <w:numId w:val="46"/>
        </w:numPr>
        <w:tabs>
          <w:tab w:val="left" w:pos="1081"/>
        </w:tabs>
        <w:spacing w:before="161"/>
        <w:rPr>
          <w:sz w:val="24"/>
        </w:rPr>
      </w:pPr>
      <w:r>
        <w:rPr>
          <w:sz w:val="24"/>
        </w:rPr>
        <w:t>事故发生后已采取的措施等。</w:t>
      </w:r>
    </w:p>
    <w:p>
      <w:pPr>
        <w:pStyle w:val="23"/>
        <w:numPr>
          <w:ilvl w:val="0"/>
          <w:numId w:val="45"/>
        </w:numPr>
        <w:tabs>
          <w:tab w:val="left" w:pos="1321"/>
        </w:tabs>
        <w:spacing w:before="160"/>
        <w:rPr>
          <w:sz w:val="24"/>
        </w:rPr>
      </w:pPr>
      <w:r>
        <w:rPr>
          <w:sz w:val="24"/>
        </w:rPr>
        <w:t>处置措施</w:t>
      </w:r>
    </w:p>
    <w:p>
      <w:pPr>
        <w:pStyle w:val="23"/>
        <w:numPr>
          <w:ilvl w:val="0"/>
          <w:numId w:val="47"/>
        </w:numPr>
        <w:tabs>
          <w:tab w:val="left" w:pos="1081"/>
        </w:tabs>
        <w:spacing w:before="161" w:line="364" w:lineRule="auto"/>
        <w:ind w:right="237" w:firstLine="480"/>
        <w:rPr>
          <w:sz w:val="24"/>
        </w:rPr>
      </w:pPr>
      <w:r>
        <w:rPr>
          <w:spacing w:val="-1"/>
          <w:sz w:val="24"/>
        </w:rPr>
        <w:t>发现</w:t>
      </w:r>
      <w:r>
        <w:rPr>
          <w:rFonts w:hint="eastAsia"/>
          <w:spacing w:val="-1"/>
          <w:sz w:val="24"/>
        </w:rPr>
        <w:t>液态</w:t>
      </w:r>
      <w:r>
        <w:rPr>
          <w:spacing w:val="-1"/>
          <w:sz w:val="24"/>
        </w:rPr>
        <w:t>泄漏事故，第一发现人立即向分管负责人和应急指挥部报告事件信息，包括</w:t>
      </w:r>
      <w:r>
        <w:rPr>
          <w:rFonts w:hint="eastAsia"/>
          <w:sz w:val="24"/>
        </w:rPr>
        <w:t>液态</w:t>
      </w:r>
      <w:r>
        <w:rPr>
          <w:sz w:val="24"/>
        </w:rPr>
        <w:t>污染物的性质、排放量、严重程度、可控能力、影响范围等。</w:t>
      </w:r>
    </w:p>
    <w:p>
      <w:pPr>
        <w:pStyle w:val="23"/>
        <w:numPr>
          <w:ilvl w:val="0"/>
          <w:numId w:val="47"/>
        </w:numPr>
        <w:tabs>
          <w:tab w:val="left" w:pos="1081"/>
        </w:tabs>
        <w:spacing w:before="1" w:line="364" w:lineRule="auto"/>
        <w:ind w:right="237" w:firstLine="480"/>
        <w:rPr>
          <w:sz w:val="24"/>
        </w:rPr>
      </w:pPr>
      <w:r>
        <w:rPr>
          <w:spacing w:val="-1"/>
          <w:sz w:val="24"/>
        </w:rPr>
        <w:t>疏散救援组根据事故情况、发生地风向风速以及大气稳定度分析可能受影响的范围和</w:t>
      </w:r>
      <w:r>
        <w:rPr>
          <w:sz w:val="24"/>
        </w:rPr>
        <w:t>程度，确定需要疏散的人员和疏散路线。</w:t>
      </w:r>
    </w:p>
    <w:p>
      <w:pPr>
        <w:pStyle w:val="23"/>
        <w:numPr>
          <w:ilvl w:val="0"/>
          <w:numId w:val="47"/>
        </w:numPr>
        <w:tabs>
          <w:tab w:val="left" w:pos="1081"/>
        </w:tabs>
        <w:spacing w:before="1" w:line="364" w:lineRule="auto"/>
        <w:ind w:right="240" w:firstLine="480"/>
        <w:rPr>
          <w:sz w:val="24"/>
        </w:rPr>
      </w:pPr>
      <w:r>
        <w:rPr>
          <w:spacing w:val="-1"/>
          <w:sz w:val="24"/>
        </w:rPr>
        <w:t xml:space="preserve">疏散救援组组织速组织查明泄漏源和泄漏原因，采取措施切断泄漏源，减少泄漏量， </w:t>
      </w:r>
      <w:r>
        <w:rPr>
          <w:sz w:val="24"/>
        </w:rPr>
        <w:t>降低污染物危害，必要时停止生产。</w:t>
      </w:r>
    </w:p>
    <w:p>
      <w:pPr>
        <w:pStyle w:val="23"/>
        <w:numPr>
          <w:ilvl w:val="0"/>
          <w:numId w:val="47"/>
        </w:numPr>
        <w:tabs>
          <w:tab w:val="left" w:pos="1081"/>
        </w:tabs>
        <w:spacing w:before="1" w:line="364" w:lineRule="auto"/>
        <w:ind w:right="237" w:firstLine="480"/>
        <w:rPr>
          <w:sz w:val="24"/>
        </w:rPr>
      </w:pPr>
      <w:r>
        <w:rPr>
          <w:spacing w:val="-1"/>
          <w:sz w:val="24"/>
        </w:rPr>
        <w:t>应急指挥部办公室联系维修单位对废气治理设施进行检修，废气污染防治设备设施空</w:t>
      </w:r>
      <w:r>
        <w:rPr>
          <w:sz w:val="24"/>
        </w:rPr>
        <w:t>车运行正常后，恢复生产。</w:t>
      </w:r>
    </w:p>
    <w:p>
      <w:pPr>
        <w:pStyle w:val="23"/>
        <w:numPr>
          <w:ilvl w:val="0"/>
          <w:numId w:val="47"/>
        </w:numPr>
        <w:tabs>
          <w:tab w:val="left" w:pos="1081"/>
        </w:tabs>
        <w:spacing w:before="2" w:line="364" w:lineRule="auto"/>
        <w:ind w:right="237" w:firstLine="480"/>
        <w:rPr>
          <w:sz w:val="24"/>
        </w:rPr>
      </w:pPr>
      <w:r>
        <w:rPr>
          <w:spacing w:val="-1"/>
          <w:sz w:val="24"/>
        </w:rPr>
        <w:t>若事件超过企业应急范围和应急能力，向赤壁市生态环境部门汇报事件情况，请求应</w:t>
      </w:r>
      <w:r>
        <w:rPr>
          <w:sz w:val="24"/>
        </w:rPr>
        <w:t>急支援。</w:t>
      </w:r>
    </w:p>
    <w:p>
      <w:pPr>
        <w:pStyle w:val="23"/>
        <w:numPr>
          <w:ilvl w:val="0"/>
          <w:numId w:val="45"/>
        </w:numPr>
        <w:tabs>
          <w:tab w:val="left" w:pos="1321"/>
        </w:tabs>
        <w:spacing w:before="1"/>
        <w:rPr>
          <w:sz w:val="24"/>
        </w:rPr>
      </w:pPr>
      <w:r>
        <w:rPr>
          <w:sz w:val="24"/>
        </w:rPr>
        <w:t>应急物资与装备保障</w:t>
      </w:r>
    </w:p>
    <w:p>
      <w:pPr>
        <w:pStyle w:val="10"/>
        <w:spacing w:before="160" w:line="364" w:lineRule="auto"/>
        <w:ind w:left="240" w:right="237" w:firstLine="480"/>
      </w:pPr>
      <w:r>
        <w:rPr>
          <w:spacing w:val="-8"/>
        </w:rPr>
        <w:t>废气泄漏发生时，医疗后勤组应及时调用应急所需的装备：防护物资如防护手套、防毒面</w:t>
      </w:r>
      <w:r>
        <w:t>具等，电工工具等。</w:t>
      </w:r>
    </w:p>
    <w:p>
      <w:pPr>
        <w:pStyle w:val="23"/>
        <w:numPr>
          <w:ilvl w:val="2"/>
          <w:numId w:val="6"/>
        </w:numPr>
        <w:tabs>
          <w:tab w:val="left" w:pos="814"/>
        </w:tabs>
        <w:spacing w:before="79"/>
        <w:ind w:left="813" w:hanging="632"/>
        <w:rPr>
          <w:b/>
          <w:sz w:val="28"/>
        </w:rPr>
      </w:pPr>
      <w:bookmarkStart w:id="149" w:name="6.4.4危废泄漏事故应急处置"/>
      <w:bookmarkEnd w:id="149"/>
      <w:bookmarkStart w:id="150" w:name="_bookmark74"/>
      <w:bookmarkEnd w:id="150"/>
      <w:r>
        <w:rPr>
          <w:b/>
          <w:sz w:val="28"/>
        </w:rPr>
        <w:t>危废泄漏事故应急处置</w:t>
      </w:r>
    </w:p>
    <w:p>
      <w:pPr>
        <w:pStyle w:val="10"/>
        <w:spacing w:before="10"/>
        <w:rPr>
          <w:b/>
          <w:sz w:val="32"/>
        </w:rPr>
      </w:pPr>
    </w:p>
    <w:p>
      <w:pPr>
        <w:pStyle w:val="23"/>
        <w:numPr>
          <w:ilvl w:val="0"/>
          <w:numId w:val="48"/>
        </w:numPr>
        <w:tabs>
          <w:tab w:val="left" w:pos="1321"/>
        </w:tabs>
        <w:spacing w:before="1"/>
        <w:rPr>
          <w:sz w:val="24"/>
        </w:rPr>
      </w:pPr>
      <w:r>
        <w:rPr>
          <w:sz w:val="24"/>
        </w:rPr>
        <w:t>信息报告</w:t>
      </w:r>
    </w:p>
    <w:p>
      <w:pPr>
        <w:pStyle w:val="10"/>
        <w:spacing w:before="160" w:line="364" w:lineRule="auto"/>
        <w:ind w:left="240" w:right="237" w:firstLine="480"/>
      </w:pPr>
      <w:r>
        <w:rPr>
          <w:spacing w:val="-6"/>
        </w:rPr>
        <w:t>发生危废</w:t>
      </w:r>
      <w:r>
        <w:t>（主要是</w:t>
      </w:r>
      <w:r>
        <w:rPr>
          <w:rFonts w:hint="eastAsia"/>
        </w:rPr>
        <w:t>墨罐、乙烯</w:t>
      </w:r>
      <w:r>
        <w:rPr>
          <w:rFonts w:hint="eastAsia"/>
          <w:lang w:val="en-US"/>
        </w:rPr>
        <w:t>-醋酸乙烯共聚物（EVA）</w:t>
      </w:r>
      <w:r>
        <w:rPr>
          <w:rFonts w:hint="eastAsia"/>
        </w:rPr>
        <w:t>废油墨罐、废活性</w:t>
      </w:r>
      <w:r>
        <w:rPr>
          <w:rFonts w:hint="eastAsia"/>
          <w:spacing w:val="-8"/>
        </w:rPr>
        <w:t>炭</w:t>
      </w:r>
      <w:r>
        <w:rPr>
          <w:rFonts w:hint="eastAsia"/>
        </w:rPr>
        <w:t>废机油</w:t>
      </w:r>
      <w:r>
        <w:t>等</w:t>
      </w:r>
      <w:r>
        <w:rPr>
          <w:spacing w:val="-24"/>
        </w:rPr>
        <w:t>）</w:t>
      </w:r>
      <w:r>
        <w:rPr>
          <w:spacing w:val="-6"/>
        </w:rPr>
        <w:t>泄漏事故后，现场人员要立即向部门负责人报告，并上报应</w:t>
      </w:r>
      <w:r>
        <w:t>急指挥部（电话：</w:t>
      </w:r>
      <w:r>
        <w:rPr>
          <w:rFonts w:hint="eastAsia"/>
          <w:szCs w:val="21"/>
        </w:rPr>
        <w:t>13907246986</w:t>
      </w:r>
      <w:r>
        <w:t>），应急指挥部接到报告后，自下而上逐级报告或救援。</w:t>
      </w:r>
    </w:p>
    <w:p>
      <w:pPr>
        <w:pStyle w:val="10"/>
        <w:spacing w:before="1"/>
        <w:ind w:left="720"/>
      </w:pPr>
      <w:r>
        <w:t>报告内容：</w:t>
      </w:r>
    </w:p>
    <w:p>
      <w:pPr>
        <w:pStyle w:val="23"/>
        <w:numPr>
          <w:ilvl w:val="0"/>
          <w:numId w:val="49"/>
        </w:numPr>
        <w:tabs>
          <w:tab w:val="left" w:pos="1081"/>
        </w:tabs>
        <w:spacing w:before="161"/>
        <w:rPr>
          <w:sz w:val="24"/>
        </w:rPr>
      </w:pPr>
      <w:r>
        <w:rPr>
          <w:sz w:val="24"/>
        </w:rPr>
        <w:t>事故概况包括发生单位、时间、地点；</w:t>
      </w:r>
    </w:p>
    <w:p>
      <w:pPr>
        <w:pStyle w:val="23"/>
        <w:numPr>
          <w:ilvl w:val="0"/>
          <w:numId w:val="49"/>
        </w:numPr>
        <w:tabs>
          <w:tab w:val="left" w:pos="1081"/>
        </w:tabs>
        <w:spacing w:before="160"/>
        <w:rPr>
          <w:sz w:val="24"/>
        </w:rPr>
      </w:pPr>
      <w:r>
        <w:rPr>
          <w:sz w:val="24"/>
        </w:rPr>
        <w:t>泄漏的危废种类、位置、数量；</w:t>
      </w:r>
    </w:p>
    <w:p>
      <w:pPr>
        <w:pStyle w:val="23"/>
        <w:numPr>
          <w:ilvl w:val="0"/>
          <w:numId w:val="49"/>
        </w:numPr>
        <w:tabs>
          <w:tab w:val="left" w:pos="1081"/>
        </w:tabs>
        <w:spacing w:before="161"/>
        <w:rPr>
          <w:sz w:val="24"/>
        </w:rPr>
      </w:pPr>
      <w:r>
        <w:rPr>
          <w:sz w:val="24"/>
        </w:rPr>
        <w:t>事故的简要经过、伤亡情况、伤害程度、涉及范围等；</w:t>
      </w:r>
    </w:p>
    <w:p>
      <w:pPr>
        <w:pStyle w:val="23"/>
        <w:numPr>
          <w:ilvl w:val="0"/>
          <w:numId w:val="49"/>
        </w:numPr>
        <w:tabs>
          <w:tab w:val="left" w:pos="1081"/>
        </w:tabs>
        <w:spacing w:before="160"/>
        <w:rPr>
          <w:sz w:val="24"/>
        </w:rPr>
      </w:pPr>
      <w:r>
        <w:rPr>
          <w:sz w:val="24"/>
        </w:rPr>
        <w:t>事故发生原因的初步判断；</w:t>
      </w:r>
    </w:p>
    <w:p>
      <w:pPr>
        <w:pStyle w:val="23"/>
        <w:numPr>
          <w:ilvl w:val="0"/>
          <w:numId w:val="49"/>
        </w:numPr>
        <w:tabs>
          <w:tab w:val="left" w:pos="1081"/>
        </w:tabs>
        <w:spacing w:before="161"/>
        <w:rPr>
          <w:sz w:val="24"/>
        </w:rPr>
      </w:pPr>
      <w:r>
        <w:rPr>
          <w:sz w:val="24"/>
        </w:rPr>
        <w:t>事故发生后已采取的措施及当前事故抢险情况等。</w:t>
      </w:r>
    </w:p>
    <w:p>
      <w:pPr>
        <w:pStyle w:val="23"/>
        <w:numPr>
          <w:ilvl w:val="0"/>
          <w:numId w:val="48"/>
        </w:numPr>
        <w:tabs>
          <w:tab w:val="left" w:pos="1321"/>
        </w:tabs>
        <w:spacing w:before="160"/>
        <w:rPr>
          <w:sz w:val="24"/>
        </w:rPr>
      </w:pPr>
      <w:r>
        <w:rPr>
          <w:sz w:val="24"/>
        </w:rPr>
        <w:t>处置措施</w:t>
      </w:r>
    </w:p>
    <w:p>
      <w:pPr>
        <w:pStyle w:val="23"/>
        <w:numPr>
          <w:ilvl w:val="0"/>
          <w:numId w:val="50"/>
        </w:numPr>
        <w:tabs>
          <w:tab w:val="left" w:pos="1081"/>
        </w:tabs>
        <w:spacing w:before="82"/>
        <w:rPr>
          <w:sz w:val="24"/>
        </w:rPr>
      </w:pPr>
      <w:r>
        <w:rPr>
          <w:sz w:val="24"/>
        </w:rPr>
        <w:t>发生危险废物泄漏事件后，第一发现人应立即报告应急指挥部，包括流失、泄漏、扩</w:t>
      </w:r>
    </w:p>
    <w:p>
      <w:pPr>
        <w:rPr>
          <w:sz w:val="24"/>
        </w:rPr>
        <w:sectPr>
          <w:pgSz w:w="11910" w:h="16840"/>
          <w:pgMar w:top="1360" w:right="840" w:bottom="1180" w:left="840" w:header="882" w:footer="993" w:gutter="0"/>
          <w:cols w:space="720" w:num="1"/>
        </w:sectPr>
      </w:pPr>
    </w:p>
    <w:p>
      <w:pPr>
        <w:pStyle w:val="10"/>
        <w:spacing w:before="64" w:line="364" w:lineRule="auto"/>
        <w:ind w:left="240" w:right="237"/>
      </w:pPr>
      <w:r>
        <w:rPr>
          <w:spacing w:val="-8"/>
        </w:rPr>
        <w:t>散的危险废物类别、数量、发生时间、影响范围及严重程度等。应急指挥部视情况报告赤壁市</w:t>
      </w:r>
      <w:r>
        <w:t>生态环境、应急管理等部门。</w:t>
      </w:r>
    </w:p>
    <w:p>
      <w:pPr>
        <w:pStyle w:val="23"/>
        <w:numPr>
          <w:ilvl w:val="0"/>
          <w:numId w:val="50"/>
        </w:numPr>
        <w:tabs>
          <w:tab w:val="left" w:pos="1081"/>
        </w:tabs>
        <w:spacing w:line="364" w:lineRule="auto"/>
        <w:ind w:left="240" w:right="237" w:firstLine="480"/>
        <w:jc w:val="both"/>
        <w:rPr>
          <w:sz w:val="24"/>
        </w:rPr>
      </w:pPr>
      <w:r>
        <w:rPr>
          <w:spacing w:val="-1"/>
          <w:sz w:val="24"/>
        </w:rPr>
        <w:t>疏散救援组对发生危险废物泄漏、扩散的现场进行封锁警戒，疏散救援组确定流失、</w:t>
      </w:r>
      <w:r>
        <w:rPr>
          <w:spacing w:val="-11"/>
          <w:sz w:val="24"/>
        </w:rPr>
        <w:t>泄漏、扩散的危险废物的类别、数量、发生时间、影响范围及严重程度，对泄漏及受污染的区</w:t>
      </w:r>
      <w:r>
        <w:rPr>
          <w:sz w:val="24"/>
        </w:rPr>
        <w:t>域、物品进行消毒或者无害化处置。可能污染身体时，应穿防渗的隔离衣。</w:t>
      </w:r>
    </w:p>
    <w:p>
      <w:pPr>
        <w:pStyle w:val="23"/>
        <w:numPr>
          <w:ilvl w:val="0"/>
          <w:numId w:val="50"/>
        </w:numPr>
        <w:tabs>
          <w:tab w:val="left" w:pos="1081"/>
        </w:tabs>
        <w:spacing w:line="364" w:lineRule="auto"/>
        <w:ind w:left="240" w:right="237" w:firstLine="480"/>
        <w:jc w:val="both"/>
        <w:rPr>
          <w:sz w:val="24"/>
        </w:rPr>
      </w:pPr>
      <w:r>
        <w:rPr>
          <w:spacing w:val="-1"/>
          <w:sz w:val="24"/>
        </w:rPr>
        <w:t>若出现危险废物与生活垃圾混装或散落污染在公司内，疏散救援组对散落的危废进行</w:t>
      </w:r>
      <w:r>
        <w:rPr>
          <w:spacing w:val="-10"/>
          <w:sz w:val="24"/>
        </w:rPr>
        <w:t>收集，将危废与混杂的生活垃圾一起进行处理。对于小量泄漏可以用吸油毡吸附、沙土覆盖或</w:t>
      </w:r>
      <w:r>
        <w:rPr>
          <w:spacing w:val="-9"/>
          <w:sz w:val="24"/>
        </w:rPr>
        <w:t>少量水冲洗。大量泄漏时，可用沙土或其他覆盖物进行覆盖，在其表面形成覆盖后，然后转移</w:t>
      </w:r>
      <w:r>
        <w:rPr>
          <w:sz w:val="24"/>
        </w:rPr>
        <w:t>至容器内。</w:t>
      </w:r>
    </w:p>
    <w:p>
      <w:pPr>
        <w:pStyle w:val="23"/>
        <w:numPr>
          <w:ilvl w:val="0"/>
          <w:numId w:val="50"/>
        </w:numPr>
        <w:tabs>
          <w:tab w:val="left" w:pos="1081"/>
        </w:tabs>
        <w:spacing w:line="364" w:lineRule="auto"/>
        <w:ind w:left="240" w:right="237" w:firstLine="480"/>
        <w:jc w:val="both"/>
        <w:rPr>
          <w:sz w:val="24"/>
        </w:rPr>
      </w:pPr>
      <w:r>
        <w:rPr>
          <w:spacing w:val="-1"/>
          <w:sz w:val="24"/>
        </w:rPr>
        <w:t>若出现危险废物污染地下水、地表水、土壤等环境污染事件，环境监测组配合上级部</w:t>
      </w:r>
      <w:r>
        <w:rPr>
          <w:spacing w:val="-7"/>
          <w:sz w:val="24"/>
        </w:rPr>
        <w:t>门开展对环境污染的监测工作，应急指挥部办公室应加强与上级有关部门的联系，按照上级部</w:t>
      </w:r>
      <w:r>
        <w:rPr>
          <w:sz w:val="24"/>
        </w:rPr>
        <w:t>门和应急指挥部要求及时发布救援信息。</w:t>
      </w:r>
    </w:p>
    <w:p>
      <w:pPr>
        <w:pStyle w:val="23"/>
        <w:numPr>
          <w:ilvl w:val="0"/>
          <w:numId w:val="50"/>
        </w:numPr>
        <w:tabs>
          <w:tab w:val="left" w:pos="1081"/>
        </w:tabs>
        <w:spacing w:line="362" w:lineRule="auto"/>
        <w:ind w:left="240" w:right="237" w:firstLine="480"/>
        <w:rPr>
          <w:sz w:val="24"/>
        </w:rPr>
      </w:pPr>
      <w:r>
        <w:rPr>
          <w:spacing w:val="-1"/>
          <w:sz w:val="24"/>
        </w:rPr>
        <w:t>引发水体污染时，要及时通知沿岸居民和地方政府，严禁下游人畜取水，对水体进行</w:t>
      </w:r>
      <w:r>
        <w:rPr>
          <w:sz w:val="24"/>
        </w:rPr>
        <w:t>监测，</w:t>
      </w:r>
      <w:r>
        <w:rPr>
          <w:rFonts w:hint="eastAsia"/>
          <w:sz w:val="24"/>
          <w:lang w:val="en-US" w:eastAsia="zh-CN"/>
        </w:rPr>
        <w:t>采</w:t>
      </w:r>
      <w:r>
        <w:rPr>
          <w:sz w:val="24"/>
        </w:rPr>
        <w:t>取打捞收集泄漏物、拦河筑坝、中和等方法严控污染扩大。</w:t>
      </w:r>
    </w:p>
    <w:p>
      <w:pPr>
        <w:pStyle w:val="23"/>
        <w:numPr>
          <w:ilvl w:val="0"/>
          <w:numId w:val="50"/>
        </w:numPr>
        <w:tabs>
          <w:tab w:val="left" w:pos="1081"/>
        </w:tabs>
        <w:rPr>
          <w:sz w:val="24"/>
        </w:rPr>
      </w:pPr>
      <w:r>
        <w:rPr>
          <w:sz w:val="24"/>
        </w:rPr>
        <w:t>引发火灾爆炸时，参照火灾爆炸应急处置措施。</w:t>
      </w:r>
    </w:p>
    <w:p>
      <w:pPr>
        <w:pStyle w:val="10"/>
        <w:spacing w:before="6"/>
        <w:rPr>
          <w:sz w:val="18"/>
        </w:rPr>
      </w:pPr>
    </w:p>
    <w:p>
      <w:pPr>
        <w:pStyle w:val="23"/>
        <w:numPr>
          <w:ilvl w:val="0"/>
          <w:numId w:val="48"/>
        </w:numPr>
        <w:tabs>
          <w:tab w:val="left" w:pos="1321"/>
        </w:tabs>
        <w:rPr>
          <w:sz w:val="24"/>
        </w:rPr>
      </w:pPr>
      <w:r>
        <w:rPr>
          <w:sz w:val="24"/>
        </w:rPr>
        <w:t>应急物资与装备保障</w:t>
      </w:r>
    </w:p>
    <w:p>
      <w:pPr>
        <w:pStyle w:val="10"/>
        <w:spacing w:before="161" w:line="364" w:lineRule="auto"/>
        <w:ind w:left="240" w:right="237" w:firstLine="480"/>
      </w:pPr>
      <w:r>
        <w:rPr>
          <w:spacing w:val="-8"/>
        </w:rPr>
        <w:t>危废泄漏发生时，医疗后勤组应及时调用应急所需的装备：防护物资如防护手套、防毒面</w:t>
      </w:r>
      <w:r>
        <w:t>具等，污染源切断物资如吸油毡、危废桶等。</w:t>
      </w:r>
    </w:p>
    <w:p>
      <w:pPr>
        <w:pStyle w:val="23"/>
        <w:numPr>
          <w:ilvl w:val="2"/>
          <w:numId w:val="6"/>
        </w:numPr>
        <w:tabs>
          <w:tab w:val="left" w:pos="941"/>
        </w:tabs>
        <w:spacing w:before="79"/>
        <w:ind w:left="940" w:hanging="701"/>
        <w:rPr>
          <w:b/>
          <w:sz w:val="28"/>
        </w:rPr>
      </w:pPr>
      <w:bookmarkStart w:id="151" w:name="_bookmark75"/>
      <w:bookmarkEnd w:id="151"/>
      <w:bookmarkStart w:id="152" w:name="6.4.5_化学品泄漏事故应急处置"/>
      <w:bookmarkEnd w:id="152"/>
      <w:r>
        <w:rPr>
          <w:b/>
          <w:spacing w:val="-1"/>
          <w:w w:val="95"/>
          <w:sz w:val="28"/>
        </w:rPr>
        <w:t>化学品泄漏事故应急处置</w:t>
      </w:r>
    </w:p>
    <w:p>
      <w:pPr>
        <w:pStyle w:val="10"/>
        <w:spacing w:before="10"/>
        <w:rPr>
          <w:b/>
          <w:sz w:val="32"/>
        </w:rPr>
      </w:pPr>
    </w:p>
    <w:p>
      <w:pPr>
        <w:pStyle w:val="23"/>
        <w:numPr>
          <w:ilvl w:val="0"/>
          <w:numId w:val="51"/>
        </w:numPr>
        <w:tabs>
          <w:tab w:val="left" w:pos="1321"/>
        </w:tabs>
        <w:rPr>
          <w:sz w:val="24"/>
        </w:rPr>
      </w:pPr>
      <w:r>
        <w:rPr>
          <w:sz w:val="24"/>
        </w:rPr>
        <w:t>信息报告</w:t>
      </w:r>
    </w:p>
    <w:p>
      <w:pPr>
        <w:pStyle w:val="10"/>
        <w:spacing w:before="161" w:line="364" w:lineRule="auto"/>
        <w:ind w:left="240" w:right="237" w:firstLine="480"/>
        <w:jc w:val="both"/>
      </w:pPr>
      <w:r>
        <w:rPr>
          <w:spacing w:val="-4"/>
        </w:rPr>
        <w:t>发生化学品</w:t>
      </w:r>
      <w:r>
        <w:t>（</w:t>
      </w:r>
      <w:r>
        <w:rPr>
          <w:spacing w:val="-5"/>
        </w:rPr>
        <w:t>主要是</w:t>
      </w:r>
      <w:r>
        <w:rPr>
          <w:rFonts w:hint="eastAsia"/>
          <w:spacing w:val="-5"/>
        </w:rPr>
        <w:t>油墨、乙烯醋酸乙烯共聚物（</w:t>
      </w:r>
      <w:r>
        <w:rPr>
          <w:rFonts w:hint="eastAsia"/>
          <w:spacing w:val="-5"/>
          <w:lang w:val="en-US"/>
        </w:rPr>
        <w:t>EVA</w:t>
      </w:r>
      <w:r>
        <w:rPr>
          <w:rFonts w:hint="eastAsia"/>
          <w:spacing w:val="-5"/>
        </w:rPr>
        <w:t>）</w:t>
      </w:r>
      <w:r>
        <w:rPr>
          <w:spacing w:val="-5"/>
        </w:rPr>
        <w:t>等</w:t>
      </w:r>
      <w:r>
        <w:rPr>
          <w:spacing w:val="-20"/>
        </w:rPr>
        <w:t>）</w:t>
      </w:r>
      <w:r>
        <w:rPr>
          <w:spacing w:val="-5"/>
        </w:rPr>
        <w:t>泄漏事故后，现场人员要立即向部门负责</w:t>
      </w:r>
      <w:r>
        <w:t>人报告，并上报应急指挥部（电话：</w:t>
      </w:r>
      <w:r>
        <w:rPr>
          <w:rFonts w:hint="eastAsia"/>
          <w:szCs w:val="21"/>
        </w:rPr>
        <w:t>13907246986</w:t>
      </w:r>
      <w:r>
        <w:t>）</w:t>
      </w:r>
      <w:r>
        <w:rPr>
          <w:spacing w:val="-1"/>
        </w:rPr>
        <w:t>，应急指挥部接到报告后，自下而上逐级</w:t>
      </w:r>
      <w:r>
        <w:t>报告或救援。</w:t>
      </w:r>
    </w:p>
    <w:p>
      <w:pPr>
        <w:pStyle w:val="10"/>
        <w:spacing w:before="1"/>
        <w:ind w:left="720"/>
      </w:pPr>
      <w:r>
        <w:t>报告内容：</w:t>
      </w:r>
    </w:p>
    <w:p>
      <w:pPr>
        <w:pStyle w:val="23"/>
        <w:numPr>
          <w:ilvl w:val="0"/>
          <w:numId w:val="52"/>
        </w:numPr>
        <w:tabs>
          <w:tab w:val="left" w:pos="1081"/>
        </w:tabs>
        <w:spacing w:before="161"/>
        <w:rPr>
          <w:sz w:val="24"/>
        </w:rPr>
      </w:pPr>
      <w:r>
        <w:rPr>
          <w:sz w:val="24"/>
        </w:rPr>
        <w:t>事故概况包括发生单位、时间、地点；</w:t>
      </w:r>
    </w:p>
    <w:p>
      <w:pPr>
        <w:pStyle w:val="23"/>
        <w:numPr>
          <w:ilvl w:val="0"/>
          <w:numId w:val="52"/>
        </w:numPr>
        <w:tabs>
          <w:tab w:val="left" w:pos="1081"/>
        </w:tabs>
        <w:spacing w:before="160"/>
        <w:rPr>
          <w:sz w:val="24"/>
        </w:rPr>
      </w:pPr>
      <w:r>
        <w:rPr>
          <w:sz w:val="24"/>
        </w:rPr>
        <w:t>泄漏的危废种类、位置、数量；</w:t>
      </w:r>
    </w:p>
    <w:p>
      <w:pPr>
        <w:pStyle w:val="23"/>
        <w:numPr>
          <w:ilvl w:val="0"/>
          <w:numId w:val="52"/>
        </w:numPr>
        <w:tabs>
          <w:tab w:val="left" w:pos="1081"/>
        </w:tabs>
        <w:spacing w:before="161"/>
        <w:rPr>
          <w:sz w:val="24"/>
        </w:rPr>
      </w:pPr>
      <w:r>
        <w:rPr>
          <w:sz w:val="24"/>
        </w:rPr>
        <w:t>事故的简要经过、伤亡情况、伤害程度、涉及范围等；</w:t>
      </w:r>
    </w:p>
    <w:p>
      <w:pPr>
        <w:pStyle w:val="23"/>
        <w:numPr>
          <w:ilvl w:val="0"/>
          <w:numId w:val="52"/>
        </w:numPr>
        <w:tabs>
          <w:tab w:val="left" w:pos="1081"/>
        </w:tabs>
        <w:spacing w:before="160"/>
        <w:rPr>
          <w:sz w:val="24"/>
        </w:rPr>
      </w:pPr>
      <w:r>
        <w:rPr>
          <w:sz w:val="24"/>
        </w:rPr>
        <w:t>事故发生原因的初步判断；</w:t>
      </w:r>
    </w:p>
    <w:p>
      <w:pPr>
        <w:pStyle w:val="23"/>
        <w:numPr>
          <w:ilvl w:val="0"/>
          <w:numId w:val="52"/>
        </w:numPr>
        <w:tabs>
          <w:tab w:val="left" w:pos="1081"/>
        </w:tabs>
        <w:spacing w:before="161"/>
        <w:rPr>
          <w:sz w:val="24"/>
        </w:rPr>
      </w:pPr>
      <w:r>
        <w:rPr>
          <w:sz w:val="24"/>
        </w:rPr>
        <w:t>事故发生后已采取的措施及当前事故抢险情况等。</w:t>
      </w:r>
    </w:p>
    <w:p>
      <w:pPr>
        <w:rPr>
          <w:sz w:val="24"/>
        </w:rPr>
        <w:sectPr>
          <w:pgSz w:w="11910" w:h="16840"/>
          <w:pgMar w:top="1360" w:right="840" w:bottom="1180" w:left="840" w:header="882" w:footer="993" w:gutter="0"/>
          <w:cols w:space="720" w:num="1"/>
        </w:sectPr>
      </w:pPr>
    </w:p>
    <w:p>
      <w:pPr>
        <w:pStyle w:val="23"/>
        <w:numPr>
          <w:ilvl w:val="0"/>
          <w:numId w:val="51"/>
        </w:numPr>
        <w:tabs>
          <w:tab w:val="left" w:pos="1321"/>
        </w:tabs>
        <w:spacing w:before="143"/>
        <w:rPr>
          <w:sz w:val="24"/>
        </w:rPr>
      </w:pPr>
      <w:r>
        <w:rPr>
          <w:sz w:val="24"/>
        </w:rPr>
        <w:t>处置措施</w:t>
      </w:r>
    </w:p>
    <w:p>
      <w:pPr>
        <w:pStyle w:val="23"/>
        <w:numPr>
          <w:ilvl w:val="0"/>
          <w:numId w:val="53"/>
        </w:numPr>
        <w:tabs>
          <w:tab w:val="left" w:pos="1081"/>
        </w:tabs>
        <w:spacing w:before="81" w:line="364" w:lineRule="auto"/>
        <w:ind w:right="237" w:firstLine="480"/>
        <w:rPr>
          <w:sz w:val="24"/>
        </w:rPr>
      </w:pPr>
      <w:r>
        <w:rPr>
          <w:spacing w:val="-1"/>
          <w:sz w:val="24"/>
        </w:rPr>
        <w:t>发生危险废物泄漏事件后，第一发现人应立即报告应急指挥部，包括流失、泄漏、扩</w:t>
      </w:r>
      <w:r>
        <w:rPr>
          <w:sz w:val="24"/>
        </w:rPr>
        <w:t>散的化学品类别、数量、发生时间、影响范围及严重程度等。</w:t>
      </w:r>
    </w:p>
    <w:p>
      <w:pPr>
        <w:pStyle w:val="23"/>
        <w:numPr>
          <w:ilvl w:val="0"/>
          <w:numId w:val="53"/>
        </w:numPr>
        <w:tabs>
          <w:tab w:val="left" w:pos="1081"/>
        </w:tabs>
        <w:spacing w:line="364" w:lineRule="auto"/>
        <w:ind w:right="237" w:firstLine="480"/>
        <w:jc w:val="both"/>
        <w:rPr>
          <w:sz w:val="24"/>
        </w:rPr>
      </w:pPr>
      <w:r>
        <w:rPr>
          <w:spacing w:val="-1"/>
          <w:sz w:val="24"/>
        </w:rPr>
        <w:t>疏散救援组对发生化学品泄漏、扩散的现场进行封锁警戒，疏散救援组确定流失、泄</w:t>
      </w:r>
      <w:r>
        <w:rPr>
          <w:spacing w:val="-10"/>
          <w:sz w:val="24"/>
        </w:rPr>
        <w:t>漏、扩散的危险废物的类别、数量、发生时间、影响范围及严重程度，可能污染身体时，应穿</w:t>
      </w:r>
      <w:r>
        <w:rPr>
          <w:sz w:val="24"/>
        </w:rPr>
        <w:t>防渗的隔离衣、防护面具。</w:t>
      </w:r>
    </w:p>
    <w:p>
      <w:pPr>
        <w:pStyle w:val="23"/>
        <w:numPr>
          <w:ilvl w:val="0"/>
          <w:numId w:val="53"/>
        </w:numPr>
        <w:tabs>
          <w:tab w:val="left" w:pos="1081"/>
        </w:tabs>
        <w:spacing w:line="362" w:lineRule="auto"/>
        <w:ind w:right="237" w:firstLine="480"/>
        <w:rPr>
          <w:sz w:val="24"/>
        </w:rPr>
      </w:pPr>
      <w:r>
        <w:rPr>
          <w:spacing w:val="-1"/>
          <w:sz w:val="24"/>
        </w:rPr>
        <w:t>对于小量泄漏可以用吸油毡吸附、沙土覆盖或少量水冲洗。大量泄漏时，可用沙土或</w:t>
      </w:r>
      <w:r>
        <w:rPr>
          <w:sz w:val="24"/>
        </w:rPr>
        <w:t>其他覆盖物进行覆盖，在其表面形成覆盖后，然后转移至容器内。</w:t>
      </w:r>
    </w:p>
    <w:p>
      <w:pPr>
        <w:pStyle w:val="23"/>
        <w:numPr>
          <w:ilvl w:val="0"/>
          <w:numId w:val="53"/>
        </w:numPr>
        <w:tabs>
          <w:tab w:val="left" w:pos="1081"/>
        </w:tabs>
        <w:spacing w:before="82" w:line="364" w:lineRule="auto"/>
        <w:ind w:right="237" w:firstLine="480"/>
        <w:jc w:val="both"/>
        <w:rPr>
          <w:sz w:val="24"/>
        </w:rPr>
      </w:pPr>
      <w:r>
        <w:rPr>
          <w:spacing w:val="-1"/>
          <w:sz w:val="24"/>
        </w:rPr>
        <w:t>当发生火灾事故时，小火用干粉灭火器或二氧化碳灭火器灭火，大火用喷水或喷水雾</w:t>
      </w:r>
      <w:r>
        <w:rPr>
          <w:spacing w:val="-11"/>
          <w:sz w:val="24"/>
        </w:rPr>
        <w:t>方式灭火。另外，对储存区域进行冲洗降温，撤离周围易燃可燃物品等方法控制火势。火灾事</w:t>
      </w:r>
      <w:r>
        <w:rPr>
          <w:spacing w:val="-8"/>
          <w:sz w:val="24"/>
        </w:rPr>
        <w:t>故中产生的消防废水，泵入事故应急池暂存，同时堵住厂区内雨水口，防止消防废水进入雨水</w:t>
      </w:r>
      <w:r>
        <w:rPr>
          <w:sz w:val="24"/>
        </w:rPr>
        <w:t>排放系统。</w:t>
      </w:r>
    </w:p>
    <w:p>
      <w:pPr>
        <w:pStyle w:val="23"/>
        <w:numPr>
          <w:ilvl w:val="0"/>
          <w:numId w:val="51"/>
        </w:numPr>
        <w:tabs>
          <w:tab w:val="left" w:pos="1321"/>
        </w:tabs>
        <w:spacing w:before="3"/>
        <w:rPr>
          <w:sz w:val="24"/>
        </w:rPr>
      </w:pPr>
      <w:r>
        <w:rPr>
          <w:sz w:val="24"/>
        </w:rPr>
        <w:t>应急物资与装备保障</w:t>
      </w:r>
    </w:p>
    <w:p>
      <w:pPr>
        <w:pStyle w:val="10"/>
        <w:spacing w:before="160" w:line="364" w:lineRule="auto"/>
        <w:ind w:left="240" w:right="237" w:firstLine="480"/>
      </w:pPr>
      <w:r>
        <w:rPr>
          <w:spacing w:val="-8"/>
        </w:rPr>
        <w:t>化学品泄漏发生时，医疗后勤组应及时调用应急所需的装备：防护物资如防护手套、防毒</w:t>
      </w:r>
      <w:r>
        <w:t>面具等，污染源切断物资如吸油毡、收集桶等。</w:t>
      </w:r>
    </w:p>
    <w:p>
      <w:pPr>
        <w:pStyle w:val="23"/>
        <w:numPr>
          <w:ilvl w:val="2"/>
          <w:numId w:val="6"/>
        </w:numPr>
        <w:tabs>
          <w:tab w:val="left" w:pos="941"/>
        </w:tabs>
        <w:spacing w:before="79"/>
        <w:ind w:left="940" w:hanging="701"/>
        <w:rPr>
          <w:b/>
          <w:sz w:val="28"/>
        </w:rPr>
      </w:pPr>
      <w:bookmarkStart w:id="153" w:name="6.4.6_废水泄漏事故应急处置"/>
      <w:bookmarkEnd w:id="153"/>
      <w:bookmarkStart w:id="154" w:name="_bookmark76"/>
      <w:bookmarkEnd w:id="154"/>
      <w:r>
        <w:rPr>
          <w:b/>
          <w:sz w:val="28"/>
        </w:rPr>
        <w:t>废水泄漏事故应急处置</w:t>
      </w:r>
    </w:p>
    <w:p>
      <w:pPr>
        <w:pStyle w:val="10"/>
        <w:spacing w:before="10"/>
        <w:rPr>
          <w:b/>
          <w:sz w:val="32"/>
        </w:rPr>
      </w:pPr>
    </w:p>
    <w:p>
      <w:pPr>
        <w:pStyle w:val="23"/>
        <w:numPr>
          <w:ilvl w:val="0"/>
          <w:numId w:val="54"/>
        </w:numPr>
        <w:tabs>
          <w:tab w:val="left" w:pos="1321"/>
        </w:tabs>
        <w:spacing w:before="1"/>
        <w:rPr>
          <w:sz w:val="24"/>
        </w:rPr>
      </w:pPr>
      <w:r>
        <w:rPr>
          <w:sz w:val="24"/>
        </w:rPr>
        <w:t>信息报告</w:t>
      </w:r>
    </w:p>
    <w:p>
      <w:pPr>
        <w:pStyle w:val="10"/>
        <w:spacing w:before="160" w:line="364" w:lineRule="auto"/>
        <w:ind w:left="240" w:right="235" w:firstLine="480"/>
      </w:pPr>
      <w:r>
        <w:rPr>
          <w:spacing w:val="-5"/>
        </w:rPr>
        <w:t>发生沉淀池废水泄漏事故后，现场人员要立即向部门负责人报告，并上报应急指挥部</w:t>
      </w:r>
      <w:r>
        <w:t>（</w:t>
      </w:r>
      <w:r>
        <w:rPr>
          <w:spacing w:val="-16"/>
        </w:rPr>
        <w:t>电</w:t>
      </w:r>
      <w:r>
        <w:t>话：</w:t>
      </w:r>
      <w:r>
        <w:rPr>
          <w:rFonts w:hint="eastAsia"/>
          <w:szCs w:val="21"/>
        </w:rPr>
        <w:t>13907246986</w:t>
      </w:r>
      <w:r>
        <w:t>），应急指挥部接到报告后，自下而上逐级报告或救援。</w:t>
      </w:r>
    </w:p>
    <w:p>
      <w:pPr>
        <w:pStyle w:val="10"/>
        <w:spacing w:before="1"/>
        <w:ind w:left="720"/>
      </w:pPr>
      <w:r>
        <w:t>报告内容：</w:t>
      </w:r>
    </w:p>
    <w:p>
      <w:pPr>
        <w:pStyle w:val="23"/>
        <w:numPr>
          <w:ilvl w:val="0"/>
          <w:numId w:val="55"/>
        </w:numPr>
        <w:tabs>
          <w:tab w:val="left" w:pos="1081"/>
        </w:tabs>
        <w:spacing w:before="161"/>
        <w:rPr>
          <w:sz w:val="24"/>
        </w:rPr>
      </w:pPr>
      <w:r>
        <w:rPr>
          <w:sz w:val="24"/>
        </w:rPr>
        <w:t>事故概况包括发生单位、时间、地点；</w:t>
      </w:r>
    </w:p>
    <w:p>
      <w:pPr>
        <w:pStyle w:val="23"/>
        <w:numPr>
          <w:ilvl w:val="0"/>
          <w:numId w:val="55"/>
        </w:numPr>
        <w:tabs>
          <w:tab w:val="left" w:pos="1081"/>
        </w:tabs>
        <w:spacing w:before="160"/>
        <w:rPr>
          <w:sz w:val="24"/>
        </w:rPr>
      </w:pPr>
      <w:r>
        <w:rPr>
          <w:sz w:val="24"/>
        </w:rPr>
        <w:t>废水泄漏的位置、数量；</w:t>
      </w:r>
    </w:p>
    <w:p>
      <w:pPr>
        <w:pStyle w:val="23"/>
        <w:numPr>
          <w:ilvl w:val="0"/>
          <w:numId w:val="55"/>
        </w:numPr>
        <w:tabs>
          <w:tab w:val="left" w:pos="1081"/>
        </w:tabs>
        <w:spacing w:before="161"/>
        <w:rPr>
          <w:sz w:val="24"/>
        </w:rPr>
      </w:pPr>
      <w:r>
        <w:rPr>
          <w:sz w:val="24"/>
        </w:rPr>
        <w:t>事故的简要经过、伤亡情况、伤害程度、涉及范围等；</w:t>
      </w:r>
    </w:p>
    <w:p>
      <w:pPr>
        <w:pStyle w:val="23"/>
        <w:numPr>
          <w:ilvl w:val="0"/>
          <w:numId w:val="55"/>
        </w:numPr>
        <w:tabs>
          <w:tab w:val="left" w:pos="1081"/>
        </w:tabs>
        <w:spacing w:before="160"/>
        <w:rPr>
          <w:sz w:val="24"/>
        </w:rPr>
      </w:pPr>
      <w:r>
        <w:rPr>
          <w:sz w:val="24"/>
        </w:rPr>
        <w:t>事故发生原因的初步判断；</w:t>
      </w:r>
    </w:p>
    <w:p>
      <w:pPr>
        <w:pStyle w:val="23"/>
        <w:numPr>
          <w:ilvl w:val="0"/>
          <w:numId w:val="55"/>
        </w:numPr>
        <w:tabs>
          <w:tab w:val="left" w:pos="1081"/>
        </w:tabs>
        <w:spacing w:before="161"/>
        <w:rPr>
          <w:sz w:val="24"/>
        </w:rPr>
      </w:pPr>
      <w:r>
        <w:rPr>
          <w:sz w:val="24"/>
        </w:rPr>
        <w:t>事故发生后已采取的措施及当前事故抢险情况等。</w:t>
      </w:r>
    </w:p>
    <w:p>
      <w:pPr>
        <w:pStyle w:val="23"/>
        <w:numPr>
          <w:ilvl w:val="0"/>
          <w:numId w:val="54"/>
        </w:numPr>
        <w:tabs>
          <w:tab w:val="left" w:pos="1321"/>
        </w:tabs>
        <w:spacing w:before="160"/>
        <w:rPr>
          <w:sz w:val="24"/>
        </w:rPr>
      </w:pPr>
      <w:r>
        <w:rPr>
          <w:sz w:val="24"/>
        </w:rPr>
        <w:t>处置措施</w:t>
      </w:r>
    </w:p>
    <w:p>
      <w:pPr>
        <w:pStyle w:val="23"/>
        <w:numPr>
          <w:ilvl w:val="0"/>
          <w:numId w:val="56"/>
        </w:numPr>
        <w:tabs>
          <w:tab w:val="left" w:pos="1081"/>
        </w:tabs>
        <w:spacing w:before="161" w:line="364" w:lineRule="auto"/>
        <w:ind w:right="240" w:firstLine="480"/>
        <w:rPr>
          <w:sz w:val="24"/>
        </w:rPr>
      </w:pPr>
      <w:r>
        <w:rPr>
          <w:spacing w:val="-1"/>
          <w:sz w:val="24"/>
        </w:rPr>
        <w:t>废水泄露主要采取以下措施进行防治：及时堵漏；及时截流；及时搬运物资进行现场</w:t>
      </w:r>
      <w:r>
        <w:rPr>
          <w:sz w:val="24"/>
        </w:rPr>
        <w:t>的综合处理。</w:t>
      </w:r>
    </w:p>
    <w:p>
      <w:pPr>
        <w:pStyle w:val="23"/>
        <w:numPr>
          <w:ilvl w:val="0"/>
          <w:numId w:val="56"/>
        </w:numPr>
        <w:tabs>
          <w:tab w:val="left" w:pos="1081"/>
        </w:tabs>
        <w:spacing w:before="1"/>
        <w:ind w:left="1081"/>
        <w:rPr>
          <w:sz w:val="24"/>
        </w:rPr>
      </w:pPr>
      <w:r>
        <w:rPr>
          <w:sz w:val="24"/>
        </w:rPr>
        <w:t>若废水泄露，第一发现人应立即报告公司应急指挥部，公司应急指挥部指令停止废水</w:t>
      </w:r>
    </w:p>
    <w:p>
      <w:pPr>
        <w:rPr>
          <w:sz w:val="24"/>
        </w:rPr>
        <w:sectPr>
          <w:pgSz w:w="11910" w:h="16840"/>
          <w:pgMar w:top="1360" w:right="840" w:bottom="1180" w:left="840" w:header="882" w:footer="993" w:gutter="0"/>
          <w:cols w:space="720" w:num="1"/>
        </w:sectPr>
      </w:pPr>
    </w:p>
    <w:p>
      <w:pPr>
        <w:pStyle w:val="10"/>
        <w:spacing w:before="143"/>
        <w:ind w:left="240"/>
      </w:pPr>
      <w:r>
        <w:t>产生工序。</w:t>
      </w:r>
    </w:p>
    <w:p>
      <w:pPr>
        <w:pStyle w:val="23"/>
        <w:numPr>
          <w:ilvl w:val="0"/>
          <w:numId w:val="56"/>
        </w:numPr>
        <w:tabs>
          <w:tab w:val="left" w:pos="1081"/>
        </w:tabs>
        <w:spacing w:before="160"/>
        <w:ind w:left="1081"/>
        <w:rPr>
          <w:sz w:val="24"/>
        </w:rPr>
      </w:pPr>
      <w:r>
        <w:rPr>
          <w:spacing w:val="-4"/>
          <w:sz w:val="24"/>
        </w:rPr>
        <w:t>应急指挥部视情况对现场实施监控，对泄漏部位进行堵漏，使用沙袋对污水进行截流；</w:t>
      </w:r>
    </w:p>
    <w:p>
      <w:pPr>
        <w:pStyle w:val="23"/>
        <w:numPr>
          <w:ilvl w:val="0"/>
          <w:numId w:val="56"/>
        </w:numPr>
        <w:tabs>
          <w:tab w:val="left" w:pos="1081"/>
        </w:tabs>
        <w:spacing w:before="161" w:line="364" w:lineRule="auto"/>
        <w:ind w:right="117" w:firstLine="480"/>
        <w:rPr>
          <w:sz w:val="24"/>
        </w:rPr>
      </w:pPr>
      <w:r>
        <w:rPr>
          <w:spacing w:val="-3"/>
          <w:sz w:val="24"/>
        </w:rPr>
        <w:t>调动抽水泵等物资到将污水抽至应急池暂存，并通知维修部门及时对沉淀池进行维修</w:t>
      </w:r>
      <w:r>
        <w:rPr>
          <w:spacing w:val="-4"/>
          <w:sz w:val="24"/>
        </w:rPr>
        <w:t>，修缮完毕再将应急池废水抽至沉淀池。</w:t>
      </w:r>
    </w:p>
    <w:p>
      <w:pPr>
        <w:pStyle w:val="23"/>
        <w:numPr>
          <w:ilvl w:val="0"/>
          <w:numId w:val="54"/>
        </w:numPr>
        <w:tabs>
          <w:tab w:val="left" w:pos="1321"/>
        </w:tabs>
        <w:spacing w:before="1"/>
        <w:rPr>
          <w:sz w:val="24"/>
        </w:rPr>
      </w:pPr>
      <w:r>
        <w:rPr>
          <w:sz w:val="24"/>
        </w:rPr>
        <w:t>应急物资与装备保障</w:t>
      </w:r>
    </w:p>
    <w:p>
      <w:pPr>
        <w:pStyle w:val="10"/>
        <w:spacing w:before="160" w:line="364" w:lineRule="auto"/>
        <w:ind w:left="240" w:right="237" w:firstLine="480"/>
      </w:pPr>
      <w:r>
        <w:rPr>
          <w:spacing w:val="-8"/>
        </w:rPr>
        <w:t>废水泄漏发生时，医疗后勤组应及时调用应急所需的装备：防护物资如防护手套等，污染</w:t>
      </w:r>
      <w:r>
        <w:t>源切断物资如水泵、管道修补剂等。</w:t>
      </w:r>
    </w:p>
    <w:p>
      <w:pPr>
        <w:pStyle w:val="6"/>
        <w:numPr>
          <w:ilvl w:val="1"/>
          <w:numId w:val="6"/>
        </w:numPr>
        <w:tabs>
          <w:tab w:val="left" w:pos="766"/>
        </w:tabs>
        <w:spacing w:before="81"/>
      </w:pPr>
      <w:bookmarkStart w:id="155" w:name="6.5_应急疏散与受伤人员现场救护"/>
      <w:bookmarkEnd w:id="155"/>
      <w:bookmarkStart w:id="156" w:name="_bookmark77"/>
      <w:bookmarkEnd w:id="156"/>
      <w:r>
        <w:t>应急疏散与受伤人员现场救护</w:t>
      </w:r>
    </w:p>
    <w:p>
      <w:pPr>
        <w:pStyle w:val="10"/>
        <w:spacing w:before="7"/>
        <w:rPr>
          <w:b/>
          <w:sz w:val="27"/>
        </w:rPr>
      </w:pPr>
    </w:p>
    <w:p>
      <w:pPr>
        <w:pStyle w:val="23"/>
        <w:numPr>
          <w:ilvl w:val="2"/>
          <w:numId w:val="6"/>
        </w:numPr>
        <w:tabs>
          <w:tab w:val="left" w:pos="941"/>
        </w:tabs>
        <w:ind w:left="940" w:hanging="701"/>
        <w:rPr>
          <w:b/>
          <w:sz w:val="28"/>
        </w:rPr>
      </w:pPr>
      <w:bookmarkStart w:id="157" w:name="6.5.1_应急疏散"/>
      <w:bookmarkEnd w:id="157"/>
      <w:bookmarkStart w:id="158" w:name="_bookmark78"/>
      <w:bookmarkEnd w:id="158"/>
      <w:r>
        <w:rPr>
          <w:b/>
          <w:sz w:val="28"/>
        </w:rPr>
        <w:t>应急疏散</w:t>
      </w:r>
    </w:p>
    <w:p>
      <w:pPr>
        <w:pStyle w:val="10"/>
        <w:spacing w:before="8"/>
        <w:rPr>
          <w:b/>
          <w:sz w:val="26"/>
        </w:rPr>
      </w:pPr>
    </w:p>
    <w:p>
      <w:pPr>
        <w:pStyle w:val="10"/>
        <w:spacing w:line="364" w:lineRule="auto"/>
        <w:ind w:left="240" w:right="237" w:firstLine="480"/>
      </w:pPr>
      <w:r>
        <w:rPr>
          <w:spacing w:val="-7"/>
        </w:rPr>
        <w:t>厂内员工应急疏散由疏散救援组负责，厂外受影响单位和居民应急疏散由警戒疏散组配合</w:t>
      </w:r>
      <w:r>
        <w:t>地方政府、村居委会等完成。</w:t>
      </w:r>
    </w:p>
    <w:p>
      <w:pPr>
        <w:pStyle w:val="10"/>
        <w:spacing w:before="1" w:line="362" w:lineRule="auto"/>
        <w:ind w:left="240" w:right="237" w:firstLine="480"/>
        <w:jc w:val="both"/>
      </w:pPr>
      <w:r>
        <w:t>根据应急救援工作需要，划分禁区、暖区、除污区和冷区（</w:t>
      </w:r>
      <w:r>
        <w:rPr>
          <w:spacing w:val="-31"/>
        </w:rPr>
        <w:t xml:space="preserve">图 </w:t>
      </w:r>
      <w:r>
        <w:rPr>
          <w:rFonts w:ascii="Times New Roman" w:eastAsia="Times New Roman"/>
        </w:rPr>
        <w:t>6.5-1</w:t>
      </w:r>
      <w:r>
        <w:t>），组织厂区人员及</w:t>
      </w:r>
      <w:r>
        <w:rPr>
          <w:spacing w:val="-8"/>
        </w:rPr>
        <w:t>周边群众向冷区疏散，综合本企业火灾伴生一氧化碳事件预测结果确定，当产生少量一氧化碳</w:t>
      </w:r>
      <w:r>
        <w:rPr>
          <w:spacing w:val="-7"/>
        </w:rPr>
        <w:t xml:space="preserve">时，紧急隔离距离为 </w:t>
      </w:r>
      <w:r>
        <w:rPr>
          <w:rFonts w:ascii="Times New Roman" w:eastAsia="Times New Roman"/>
        </w:rPr>
        <w:t>1700m</w:t>
      </w:r>
      <w:r>
        <w:rPr>
          <w:spacing w:val="-20"/>
        </w:rPr>
        <w:t xml:space="preserve">，即 </w:t>
      </w:r>
      <w:r>
        <w:rPr>
          <w:rFonts w:ascii="Times New Roman" w:eastAsia="Times New Roman"/>
        </w:rPr>
        <w:t xml:space="preserve">1700m </w:t>
      </w:r>
      <w:r>
        <w:t>范围内的人群需要紧急疏散。具体措施如下：</w:t>
      </w:r>
    </w:p>
    <w:p>
      <w:pPr>
        <w:pStyle w:val="23"/>
        <w:numPr>
          <w:ilvl w:val="0"/>
          <w:numId w:val="57"/>
        </w:numPr>
        <w:tabs>
          <w:tab w:val="left" w:pos="1321"/>
        </w:tabs>
        <w:spacing w:before="86" w:line="364" w:lineRule="auto"/>
        <w:ind w:right="237" w:firstLine="480"/>
        <w:jc w:val="both"/>
        <w:rPr>
          <w:sz w:val="24"/>
        </w:rPr>
      </w:pPr>
      <w:r>
        <w:rPr>
          <w:spacing w:val="-1"/>
          <w:sz w:val="24"/>
        </w:rPr>
        <w:t>当事故危急周边单位或社区时，由应急指挥部向当地乡镇政府、村居委会报告，提</w:t>
      </w:r>
      <w:r>
        <w:rPr>
          <w:spacing w:val="-8"/>
          <w:sz w:val="24"/>
        </w:rPr>
        <w:t>出要求组织撤离疏散。周边居民在企业应急指挥部办公室和疏散救援组以及居委会、物业指引</w:t>
      </w:r>
      <w:r>
        <w:rPr>
          <w:sz w:val="24"/>
        </w:rPr>
        <w:t>下向上风向疏散。现场总指挥应明确告知</w:t>
      </w:r>
      <w:r>
        <w:rPr>
          <w:rFonts w:ascii="Times New Roman" w:hAnsi="Times New Roman" w:eastAsia="Times New Roman"/>
          <w:sz w:val="24"/>
        </w:rPr>
        <w:t>“</w:t>
      </w:r>
      <w:r>
        <w:rPr>
          <w:sz w:val="24"/>
        </w:rPr>
        <w:t>什么原因导致什么位置火灾（泄漏、爆炸）</w:t>
      </w:r>
      <w:r>
        <w:rPr>
          <w:spacing w:val="-4"/>
          <w:sz w:val="24"/>
        </w:rPr>
        <w:t>，通过</w:t>
      </w:r>
      <w:r>
        <w:rPr>
          <w:sz w:val="24"/>
        </w:rPr>
        <w:t>什么通道向什么区域疏散，到什么地方集结</w:t>
      </w:r>
      <w:r>
        <w:rPr>
          <w:rFonts w:ascii="Times New Roman" w:hAnsi="Times New Roman" w:eastAsia="Times New Roman"/>
          <w:sz w:val="24"/>
        </w:rPr>
        <w:t>”</w:t>
      </w:r>
      <w:r>
        <w:rPr>
          <w:sz w:val="24"/>
        </w:rPr>
        <w:t>。</w:t>
      </w:r>
    </w:p>
    <w:p>
      <w:pPr>
        <w:pStyle w:val="23"/>
        <w:numPr>
          <w:ilvl w:val="0"/>
          <w:numId w:val="57"/>
        </w:numPr>
        <w:tabs>
          <w:tab w:val="left" w:pos="1321"/>
        </w:tabs>
        <w:spacing w:before="2" w:line="364" w:lineRule="auto"/>
        <w:ind w:right="145" w:firstLine="480"/>
        <w:rPr>
          <w:sz w:val="24"/>
        </w:rPr>
      </w:pPr>
      <w:r>
        <w:rPr>
          <w:sz w:val="24"/>
        </w:rPr>
        <w:t>疏散顺序原则是先危险后一般、先人员后财物、先泄漏区后外围、先通道后房间、</w:t>
      </w:r>
      <w:r>
        <w:rPr>
          <w:spacing w:val="-1"/>
          <w:sz w:val="24"/>
        </w:rPr>
        <w:t>先出口后内部。疏散救援组应协同周边村居委会、物业维护疏散秩序，指明疏散方向和路径。</w:t>
      </w:r>
      <w:r>
        <w:rPr>
          <w:spacing w:val="-6"/>
          <w:sz w:val="24"/>
        </w:rPr>
        <w:t>在路口处应有人员引导，避免周边居民误入危险区域；要阻止逆向跑、窜、推撞、挤压情况发生；有人倒下，要立即扶起，防止踩踏事故发生。</w:t>
      </w:r>
    </w:p>
    <w:p>
      <w:pPr>
        <w:pStyle w:val="23"/>
        <w:numPr>
          <w:ilvl w:val="0"/>
          <w:numId w:val="57"/>
        </w:numPr>
        <w:tabs>
          <w:tab w:val="left" w:pos="1321"/>
        </w:tabs>
        <w:spacing w:before="3" w:line="364" w:lineRule="auto"/>
        <w:ind w:right="237" w:firstLine="480"/>
        <w:jc w:val="both"/>
        <w:rPr>
          <w:sz w:val="24"/>
        </w:rPr>
      </w:pPr>
      <w:r>
        <w:rPr>
          <w:spacing w:val="-1"/>
          <w:sz w:val="24"/>
        </w:rPr>
        <w:t>在疏散路径上指定人员组织引导、指示出口，并适当控制流量，在出口处安排专人</w:t>
      </w:r>
      <w:r>
        <w:rPr>
          <w:spacing w:val="-9"/>
          <w:sz w:val="24"/>
        </w:rPr>
        <w:t>指示集结方向，疏散人员不准中途停留或者返回。分别到达指定的集合地。遇特殊情况由现场</w:t>
      </w:r>
      <w:r>
        <w:rPr>
          <w:sz w:val="24"/>
        </w:rPr>
        <w:t>最高总指挥根据现场情况选择集合地，发出指令。</w:t>
      </w:r>
    </w:p>
    <w:p>
      <w:pPr>
        <w:pStyle w:val="23"/>
        <w:numPr>
          <w:ilvl w:val="0"/>
          <w:numId w:val="57"/>
        </w:numPr>
        <w:tabs>
          <w:tab w:val="left" w:pos="1321"/>
        </w:tabs>
        <w:spacing w:before="1" w:line="364" w:lineRule="auto"/>
        <w:ind w:right="237" w:firstLine="480"/>
        <w:rPr>
          <w:sz w:val="24"/>
        </w:rPr>
      </w:pPr>
      <w:r>
        <w:rPr>
          <w:sz w:val="24"/>
        </w:rPr>
        <w:t>设备</w:t>
      </w:r>
      <w:r>
        <w:rPr>
          <w:rFonts w:ascii="Times New Roman" w:eastAsia="Times New Roman"/>
          <w:sz w:val="24"/>
        </w:rPr>
        <w:t>/</w:t>
      </w:r>
      <w:r>
        <w:rPr>
          <w:spacing w:val="-4"/>
          <w:sz w:val="24"/>
        </w:rPr>
        <w:t>装置使用人在撤离前，利用最短的时间，关闭该区域内可能会引起更大事故的</w:t>
      </w:r>
      <w:r>
        <w:rPr>
          <w:sz w:val="24"/>
        </w:rPr>
        <w:t>电源和管道阀门等。</w:t>
      </w:r>
    </w:p>
    <w:p>
      <w:pPr>
        <w:pStyle w:val="23"/>
        <w:numPr>
          <w:ilvl w:val="0"/>
          <w:numId w:val="57"/>
        </w:numPr>
        <w:tabs>
          <w:tab w:val="left" w:pos="1323"/>
        </w:tabs>
        <w:spacing w:before="2"/>
        <w:ind w:left="1322" w:hanging="603"/>
        <w:rPr>
          <w:sz w:val="24"/>
        </w:rPr>
      </w:pPr>
      <w:r>
        <w:rPr>
          <w:sz w:val="24"/>
        </w:rPr>
        <w:t>疏散救援组应当配合周边村居委会、物业在集合地点对疏散的居民人数进行清点，</w:t>
      </w:r>
    </w:p>
    <w:p>
      <w:pPr>
        <w:rPr>
          <w:sz w:val="24"/>
        </w:rPr>
        <w:sectPr>
          <w:pgSz w:w="11910" w:h="16840"/>
          <w:pgMar w:top="1360" w:right="840" w:bottom="1180" w:left="840" w:header="882" w:footer="993" w:gutter="0"/>
          <w:cols w:space="720" w:num="1"/>
        </w:sectPr>
      </w:pPr>
    </w:p>
    <w:p>
      <w:pPr>
        <w:pStyle w:val="10"/>
        <w:spacing w:before="143" w:line="364" w:lineRule="auto"/>
        <w:ind w:left="240" w:right="145"/>
      </w:pPr>
      <w:r>
        <w:rPr>
          <w:lang w:val="en-US" w:bidi="ar-SA"/>
        </w:rPr>
        <w:drawing>
          <wp:anchor distT="0" distB="0" distL="0" distR="0" simplePos="0" relativeHeight="251667456" behindDoc="1" locked="0" layoutInCell="1" allowOverlap="1">
            <wp:simplePos x="0" y="0"/>
            <wp:positionH relativeFrom="page">
              <wp:posOffset>1360805</wp:posOffset>
            </wp:positionH>
            <wp:positionV relativeFrom="paragraph">
              <wp:posOffset>633730</wp:posOffset>
            </wp:positionV>
            <wp:extent cx="4837430" cy="2724785"/>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31" cstate="print"/>
                    <a:stretch>
                      <a:fillRect/>
                    </a:stretch>
                  </pic:blipFill>
                  <pic:spPr>
                    <a:xfrm>
                      <a:off x="0" y="0"/>
                      <a:ext cx="4837176" cy="2724911"/>
                    </a:xfrm>
                    <a:prstGeom prst="rect">
                      <a:avLst/>
                    </a:prstGeom>
                  </pic:spPr>
                </pic:pic>
              </a:graphicData>
            </a:graphic>
          </wp:anchor>
        </w:drawing>
      </w:r>
      <w:r>
        <w:t>并继续寻找滞留在事故影响区的人员，帮助其安全撤离。同时应及时向总指挥报告疏散情况。若发现缺员，应报告所缺人员的姓名和事故前所处位置等。</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spacing w:before="9"/>
        <w:rPr>
          <w:sz w:val="27"/>
        </w:rPr>
      </w:pPr>
    </w:p>
    <w:p>
      <w:pPr>
        <w:pStyle w:val="9"/>
        <w:ind w:left="486" w:right="1"/>
      </w:pPr>
      <w:r>
        <w:t xml:space="preserve">图 </w:t>
      </w:r>
      <w:r>
        <w:rPr>
          <w:rFonts w:ascii="Times New Roman" w:eastAsia="Times New Roman"/>
        </w:rPr>
        <w:t xml:space="preserve">6.5.1-1  </w:t>
      </w:r>
      <w:r>
        <w:t>救援疏散示意图</w:t>
      </w:r>
    </w:p>
    <w:p>
      <w:pPr>
        <w:pStyle w:val="10"/>
        <w:spacing w:before="7"/>
        <w:rPr>
          <w:b/>
        </w:rPr>
      </w:pPr>
    </w:p>
    <w:p>
      <w:pPr>
        <w:pStyle w:val="23"/>
        <w:numPr>
          <w:ilvl w:val="2"/>
          <w:numId w:val="6"/>
        </w:numPr>
        <w:tabs>
          <w:tab w:val="left" w:pos="869"/>
        </w:tabs>
        <w:rPr>
          <w:b/>
          <w:sz w:val="28"/>
        </w:rPr>
      </w:pPr>
      <w:bookmarkStart w:id="159" w:name="6.5.2受伤人员现场救护"/>
      <w:bookmarkEnd w:id="159"/>
      <w:bookmarkStart w:id="160" w:name="_bookmark79"/>
      <w:bookmarkEnd w:id="160"/>
      <w:r>
        <w:rPr>
          <w:b/>
          <w:sz w:val="28"/>
        </w:rPr>
        <w:t>受伤人员现场救护</w:t>
      </w:r>
    </w:p>
    <w:p>
      <w:pPr>
        <w:pStyle w:val="10"/>
        <w:spacing w:before="8"/>
        <w:rPr>
          <w:b/>
          <w:sz w:val="26"/>
        </w:rPr>
      </w:pPr>
    </w:p>
    <w:p>
      <w:pPr>
        <w:pStyle w:val="10"/>
        <w:ind w:left="720"/>
      </w:pPr>
      <w:r>
        <w:t>受伤人员现场救护由医疗后勤组负责，各应急小组应积极配合。</w:t>
      </w:r>
    </w:p>
    <w:p>
      <w:pPr>
        <w:pStyle w:val="23"/>
        <w:numPr>
          <w:ilvl w:val="0"/>
          <w:numId w:val="58"/>
        </w:numPr>
        <w:tabs>
          <w:tab w:val="left" w:pos="1321"/>
        </w:tabs>
        <w:spacing w:before="161"/>
        <w:rPr>
          <w:sz w:val="24"/>
        </w:rPr>
      </w:pPr>
      <w:r>
        <w:rPr>
          <w:sz w:val="24"/>
        </w:rPr>
        <w:t>现场救治</w:t>
      </w:r>
    </w:p>
    <w:p>
      <w:pPr>
        <w:pStyle w:val="10"/>
        <w:spacing w:before="160" w:line="364" w:lineRule="auto"/>
        <w:ind w:left="240" w:right="237" w:firstLine="480"/>
        <w:jc w:val="both"/>
      </w:pPr>
      <w:r>
        <w:rPr>
          <w:rFonts w:hint="eastAsia" w:ascii="宋体" w:hAnsi="宋体" w:eastAsia="宋体"/>
        </w:rPr>
        <w:t>①</w:t>
      </w:r>
      <w:r>
        <w:rPr>
          <w:spacing w:val="-6"/>
        </w:rPr>
        <w:t>抢救受伤人员是应急救援的首要任务。在应急救援行动中，及时、有序、有效地实施现场急救与安全转送伤员是降低伤亡率，减少事故损失的关键。在事故现场，不论患者还是救援</w:t>
      </w:r>
      <w:r>
        <w:t>人员都要进行适当的防护。</w:t>
      </w:r>
    </w:p>
    <w:p>
      <w:pPr>
        <w:pStyle w:val="10"/>
        <w:spacing w:line="304" w:lineRule="exact"/>
        <w:ind w:left="720"/>
      </w:pPr>
      <w:r>
        <w:rPr>
          <w:rFonts w:hint="eastAsia" w:ascii="宋体" w:hAnsi="宋体" w:eastAsia="宋体"/>
        </w:rPr>
        <w:t>②</w:t>
      </w:r>
      <w:r>
        <w:t>选择有利地形设置急救点。</w:t>
      </w:r>
    </w:p>
    <w:p>
      <w:pPr>
        <w:pStyle w:val="10"/>
        <w:spacing w:before="161"/>
        <w:ind w:left="720"/>
      </w:pPr>
      <w:r>
        <w:rPr>
          <w:rFonts w:hint="eastAsia" w:ascii="宋体" w:hAnsi="宋体" w:eastAsia="宋体"/>
        </w:rPr>
        <w:t>③</w:t>
      </w:r>
      <w:r>
        <w:t>作好自身及伤病员的个体防护。</w:t>
      </w:r>
    </w:p>
    <w:p>
      <w:pPr>
        <w:pStyle w:val="10"/>
        <w:spacing w:before="158"/>
        <w:ind w:left="720"/>
      </w:pPr>
      <w:r>
        <w:rPr>
          <w:rFonts w:hint="eastAsia" w:ascii="宋体" w:hAnsi="宋体" w:eastAsia="宋体"/>
        </w:rPr>
        <w:t>④</w:t>
      </w:r>
      <w:r>
        <w:t>防止发生继发性损害。</w:t>
      </w:r>
    </w:p>
    <w:p>
      <w:pPr>
        <w:pStyle w:val="10"/>
        <w:spacing w:before="160"/>
        <w:ind w:left="720"/>
      </w:pPr>
      <w:r>
        <w:rPr>
          <w:rFonts w:hint="eastAsia" w:ascii="宋体" w:hAnsi="宋体" w:eastAsia="宋体"/>
        </w:rPr>
        <w:t>⑤</w:t>
      </w:r>
      <w:r>
        <w:t xml:space="preserve">应至少 </w:t>
      </w:r>
      <w:r>
        <w:rPr>
          <w:rFonts w:ascii="Times New Roman" w:hAnsi="Times New Roman" w:eastAsia="Times New Roman"/>
        </w:rPr>
        <w:t>2</w:t>
      </w:r>
      <w:r>
        <w:t>～</w:t>
      </w:r>
      <w:r>
        <w:rPr>
          <w:rFonts w:ascii="Times New Roman" w:hAnsi="Times New Roman" w:eastAsia="Times New Roman"/>
        </w:rPr>
        <w:t xml:space="preserve">3 </w:t>
      </w:r>
      <w:r>
        <w:t>人为一组集体行动，以便相互照应。</w:t>
      </w:r>
    </w:p>
    <w:p>
      <w:pPr>
        <w:pStyle w:val="10"/>
        <w:spacing w:before="158"/>
        <w:ind w:left="720"/>
      </w:pPr>
      <w:r>
        <w:rPr>
          <w:rFonts w:hint="eastAsia" w:ascii="宋体" w:hAnsi="宋体" w:eastAsia="宋体"/>
        </w:rPr>
        <w:t>⑥</w:t>
      </w:r>
      <w:r>
        <w:t>所用的救援器材具备防爆功能；当现场有人受到化学品伤害时，应立即进行现场急救。</w:t>
      </w:r>
    </w:p>
    <w:p>
      <w:pPr>
        <w:pStyle w:val="10"/>
        <w:spacing w:before="161"/>
        <w:ind w:left="720"/>
      </w:pPr>
      <w:r>
        <w:rPr>
          <w:rFonts w:hint="eastAsia" w:ascii="宋体" w:hAnsi="宋体" w:eastAsia="宋体"/>
        </w:rPr>
        <w:t>⑦</w:t>
      </w:r>
      <w:r>
        <w:t>受伤人员送就近的医院进行救治。</w:t>
      </w:r>
    </w:p>
    <w:p>
      <w:pPr>
        <w:pStyle w:val="23"/>
        <w:numPr>
          <w:ilvl w:val="0"/>
          <w:numId w:val="58"/>
        </w:numPr>
        <w:tabs>
          <w:tab w:val="left" w:pos="1321"/>
        </w:tabs>
        <w:spacing w:before="158"/>
        <w:rPr>
          <w:sz w:val="24"/>
        </w:rPr>
      </w:pPr>
      <w:r>
        <w:rPr>
          <w:sz w:val="24"/>
        </w:rPr>
        <w:t>医院救治</w:t>
      </w:r>
    </w:p>
    <w:p>
      <w:pPr>
        <w:pStyle w:val="10"/>
        <w:spacing w:before="161"/>
        <w:ind w:left="720"/>
      </w:pPr>
      <w:r>
        <w:rPr>
          <w:rFonts w:hint="eastAsia" w:ascii="宋体" w:hAnsi="宋体" w:eastAsia="宋体"/>
        </w:rPr>
        <w:t>①</w:t>
      </w:r>
      <w:r>
        <w:t>按受伤人员受伤特点，分类选择相应专业医院（急救电话：</w:t>
      </w:r>
      <w:r>
        <w:rPr>
          <w:rFonts w:ascii="Times New Roman" w:hAnsi="Times New Roman" w:eastAsia="Times New Roman"/>
        </w:rPr>
        <w:t>120</w:t>
      </w:r>
      <w:r>
        <w:t>）；</w:t>
      </w:r>
    </w:p>
    <w:p>
      <w:pPr>
        <w:pStyle w:val="10"/>
        <w:spacing w:before="158"/>
        <w:ind w:left="720"/>
      </w:pPr>
      <w:r>
        <w:rPr>
          <w:rFonts w:hint="eastAsia" w:ascii="宋体" w:hAnsi="宋体" w:eastAsia="宋体"/>
        </w:rPr>
        <w:t>②</w:t>
      </w:r>
      <w:r>
        <w:t>在专业医院救治能力相当的时候，遵循就近就医的原则；</w:t>
      </w:r>
    </w:p>
    <w:p>
      <w:pPr>
        <w:pStyle w:val="10"/>
        <w:spacing w:before="160"/>
        <w:ind w:left="720"/>
      </w:pPr>
      <w:r>
        <w:rPr>
          <w:rFonts w:hint="eastAsia" w:ascii="宋体" w:hAnsi="宋体" w:eastAsia="宋体"/>
        </w:rPr>
        <w:t>③</w:t>
      </w:r>
      <w:r>
        <w:t>当伤员较多，医院救护车不能及时转移伤员时，企业派车协助转移。</w:t>
      </w:r>
    </w:p>
    <w:p>
      <w:pPr>
        <w:sectPr>
          <w:pgSz w:w="11910" w:h="16840"/>
          <w:pgMar w:top="1360" w:right="840" w:bottom="1180" w:left="840" w:header="882" w:footer="993" w:gutter="0"/>
          <w:cols w:space="720" w:num="1"/>
        </w:sectPr>
      </w:pPr>
    </w:p>
    <w:p>
      <w:pPr>
        <w:pStyle w:val="23"/>
        <w:numPr>
          <w:ilvl w:val="0"/>
          <w:numId w:val="58"/>
        </w:numPr>
        <w:tabs>
          <w:tab w:val="left" w:pos="1321"/>
        </w:tabs>
        <w:spacing w:before="64"/>
        <w:rPr>
          <w:sz w:val="24"/>
        </w:rPr>
      </w:pPr>
      <w:r>
        <w:rPr>
          <w:sz w:val="24"/>
        </w:rPr>
        <w:t>注意事项</w:t>
      </w:r>
    </w:p>
    <w:p>
      <w:pPr>
        <w:pStyle w:val="10"/>
        <w:spacing w:before="160" w:line="364" w:lineRule="auto"/>
        <w:ind w:left="240" w:right="237" w:firstLine="480"/>
        <w:jc w:val="both"/>
      </w:pPr>
      <w:r>
        <w:rPr>
          <w:rFonts w:hint="eastAsia" w:ascii="宋体" w:hAnsi="宋体" w:eastAsia="宋体"/>
        </w:rPr>
        <w:t>①</w:t>
      </w:r>
      <w:r>
        <w:rPr>
          <w:spacing w:val="-7"/>
        </w:rPr>
        <w:t>进现场人员必须会使用、佩戴防毒面具，并且检查防毒面具是否能正常使用。使用中如</w:t>
      </w:r>
      <w:r>
        <w:rPr>
          <w:spacing w:val="-5"/>
        </w:rPr>
        <w:t>闻到有毒</w:t>
      </w:r>
      <w:r>
        <w:rPr>
          <w:rFonts w:hint="eastAsia"/>
          <w:spacing w:val="-5"/>
        </w:rPr>
        <w:t>液态</w:t>
      </w:r>
      <w:r>
        <w:rPr>
          <w:spacing w:val="-5"/>
        </w:rPr>
        <w:t>味或感到呼吸不适时应立即停止工作，迅速撤离现场，呼吸新鲜空气，同时检查</w:t>
      </w:r>
      <w:r>
        <w:t>防毒面具问题及时更换合格防毒面具；</w:t>
      </w:r>
    </w:p>
    <w:p>
      <w:pPr>
        <w:pStyle w:val="10"/>
        <w:spacing w:line="304" w:lineRule="exact"/>
        <w:ind w:left="720"/>
      </w:pPr>
      <w:r>
        <w:rPr>
          <w:rFonts w:hint="eastAsia" w:ascii="宋体" w:hAnsi="宋体" w:eastAsia="宋体"/>
        </w:rPr>
        <w:t>②</w:t>
      </w:r>
      <w:r>
        <w:t>正确选用消防器材并确保正常投用；</w:t>
      </w:r>
    </w:p>
    <w:p>
      <w:pPr>
        <w:pStyle w:val="10"/>
        <w:spacing w:before="161"/>
        <w:ind w:left="720"/>
      </w:pPr>
      <w:r>
        <w:rPr>
          <w:rFonts w:hint="eastAsia" w:ascii="宋体" w:hAnsi="宋体" w:eastAsia="宋体"/>
        </w:rPr>
        <w:t>③</w:t>
      </w:r>
      <w:r>
        <w:t>正确对受伤人员进行救治；</w:t>
      </w:r>
    </w:p>
    <w:p>
      <w:pPr>
        <w:pStyle w:val="10"/>
        <w:spacing w:before="158" w:line="364" w:lineRule="auto"/>
        <w:ind w:left="240" w:right="237" w:firstLine="480"/>
      </w:pPr>
      <w:r>
        <w:rPr>
          <w:rFonts w:hint="eastAsia" w:ascii="宋体" w:hAnsi="宋体" w:eastAsia="宋体"/>
        </w:rPr>
        <w:t>④</w:t>
      </w:r>
      <w:r>
        <w:rPr>
          <w:spacing w:val="-6"/>
        </w:rPr>
        <w:t>如果造成人员昏迷晕倒，将中毒人员迅速抬到宽敞的地方和上风口，加强通风，并送往</w:t>
      </w:r>
      <w:r>
        <w:t>急诊室进行救治；</w:t>
      </w:r>
    </w:p>
    <w:p>
      <w:pPr>
        <w:pStyle w:val="10"/>
        <w:spacing w:before="1"/>
        <w:ind w:left="720"/>
      </w:pPr>
      <w:r>
        <w:rPr>
          <w:rFonts w:hint="eastAsia" w:ascii="宋体" w:hAnsi="宋体" w:eastAsia="宋体"/>
        </w:rPr>
        <w:t>⑤</w:t>
      </w:r>
      <w:r>
        <w:t>如果泄漏造成人员皮肤触油者，立即用水冲洗；</w:t>
      </w:r>
    </w:p>
    <w:p>
      <w:pPr>
        <w:pStyle w:val="10"/>
        <w:spacing w:before="158"/>
        <w:ind w:left="720"/>
      </w:pPr>
      <w:r>
        <w:rPr>
          <w:rFonts w:hint="eastAsia" w:ascii="宋体" w:hAnsi="宋体" w:eastAsia="宋体"/>
        </w:rPr>
        <w:t>⑥</w:t>
      </w:r>
      <w:r>
        <w:t>现场应急处置能力确认及人员安全防护；</w:t>
      </w:r>
    </w:p>
    <w:p>
      <w:pPr>
        <w:pStyle w:val="10"/>
        <w:spacing w:before="158" w:line="364" w:lineRule="auto"/>
        <w:ind w:left="240" w:right="237" w:firstLine="480"/>
        <w:jc w:val="both"/>
      </w:pPr>
      <w:r>
        <w:rPr>
          <w:rFonts w:hint="eastAsia" w:ascii="宋体" w:hAnsi="宋体" w:eastAsia="宋体"/>
        </w:rPr>
        <w:t>⑦</w:t>
      </w:r>
      <w:r>
        <w:rPr>
          <w:spacing w:val="-9"/>
        </w:rPr>
        <w:t>根据现场事故情况，操作工必须结合自身条件以及现场所具有的自救条件，对现场应急</w:t>
      </w:r>
      <w:r>
        <w:rPr>
          <w:spacing w:val="-8"/>
        </w:rPr>
        <w:t>能力作出有效判断，能自救的立即采取自救措施，同时汇报组长现场情况，以便其对救援人员</w:t>
      </w:r>
      <w:r>
        <w:t>作出合理安排。</w:t>
      </w:r>
    </w:p>
    <w:p>
      <w:pPr>
        <w:pStyle w:val="10"/>
        <w:spacing w:line="364" w:lineRule="auto"/>
        <w:ind w:left="240" w:right="237" w:firstLine="480"/>
        <w:jc w:val="both"/>
      </w:pPr>
      <w:r>
        <w:rPr>
          <w:rFonts w:hint="eastAsia" w:ascii="宋体" w:hAnsi="宋体" w:eastAsia="宋体"/>
        </w:rPr>
        <w:t>⑧</w:t>
      </w:r>
      <w:r>
        <w:rPr>
          <w:spacing w:val="-10"/>
        </w:rPr>
        <w:t>进入现场，呼吸防护：佩戴过滤式防毒面具。紧急事态抢救或撤离时，建议佩戴空气呼</w:t>
      </w:r>
      <w:r>
        <w:rPr>
          <w:spacing w:val="-11"/>
        </w:rPr>
        <w:t>吸器。眼睛防护：戴化学安全防护眼镜，提供安全淋浴和洗眼设备。身体防护：穿防静电工作</w:t>
      </w:r>
      <w:r>
        <w:t>服。手防护：戴橡胶手套。</w:t>
      </w:r>
    </w:p>
    <w:p>
      <w:pPr>
        <w:pStyle w:val="6"/>
        <w:numPr>
          <w:ilvl w:val="1"/>
          <w:numId w:val="6"/>
        </w:numPr>
        <w:tabs>
          <w:tab w:val="left" w:pos="766"/>
        </w:tabs>
        <w:spacing w:before="155"/>
      </w:pPr>
      <w:bookmarkStart w:id="161" w:name="6.6_应急队伍调度及物资保障"/>
      <w:bookmarkEnd w:id="161"/>
      <w:bookmarkStart w:id="162" w:name="_bookmark80"/>
      <w:bookmarkEnd w:id="162"/>
      <w:r>
        <w:t>应急队伍调度及物资保障</w:t>
      </w:r>
    </w:p>
    <w:p>
      <w:pPr>
        <w:pStyle w:val="10"/>
        <w:spacing w:before="9"/>
        <w:rPr>
          <w:b/>
          <w:sz w:val="27"/>
        </w:rPr>
      </w:pPr>
    </w:p>
    <w:p>
      <w:pPr>
        <w:pStyle w:val="23"/>
        <w:numPr>
          <w:ilvl w:val="0"/>
          <w:numId w:val="59"/>
        </w:numPr>
        <w:tabs>
          <w:tab w:val="left" w:pos="1321"/>
        </w:tabs>
        <w:rPr>
          <w:sz w:val="24"/>
        </w:rPr>
      </w:pPr>
      <w:r>
        <w:rPr>
          <w:sz w:val="24"/>
        </w:rPr>
        <w:t>应急救援的调集方式与负责人员</w:t>
      </w:r>
    </w:p>
    <w:p>
      <w:pPr>
        <w:pStyle w:val="10"/>
        <w:spacing w:before="158" w:line="364" w:lineRule="auto"/>
        <w:ind w:left="240" w:right="235" w:firstLine="480"/>
        <w:jc w:val="both"/>
      </w:pPr>
      <w:r>
        <w:rPr>
          <w:spacing w:val="-8"/>
        </w:rPr>
        <w:t>企业突发环境事件时，由当班主管或工作人员根据相应分级对事故级别进行判断，当事故</w:t>
      </w:r>
      <w:r>
        <w:rPr>
          <w:spacing w:val="-18"/>
        </w:rPr>
        <w:t xml:space="preserve">达到 </w:t>
      </w:r>
      <w:r>
        <w:rPr>
          <w:rFonts w:ascii="Times New Roman" w:eastAsia="Times New Roman"/>
        </w:rPr>
        <w:t>I</w:t>
      </w:r>
      <w:r>
        <w:t>、</w:t>
      </w:r>
      <w:r>
        <w:rPr>
          <w:rFonts w:ascii="Times New Roman" w:eastAsia="Times New Roman"/>
        </w:rPr>
        <w:t xml:space="preserve">II </w:t>
      </w:r>
      <w:r>
        <w:rPr>
          <w:spacing w:val="-1"/>
        </w:rPr>
        <w:t>级对应的条件时，及时向总指挥报告，启动应急预案，通知各应急小组组长和各指</w:t>
      </w:r>
      <w:r>
        <w:t>挥部成员，各应急小组组长接到通知后立即集结各组组员赶赴事故现场进行救援。</w:t>
      </w:r>
    </w:p>
    <w:p>
      <w:pPr>
        <w:pStyle w:val="23"/>
        <w:numPr>
          <w:ilvl w:val="0"/>
          <w:numId w:val="59"/>
        </w:numPr>
        <w:tabs>
          <w:tab w:val="left" w:pos="1321"/>
        </w:tabs>
        <w:spacing w:line="307" w:lineRule="exact"/>
        <w:rPr>
          <w:sz w:val="24"/>
        </w:rPr>
      </w:pPr>
      <w:r>
        <w:rPr>
          <w:sz w:val="24"/>
        </w:rPr>
        <w:t>应急物资数量、位置，以及可获得的方式</w:t>
      </w:r>
    </w:p>
    <w:p>
      <w:pPr>
        <w:pStyle w:val="10"/>
        <w:spacing w:before="158" w:line="364" w:lineRule="auto"/>
        <w:ind w:left="240" w:right="117" w:firstLine="480"/>
      </w:pPr>
      <w:r>
        <w:rPr>
          <w:spacing w:val="-10"/>
        </w:rPr>
        <w:t xml:space="preserve">企业按预案及上级主管部门的要求配备应急物资，为便于应急响应，分布于厂区应急位置， </w:t>
      </w:r>
      <w:r>
        <w:rPr>
          <w:spacing w:val="-6"/>
        </w:rPr>
        <w:t>救援人员可直接取用。应急物资的日常管理由医疗后勤组负责。当发生突发环境事件时，可联系周边企业和单位，或由企业消防应急设施供应商紧急提供消防应急设施。</w:t>
      </w:r>
    </w:p>
    <w:p>
      <w:pPr>
        <w:pStyle w:val="6"/>
        <w:numPr>
          <w:ilvl w:val="1"/>
          <w:numId w:val="6"/>
        </w:numPr>
        <w:tabs>
          <w:tab w:val="left" w:pos="766"/>
        </w:tabs>
        <w:spacing w:before="155"/>
      </w:pPr>
      <w:bookmarkStart w:id="163" w:name="_bookmark81"/>
      <w:bookmarkEnd w:id="163"/>
      <w:bookmarkStart w:id="164" w:name="6.7_扩大应急"/>
      <w:bookmarkEnd w:id="164"/>
      <w:r>
        <w:t>扩大应急</w:t>
      </w:r>
    </w:p>
    <w:p>
      <w:pPr>
        <w:pStyle w:val="10"/>
        <w:spacing w:before="9"/>
        <w:rPr>
          <w:b/>
          <w:sz w:val="27"/>
        </w:rPr>
      </w:pPr>
    </w:p>
    <w:p>
      <w:pPr>
        <w:pStyle w:val="10"/>
        <w:spacing w:line="364" w:lineRule="auto"/>
        <w:ind w:left="240" w:right="235" w:firstLine="480"/>
      </w:pPr>
      <w:r>
        <w:rPr>
          <w:spacing w:val="-3"/>
        </w:rPr>
        <w:t>当事态的发展超出企业的应急处置能力，需要请求外部应急相关方（</w:t>
      </w:r>
      <w:r>
        <w:rPr>
          <w:spacing w:val="-6"/>
        </w:rPr>
        <w:t>如政府生态环境、应</w:t>
      </w:r>
      <w:r>
        <w:rPr>
          <w:spacing w:val="-5"/>
        </w:rPr>
        <w:t>急管理、卫生健康等部门或其他环保公司</w:t>
      </w:r>
      <w:r>
        <w:rPr>
          <w:spacing w:val="-24"/>
        </w:rPr>
        <w:t>）</w:t>
      </w:r>
      <w:r>
        <w:rPr>
          <w:spacing w:val="-8"/>
        </w:rPr>
        <w:t>支援时，总指挥或副总指挥向相关方求援。外部力</w:t>
      </w:r>
    </w:p>
    <w:p>
      <w:pPr>
        <w:spacing w:line="364" w:lineRule="auto"/>
        <w:sectPr>
          <w:pgSz w:w="11910" w:h="16840"/>
          <w:pgMar w:top="1360" w:right="840" w:bottom="1180" w:left="840" w:header="882" w:footer="993" w:gutter="0"/>
          <w:cols w:space="720" w:num="1"/>
        </w:sectPr>
      </w:pPr>
    </w:p>
    <w:p>
      <w:pPr>
        <w:pStyle w:val="10"/>
        <w:spacing w:before="64"/>
        <w:ind w:left="240"/>
      </w:pPr>
      <w:r>
        <w:t>量到达现场后，指挥权上移，企业的应急队伍必须服从统一指挥。</w:t>
      </w:r>
    </w:p>
    <w:p>
      <w:pPr>
        <w:pStyle w:val="10"/>
        <w:spacing w:before="8"/>
      </w:pPr>
    </w:p>
    <w:p>
      <w:pPr>
        <w:pStyle w:val="6"/>
        <w:numPr>
          <w:ilvl w:val="1"/>
          <w:numId w:val="6"/>
        </w:numPr>
        <w:tabs>
          <w:tab w:val="left" w:pos="766"/>
        </w:tabs>
        <w:spacing w:before="1"/>
      </w:pPr>
      <w:bookmarkStart w:id="165" w:name="6.8_应急监测"/>
      <w:bookmarkEnd w:id="165"/>
      <w:bookmarkStart w:id="166" w:name="_bookmark82"/>
      <w:bookmarkEnd w:id="166"/>
      <w:r>
        <w:t>应急监测</w:t>
      </w:r>
    </w:p>
    <w:p>
      <w:pPr>
        <w:pStyle w:val="10"/>
        <w:spacing w:before="8"/>
        <w:rPr>
          <w:b/>
          <w:sz w:val="27"/>
        </w:rPr>
      </w:pPr>
    </w:p>
    <w:p>
      <w:pPr>
        <w:pStyle w:val="10"/>
        <w:ind w:left="720"/>
      </w:pPr>
      <w:r>
        <w:t>公司可能发生的突发环境事件中，可能需要进行应急监测。发生突发环境事件后，应按照</w:t>
      </w:r>
    </w:p>
    <w:p>
      <w:pPr>
        <w:pStyle w:val="10"/>
        <w:spacing w:before="159" w:line="364" w:lineRule="auto"/>
        <w:ind w:left="240" w:right="69"/>
      </w:pPr>
      <w:r>
        <w:t>《突发环境事件应急监测技术规范》（</w:t>
      </w:r>
      <w:r>
        <w:rPr>
          <w:rFonts w:ascii="Times New Roman" w:eastAsia="Times New Roman"/>
        </w:rPr>
        <w:t>HJ 589-2010</w:t>
      </w:r>
      <w:r>
        <w:t>）对污染物进行监测。本公司无监测能力， 预委托赤壁市环境监测站进行检测。</w:t>
      </w:r>
    </w:p>
    <w:p>
      <w:pPr>
        <w:pStyle w:val="23"/>
        <w:numPr>
          <w:ilvl w:val="2"/>
          <w:numId w:val="6"/>
        </w:numPr>
        <w:tabs>
          <w:tab w:val="left" w:pos="941"/>
        </w:tabs>
        <w:spacing w:before="158"/>
        <w:ind w:left="940" w:hanging="701"/>
        <w:rPr>
          <w:b/>
          <w:sz w:val="28"/>
        </w:rPr>
      </w:pPr>
      <w:bookmarkStart w:id="167" w:name="6.8.1_应急监测能力与监测方案"/>
      <w:bookmarkEnd w:id="167"/>
      <w:bookmarkStart w:id="168" w:name="_bookmark83"/>
      <w:bookmarkEnd w:id="168"/>
      <w:r>
        <w:rPr>
          <w:b/>
          <w:sz w:val="28"/>
        </w:rPr>
        <w:t>应急监测能力与监测方案</w:t>
      </w:r>
    </w:p>
    <w:p>
      <w:pPr>
        <w:pStyle w:val="10"/>
        <w:spacing w:before="5"/>
        <w:rPr>
          <w:b/>
          <w:sz w:val="26"/>
        </w:rPr>
      </w:pPr>
    </w:p>
    <w:p>
      <w:pPr>
        <w:pStyle w:val="10"/>
        <w:spacing w:line="364" w:lineRule="auto"/>
        <w:ind w:left="240" w:right="237" w:firstLine="480"/>
      </w:pPr>
      <w:r>
        <w:rPr>
          <w:spacing w:val="-6"/>
        </w:rPr>
        <w:t>本公司尚不具备综合应急监测能力，当发生突发环境事件时，委托赤壁市环境监测站进行</w:t>
      </w:r>
      <w:r>
        <w:t>检测。</w:t>
      </w:r>
    </w:p>
    <w:p>
      <w:pPr>
        <w:pStyle w:val="10"/>
        <w:spacing w:line="364" w:lineRule="auto"/>
        <w:ind w:left="240" w:right="145" w:firstLine="480"/>
        <w:jc w:val="both"/>
      </w:pPr>
      <w:r>
        <w:t>接到突发环境事件报警后，应问清事故发生的时间、地点、原因，大概清楚污染物种类、性质、数量、污染范围、影响程度及事故地周边情况等。环境监测组带领监测人员及时到位， 通过初步现场分析，对污染物进行定性，定量以及确定污染范围。根据不同形式的环境事故， 确定好监测对象、监测点位、监测项目、监测方法、监测频次、质控要求。如不能独立完成， 则向上级汇报或请求其他部门协助，由赤壁市环境监测站确定监测方案。</w:t>
      </w:r>
    </w:p>
    <w:p>
      <w:pPr>
        <w:pStyle w:val="10"/>
        <w:spacing w:line="364" w:lineRule="auto"/>
        <w:ind w:left="240" w:right="237" w:firstLine="480"/>
      </w:pPr>
      <w:r>
        <w:rPr>
          <w:spacing w:val="-6"/>
        </w:rPr>
        <w:t>现场监测人员接到通知后，按照指令携带相关仪器，赶到事故现场，开展监测工作，尽快</w:t>
      </w:r>
      <w:r>
        <w:t>确定污染物种类、污染程度与范围、污染危害，出具现场监测数据。</w:t>
      </w:r>
    </w:p>
    <w:p>
      <w:pPr>
        <w:pStyle w:val="23"/>
        <w:numPr>
          <w:ilvl w:val="2"/>
          <w:numId w:val="6"/>
        </w:numPr>
        <w:tabs>
          <w:tab w:val="left" w:pos="941"/>
        </w:tabs>
        <w:spacing w:before="153"/>
        <w:ind w:left="940" w:hanging="701"/>
        <w:rPr>
          <w:b/>
          <w:sz w:val="28"/>
        </w:rPr>
      </w:pPr>
      <w:bookmarkStart w:id="169" w:name="_bookmark84"/>
      <w:bookmarkEnd w:id="169"/>
      <w:bookmarkStart w:id="170" w:name="6.8.2_监测方法及标准"/>
      <w:bookmarkEnd w:id="170"/>
      <w:r>
        <w:rPr>
          <w:b/>
          <w:sz w:val="28"/>
        </w:rPr>
        <w:t>监测方法及标准</w:t>
      </w:r>
    </w:p>
    <w:p>
      <w:pPr>
        <w:pStyle w:val="10"/>
        <w:spacing w:before="8"/>
        <w:rPr>
          <w:b/>
          <w:sz w:val="26"/>
        </w:rPr>
      </w:pPr>
    </w:p>
    <w:p>
      <w:pPr>
        <w:pStyle w:val="10"/>
        <w:spacing w:line="364" w:lineRule="auto"/>
        <w:ind w:left="240" w:right="115" w:firstLine="480"/>
      </w:pPr>
      <w:r>
        <w:rPr>
          <w:spacing w:val="-6"/>
        </w:rPr>
        <w:t>根据《突发环境事件应急监测技术规范》</w:t>
      </w:r>
      <w:r>
        <w:rPr>
          <w:spacing w:val="-3"/>
        </w:rPr>
        <w:t>（</w:t>
      </w:r>
      <w:r>
        <w:rPr>
          <w:rFonts w:ascii="Times New Roman" w:eastAsia="Times New Roman"/>
          <w:spacing w:val="-3"/>
        </w:rPr>
        <w:t>HJ589-2010</w:t>
      </w:r>
      <w:r>
        <w:rPr>
          <w:spacing w:val="-3"/>
        </w:rPr>
        <w:t>）</w:t>
      </w:r>
      <w:r>
        <w:rPr>
          <w:spacing w:val="-2"/>
        </w:rPr>
        <w:t>，现场监测仪器设备应能快速鉴</w:t>
      </w:r>
      <w:r>
        <w:rPr>
          <w:spacing w:val="-15"/>
        </w:rPr>
        <w:t xml:space="preserve">定、鉴别污染物，并能给出定性、半定量或定量的检测结果，直接读数，使用方便，易于携带， </w:t>
      </w:r>
      <w:r>
        <w:rPr>
          <w:spacing w:val="-6"/>
        </w:rPr>
        <w:t>对样品的前处理要求低，如检测试纸、快速检测管和便携式监测仪器等快速检测仪器设备。凡</w:t>
      </w:r>
      <w:r>
        <w:rPr>
          <w:spacing w:val="-10"/>
        </w:rPr>
        <w:t>具备现场测定条件的监测项目，应尽量进行现场测定。必要时，另采集一份样品送实验室分析</w:t>
      </w:r>
      <w:r>
        <w:rPr>
          <w:spacing w:val="-11"/>
        </w:rPr>
        <w:t>测定，以确认现场的定性或定量分析结果。检测试纸、快速检测管和便携式监测仪器的使用方</w:t>
      </w:r>
      <w:r>
        <w:rPr>
          <w:spacing w:val="-14"/>
        </w:rPr>
        <w:t>法可参照相应的使用说明，使用过程中应注意避免其他物质的干扰。用检测试纸、快速检测管</w:t>
      </w:r>
      <w:r>
        <w:rPr>
          <w:spacing w:val="-17"/>
        </w:rPr>
        <w:t>和便携式监测仪器进行测定时，应至少连续平行测定两次，以确认现场测定结果；必要时送实</w:t>
      </w:r>
      <w:r>
        <w:rPr>
          <w:spacing w:val="-21"/>
        </w:rPr>
        <w:t>验室用不同的分析方法对现场监测结果加以确认、鉴别。用过的检测试纸和快速检测管应妥善处置。</w:t>
      </w:r>
    </w:p>
    <w:p>
      <w:pPr>
        <w:pStyle w:val="23"/>
        <w:numPr>
          <w:ilvl w:val="2"/>
          <w:numId w:val="6"/>
        </w:numPr>
        <w:tabs>
          <w:tab w:val="left" w:pos="941"/>
        </w:tabs>
        <w:spacing w:before="153"/>
        <w:ind w:left="940" w:hanging="701"/>
        <w:rPr>
          <w:b/>
          <w:sz w:val="28"/>
        </w:rPr>
      </w:pPr>
      <w:bookmarkStart w:id="171" w:name="6.8.3_应急监测布点及采样要求"/>
      <w:bookmarkEnd w:id="171"/>
      <w:bookmarkStart w:id="172" w:name="_bookmark85"/>
      <w:bookmarkEnd w:id="172"/>
      <w:r>
        <w:rPr>
          <w:b/>
          <w:sz w:val="28"/>
        </w:rPr>
        <w:t>应急监测布点及采样要求</w:t>
      </w:r>
    </w:p>
    <w:p>
      <w:pPr>
        <w:rPr>
          <w:sz w:val="28"/>
        </w:rPr>
        <w:sectPr>
          <w:footerReference r:id="rId13" w:type="default"/>
          <w:pgSz w:w="11910" w:h="16840"/>
          <w:pgMar w:top="1360" w:right="840" w:bottom="1180" w:left="840" w:header="882" w:footer="993" w:gutter="0"/>
          <w:pgNumType w:start="50"/>
          <w:cols w:space="720" w:num="1"/>
        </w:sectPr>
      </w:pPr>
    </w:p>
    <w:p>
      <w:pPr>
        <w:pStyle w:val="23"/>
        <w:numPr>
          <w:ilvl w:val="0"/>
          <w:numId w:val="60"/>
        </w:numPr>
        <w:tabs>
          <w:tab w:val="left" w:pos="1321"/>
        </w:tabs>
        <w:spacing w:before="64"/>
        <w:rPr>
          <w:sz w:val="24"/>
        </w:rPr>
      </w:pPr>
      <w:r>
        <w:rPr>
          <w:sz w:val="24"/>
        </w:rPr>
        <w:t>布点原则</w:t>
      </w:r>
    </w:p>
    <w:p>
      <w:pPr>
        <w:pStyle w:val="10"/>
        <w:spacing w:before="160" w:line="364" w:lineRule="auto"/>
        <w:ind w:left="240" w:right="237" w:firstLine="480"/>
        <w:jc w:val="both"/>
      </w:pPr>
      <w:r>
        <w:rPr>
          <w:spacing w:val="-8"/>
        </w:rPr>
        <w:t>采样断面</w:t>
      </w:r>
      <w:r>
        <w:t>（点</w:t>
      </w:r>
      <w:r>
        <w:rPr>
          <w:spacing w:val="-32"/>
        </w:rPr>
        <w:t>）</w:t>
      </w:r>
      <w:r>
        <w:rPr>
          <w:spacing w:val="-3"/>
        </w:rPr>
        <w:t>的设置一般以突发环境事件发生地及其附近区域为主，同时必须注重人群</w:t>
      </w:r>
      <w:r>
        <w:rPr>
          <w:spacing w:val="-9"/>
        </w:rPr>
        <w:t>和生活环境，重点关注对饮用水源地、人群活动区域的空气、农田土壤等区域的影响，并合理</w:t>
      </w:r>
      <w:r>
        <w:t>设置监测断面（点），以掌握污染发生地状况、反映事故发生区域环境的污染程度和范围。</w:t>
      </w:r>
    </w:p>
    <w:p>
      <w:pPr>
        <w:pStyle w:val="10"/>
        <w:spacing w:line="364" w:lineRule="auto"/>
        <w:ind w:left="240" w:right="237" w:firstLine="480"/>
        <w:jc w:val="both"/>
      </w:pPr>
      <w:r>
        <w:t>对被突发环境事件所污染的地表水、地下水、大气和土壤应设置对照断面 （点）、控制</w:t>
      </w:r>
      <w:r>
        <w:rPr>
          <w:spacing w:val="-8"/>
        </w:rPr>
        <w:t>断面</w:t>
      </w:r>
      <w:r>
        <w:rPr>
          <w:spacing w:val="-3"/>
        </w:rPr>
        <w:t>（</w:t>
      </w:r>
      <w:r>
        <w:t>点</w:t>
      </w:r>
      <w:r>
        <w:rPr>
          <w:spacing w:val="-16"/>
        </w:rPr>
        <w:t>）</w:t>
      </w:r>
      <w:r>
        <w:rPr>
          <w:spacing w:val="-6"/>
        </w:rPr>
        <w:t>，对地表水和地下水还应设置消减断面，尽可能以最少的断面</w:t>
      </w:r>
      <w:r>
        <w:t>（点</w:t>
      </w:r>
      <w:r>
        <w:rPr>
          <w:spacing w:val="-15"/>
        </w:rPr>
        <w:t>）</w:t>
      </w:r>
      <w:r>
        <w:rPr>
          <w:spacing w:val="-3"/>
        </w:rPr>
        <w:t>获取足够的有</w:t>
      </w:r>
      <w:r>
        <w:t>代表性的所需信息，同时需考虑采样的可行性和方便性。</w:t>
      </w:r>
    </w:p>
    <w:p>
      <w:pPr>
        <w:pStyle w:val="10"/>
        <w:spacing w:line="364" w:lineRule="auto"/>
        <w:ind w:left="240" w:right="237" w:firstLine="480"/>
      </w:pPr>
      <w:r>
        <w:rPr>
          <w:spacing w:val="-4"/>
        </w:rPr>
        <w:t>突发性水环境污染事故的应急监测一般分为事故现场监测和跟踪监测两部分，其采样原则</w:t>
      </w:r>
      <w:r>
        <w:t>如下：</w:t>
      </w:r>
    </w:p>
    <w:p>
      <w:pPr>
        <w:pStyle w:val="10"/>
        <w:spacing w:line="306" w:lineRule="exact"/>
        <w:ind w:left="720"/>
      </w:pPr>
      <w:r>
        <w:rPr>
          <w:rFonts w:hint="eastAsia" w:ascii="宋体" w:hAnsi="宋体" w:eastAsia="宋体"/>
        </w:rPr>
        <w:t>①</w:t>
      </w:r>
      <w:r>
        <w:t>现场监测采样</w:t>
      </w:r>
    </w:p>
    <w:p>
      <w:pPr>
        <w:pStyle w:val="10"/>
        <w:spacing w:before="155" w:line="364" w:lineRule="auto"/>
        <w:ind w:left="240" w:right="237" w:firstLine="480"/>
        <w:jc w:val="both"/>
      </w:pPr>
      <w:r>
        <w:rPr>
          <w:spacing w:val="-6"/>
        </w:rPr>
        <w:t>现场监测的采样一般以事故发生地点及其附近为主，根据现场的具体情况和污染水体的特</w:t>
      </w:r>
      <w:r>
        <w:rPr>
          <w:spacing w:val="-7"/>
        </w:rPr>
        <w:t>性布点采样和确定采样频次。对江河的监测应在事故地点及其下游布点采样，同时要在事故发</w:t>
      </w:r>
      <w:r>
        <w:rPr>
          <w:spacing w:val="-5"/>
        </w:rPr>
        <w:t>生地点上游采对照样。对湖</w:t>
      </w:r>
      <w:r>
        <w:t>（库</w:t>
      </w:r>
      <w:r>
        <w:rPr>
          <w:spacing w:val="-24"/>
        </w:rPr>
        <w:t>）</w:t>
      </w:r>
      <w:r>
        <w:rPr>
          <w:spacing w:val="-3"/>
        </w:rPr>
        <w:t>的采样点布设以事故发生地点为中心，按水流方向在一定间</w:t>
      </w:r>
      <w:r>
        <w:t>隔的扇形或园形布点采样，同时采集对照样品。</w:t>
      </w:r>
    </w:p>
    <w:p>
      <w:pPr>
        <w:pStyle w:val="10"/>
        <w:ind w:left="720"/>
      </w:pPr>
      <w:r>
        <w:t>事故发生地点要设立明显标志，如有必要则进行现场录像和拍照。</w:t>
      </w:r>
    </w:p>
    <w:p>
      <w:pPr>
        <w:pStyle w:val="10"/>
        <w:spacing w:before="158" w:line="364" w:lineRule="auto"/>
        <w:ind w:left="240" w:right="237" w:firstLine="480"/>
      </w:pPr>
      <w:r>
        <w:rPr>
          <w:spacing w:val="-8"/>
        </w:rPr>
        <w:t>现场要采平行双样，一份供现场快速测定，一份供送回实验室测定。如有需要，同时采集</w:t>
      </w:r>
      <w:r>
        <w:t>污染地点的底质样品。</w:t>
      </w:r>
    </w:p>
    <w:p>
      <w:pPr>
        <w:pStyle w:val="10"/>
        <w:spacing w:line="306" w:lineRule="exact"/>
        <w:ind w:left="720"/>
      </w:pPr>
      <w:r>
        <w:rPr>
          <w:rFonts w:hint="eastAsia" w:ascii="宋体" w:hAnsi="宋体" w:eastAsia="宋体"/>
        </w:rPr>
        <w:t>②</w:t>
      </w:r>
      <w:r>
        <w:t>跟踪监测采样</w:t>
      </w:r>
    </w:p>
    <w:p>
      <w:pPr>
        <w:pStyle w:val="10"/>
        <w:spacing w:before="160" w:line="362" w:lineRule="auto"/>
        <w:ind w:left="240" w:right="117" w:firstLine="480"/>
      </w:pPr>
      <w:r>
        <w:rPr>
          <w:spacing w:val="-15"/>
        </w:rPr>
        <w:t>污染物质进入水体后，随着稀释、扩散和沉降作用，其浓度会逐渐降低。为掌握污染程度、</w:t>
      </w:r>
      <w:r>
        <w:t>范围及变化趋势，在事故发生后，往往要进行连续的跟踪监测，直至水体环境恢复正常。</w:t>
      </w:r>
    </w:p>
    <w:p>
      <w:pPr>
        <w:pStyle w:val="10"/>
        <w:spacing w:before="5" w:line="362" w:lineRule="auto"/>
        <w:ind w:left="240" w:right="237" w:firstLine="480"/>
      </w:pPr>
      <w:r>
        <w:rPr>
          <w:spacing w:val="-4"/>
        </w:rPr>
        <w:t>对江河污染的跟踪监测要根据污染物质的性质和数量及河流的水文要素等，沿河段设置数</w:t>
      </w:r>
      <w:r>
        <w:t>个采样断面，并在采样点设立明显标志。采样频次根据事故程度确定。</w:t>
      </w:r>
    </w:p>
    <w:p>
      <w:pPr>
        <w:pStyle w:val="10"/>
        <w:spacing w:before="5" w:line="364" w:lineRule="auto"/>
        <w:ind w:left="240" w:right="145" w:firstLine="480"/>
      </w:pPr>
      <w:r>
        <w:t>对湖（库）污染的跟踪监测，应根据具体情况布点，但在出水口和饮用水取水口处必须设置采样点。由于湖（库）的水体较稳定，要考虑不同水层采样。采样频次每天不得少于二次。</w:t>
      </w:r>
    </w:p>
    <w:p>
      <w:pPr>
        <w:pStyle w:val="23"/>
        <w:numPr>
          <w:ilvl w:val="0"/>
          <w:numId w:val="60"/>
        </w:numPr>
        <w:tabs>
          <w:tab w:val="left" w:pos="1321"/>
        </w:tabs>
        <w:spacing w:line="306" w:lineRule="exact"/>
        <w:rPr>
          <w:sz w:val="24"/>
        </w:rPr>
      </w:pPr>
      <w:r>
        <w:rPr>
          <w:sz w:val="24"/>
        </w:rPr>
        <w:t>布点方法</w:t>
      </w:r>
    </w:p>
    <w:p>
      <w:pPr>
        <w:pStyle w:val="10"/>
        <w:spacing w:before="158" w:line="364" w:lineRule="auto"/>
        <w:ind w:left="240" w:right="117" w:firstLine="480"/>
      </w:pPr>
      <w:r>
        <w:rPr>
          <w:spacing w:val="-7"/>
        </w:rPr>
        <w:t>大气应急监测布点方法：对大气的监测以事故地点为中心，在下风向按一定间隔的扇形或</w:t>
      </w:r>
      <w:r>
        <w:rPr>
          <w:spacing w:val="-18"/>
        </w:rPr>
        <w:t xml:space="preserve">圆形布点，并根据污染物的特性在不同高度采样，同时在事故点的上风向适当位置布设对照点； </w:t>
      </w:r>
      <w:r>
        <w:rPr>
          <w:spacing w:val="-3"/>
        </w:rPr>
        <w:t>在可能受污染影响的居民住宅区或人群活动区等敏感点必须设置采样点，采样过程中应注意风</w:t>
      </w:r>
      <w:r>
        <w:rPr>
          <w:spacing w:val="-17"/>
        </w:rPr>
        <w:t xml:space="preserve">向变化，及时调整采样点位置。本公司根据实际情况在场界、下风向敏感点等必须设置采样点， </w:t>
      </w:r>
      <w:r>
        <w:t>采样过程中应注意风向变化，及时调整采样点位置。</w:t>
      </w:r>
    </w:p>
    <w:p>
      <w:pPr>
        <w:spacing w:line="364" w:lineRule="auto"/>
        <w:sectPr>
          <w:pgSz w:w="11910" w:h="16840"/>
          <w:pgMar w:top="1360" w:right="840" w:bottom="1180" w:left="840" w:header="882" w:footer="993" w:gutter="0"/>
          <w:cols w:space="720" w:num="1"/>
        </w:sectPr>
      </w:pPr>
    </w:p>
    <w:p>
      <w:pPr>
        <w:pStyle w:val="10"/>
        <w:spacing w:before="64"/>
        <w:ind w:left="720"/>
      </w:pPr>
      <w:r>
        <w:t>（三）采样要求</w:t>
      </w:r>
    </w:p>
    <w:p>
      <w:pPr>
        <w:pStyle w:val="10"/>
        <w:spacing w:before="160" w:line="364" w:lineRule="auto"/>
        <w:ind w:left="240" w:right="237" w:firstLine="480"/>
      </w:pPr>
      <w:r>
        <w:rPr>
          <w:spacing w:val="-6"/>
        </w:rPr>
        <w:t>常见的采样器材材质及洗涤要求参照相应的水、大气监测技术规范，有条件时应专门配备</w:t>
      </w:r>
      <w:r>
        <w:t>一套用于应急监测的采样设备，此外还可以利用当地的水质或大气自动在线监测设备进行采</w:t>
      </w:r>
      <w:r>
        <w:rPr>
          <w:spacing w:val="-10"/>
        </w:rPr>
        <w:t>样。应急监测通常采集瞬时样品，采样量根据分析项目及分析方法确定，采样量还应满足留样要求。污染发生后应首先采集污染源样品，注意采样的代表性，具体采样方法及采样量可参照</w:t>
      </w:r>
      <w:r>
        <w:rPr>
          <w:rFonts w:ascii="Times New Roman" w:eastAsia="Times New Roman"/>
        </w:rPr>
        <w:t>HJ/T91</w:t>
      </w:r>
      <w:r>
        <w:rPr>
          <w:spacing w:val="-5"/>
        </w:rPr>
        <w:t>、</w:t>
      </w:r>
      <w:r>
        <w:rPr>
          <w:rFonts w:ascii="Times New Roman" w:eastAsia="Times New Roman"/>
        </w:rPr>
        <w:t>HJ/T164</w:t>
      </w:r>
      <w:r>
        <w:rPr>
          <w:spacing w:val="-4"/>
        </w:rPr>
        <w:t xml:space="preserve">、 </w:t>
      </w:r>
      <w:r>
        <w:rPr>
          <w:rFonts w:ascii="Times New Roman" w:eastAsia="Times New Roman"/>
        </w:rPr>
        <w:t>HJ/T194</w:t>
      </w:r>
      <w:r>
        <w:rPr>
          <w:spacing w:val="-3"/>
        </w:rPr>
        <w:t>、</w:t>
      </w:r>
      <w:r>
        <w:rPr>
          <w:rFonts w:ascii="Times New Roman" w:eastAsia="Times New Roman"/>
        </w:rPr>
        <w:t>HJ/T</w:t>
      </w:r>
      <w:r>
        <w:rPr>
          <w:rFonts w:ascii="Times New Roman" w:eastAsia="Times New Roman"/>
          <w:spacing w:val="-6"/>
        </w:rPr>
        <w:t xml:space="preserve"> </w:t>
      </w:r>
      <w:r>
        <w:rPr>
          <w:rFonts w:ascii="Times New Roman" w:eastAsia="Times New Roman"/>
        </w:rPr>
        <w:t>193</w:t>
      </w:r>
      <w:r>
        <w:rPr>
          <w:spacing w:val="-5"/>
        </w:rPr>
        <w:t>、</w:t>
      </w:r>
      <w:r>
        <w:rPr>
          <w:rFonts w:ascii="Times New Roman" w:eastAsia="Times New Roman"/>
        </w:rPr>
        <w:t>HJ/T</w:t>
      </w:r>
      <w:r>
        <w:rPr>
          <w:rFonts w:ascii="Times New Roman" w:eastAsia="Times New Roman"/>
          <w:spacing w:val="-6"/>
        </w:rPr>
        <w:t xml:space="preserve"> </w:t>
      </w:r>
      <w:r>
        <w:rPr>
          <w:rFonts w:ascii="Times New Roman" w:eastAsia="Times New Roman"/>
        </w:rPr>
        <w:t>55</w:t>
      </w:r>
      <w:r>
        <w:rPr>
          <w:rFonts w:ascii="Times New Roman" w:eastAsia="Times New Roman"/>
          <w:spacing w:val="59"/>
        </w:rPr>
        <w:t xml:space="preserve"> </w:t>
      </w:r>
      <w:r>
        <w:rPr>
          <w:spacing w:val="-1"/>
        </w:rPr>
        <w:t xml:space="preserve">和 </w:t>
      </w:r>
      <w:r>
        <w:rPr>
          <w:rFonts w:ascii="Times New Roman" w:eastAsia="Times New Roman"/>
        </w:rPr>
        <w:t>HJ/T</w:t>
      </w:r>
      <w:r>
        <w:rPr>
          <w:rFonts w:ascii="Times New Roman" w:eastAsia="Times New Roman"/>
          <w:spacing w:val="-6"/>
        </w:rPr>
        <w:t xml:space="preserve"> </w:t>
      </w:r>
      <w:r>
        <w:rPr>
          <w:rFonts w:ascii="Times New Roman" w:eastAsia="Times New Roman"/>
        </w:rPr>
        <w:t>166</w:t>
      </w:r>
      <w:r>
        <w:rPr>
          <w:rFonts w:ascii="Times New Roman" w:eastAsia="Times New Roman"/>
          <w:spacing w:val="59"/>
        </w:rPr>
        <w:t xml:space="preserve"> </w:t>
      </w:r>
      <w:r>
        <w:rPr>
          <w:spacing w:val="-2"/>
        </w:rPr>
        <w:t>等。采样频次主要根据现场污</w:t>
      </w:r>
      <w:r>
        <w:rPr>
          <w:spacing w:val="-11"/>
        </w:rPr>
        <w:t>染状况确定。事故刚发生时，采样频次可适当增加，待摸清污染物变化规律后，可减少采样频</w:t>
      </w:r>
      <w:r>
        <w:rPr>
          <w:spacing w:val="-9"/>
        </w:rPr>
        <w:t>次。依据不同的环境区域功能和事故发生地的污染实际情况，力求以最低的采样频次，取得最</w:t>
      </w:r>
      <w:r>
        <w:rPr>
          <w:spacing w:val="-8"/>
        </w:rPr>
        <w:t>有代表性的样品。污染物质进入周围环境后，随着稀释、扩散和降解等作用，其浓度会逐渐降</w:t>
      </w:r>
      <w:r>
        <w:rPr>
          <w:spacing w:val="-10"/>
        </w:rPr>
        <w:t>低。为了掌握事故发生后的污染程度、范围及变化趋势，常需要进行连续的跟踪监测，直至环</w:t>
      </w:r>
      <w:r>
        <w:t>境恢复正常或达标。</w:t>
      </w:r>
    </w:p>
    <w:p>
      <w:pPr>
        <w:pStyle w:val="10"/>
        <w:spacing w:line="302" w:lineRule="exact"/>
        <w:ind w:left="720"/>
      </w:pPr>
      <w:r>
        <w:t xml:space="preserve">突发事件应急监测方案见表 </w:t>
      </w:r>
      <w:r>
        <w:rPr>
          <w:rFonts w:ascii="Times New Roman" w:eastAsia="Times New Roman"/>
        </w:rPr>
        <w:t>6.8.3-1</w:t>
      </w:r>
      <w:r>
        <w:t>：</w:t>
      </w:r>
    </w:p>
    <w:p>
      <w:pPr>
        <w:pStyle w:val="9"/>
        <w:spacing w:before="161"/>
        <w:ind w:left="313" w:right="1"/>
      </w:pPr>
      <w:r>
        <w:t xml:space="preserve">表 </w:t>
      </w:r>
      <w:r>
        <w:rPr>
          <w:rFonts w:ascii="Times New Roman" w:eastAsia="Times New Roman"/>
        </w:rPr>
        <w:t xml:space="preserve">6.8.3-1  </w:t>
      </w:r>
      <w:r>
        <w:t>应急监测内容一览表</w:t>
      </w:r>
    </w:p>
    <w:p>
      <w:pPr>
        <w:pStyle w:val="10"/>
        <w:spacing w:before="2"/>
        <w:rPr>
          <w:b/>
          <w:sz w:val="12"/>
        </w:rPr>
      </w:pPr>
    </w:p>
    <w:tbl>
      <w:tblPr>
        <w:tblStyle w:val="15"/>
        <w:tblW w:w="0" w:type="auto"/>
        <w:tblInd w:w="12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27"/>
        <w:gridCol w:w="1100"/>
        <w:gridCol w:w="1377"/>
        <w:gridCol w:w="1713"/>
        <w:gridCol w:w="454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227" w:type="dxa"/>
            <w:tcBorders>
              <w:left w:val="nil"/>
              <w:bottom w:val="single" w:color="000000" w:sz="4" w:space="0"/>
              <w:right w:val="single" w:color="000000" w:sz="4" w:space="0"/>
            </w:tcBorders>
          </w:tcPr>
          <w:p>
            <w:pPr>
              <w:pStyle w:val="24"/>
              <w:spacing w:before="64"/>
              <w:ind w:left="206"/>
              <w:rPr>
                <w:b/>
                <w:sz w:val="21"/>
              </w:rPr>
            </w:pPr>
            <w:r>
              <w:rPr>
                <w:b/>
                <w:sz w:val="21"/>
              </w:rPr>
              <w:t>事故类型</w:t>
            </w:r>
          </w:p>
        </w:tc>
        <w:tc>
          <w:tcPr>
            <w:tcW w:w="1100" w:type="dxa"/>
            <w:tcBorders>
              <w:left w:val="single" w:color="000000" w:sz="4" w:space="0"/>
              <w:bottom w:val="single" w:color="000000" w:sz="4" w:space="0"/>
              <w:right w:val="single" w:color="000000" w:sz="4" w:space="0"/>
            </w:tcBorders>
          </w:tcPr>
          <w:p>
            <w:pPr>
              <w:pStyle w:val="24"/>
              <w:spacing w:before="64"/>
              <w:ind w:left="117" w:right="88"/>
              <w:jc w:val="center"/>
              <w:rPr>
                <w:b/>
                <w:sz w:val="21"/>
              </w:rPr>
            </w:pPr>
            <w:r>
              <w:rPr>
                <w:b/>
                <w:sz w:val="21"/>
              </w:rPr>
              <w:t>环境因素</w:t>
            </w:r>
          </w:p>
        </w:tc>
        <w:tc>
          <w:tcPr>
            <w:tcW w:w="1377" w:type="dxa"/>
            <w:tcBorders>
              <w:left w:val="single" w:color="000000" w:sz="4" w:space="0"/>
              <w:bottom w:val="single" w:color="000000" w:sz="4" w:space="0"/>
              <w:right w:val="single" w:color="000000" w:sz="4" w:space="0"/>
            </w:tcBorders>
          </w:tcPr>
          <w:p>
            <w:pPr>
              <w:pStyle w:val="24"/>
              <w:spacing w:before="64"/>
              <w:ind w:left="256" w:right="227"/>
              <w:jc w:val="center"/>
              <w:rPr>
                <w:b/>
                <w:sz w:val="21"/>
              </w:rPr>
            </w:pPr>
            <w:r>
              <w:rPr>
                <w:b/>
                <w:sz w:val="21"/>
              </w:rPr>
              <w:t>监测项目</w:t>
            </w:r>
          </w:p>
        </w:tc>
        <w:tc>
          <w:tcPr>
            <w:tcW w:w="1713" w:type="dxa"/>
            <w:tcBorders>
              <w:left w:val="single" w:color="000000" w:sz="4" w:space="0"/>
              <w:bottom w:val="single" w:color="000000" w:sz="4" w:space="0"/>
              <w:right w:val="single" w:color="000000" w:sz="4" w:space="0"/>
            </w:tcBorders>
          </w:tcPr>
          <w:p>
            <w:pPr>
              <w:pStyle w:val="24"/>
              <w:spacing w:before="64"/>
              <w:ind w:left="72" w:right="47"/>
              <w:jc w:val="center"/>
              <w:rPr>
                <w:b/>
                <w:sz w:val="21"/>
              </w:rPr>
            </w:pPr>
            <w:r>
              <w:rPr>
                <w:b/>
                <w:sz w:val="21"/>
              </w:rPr>
              <w:t>频次</w:t>
            </w:r>
          </w:p>
        </w:tc>
        <w:tc>
          <w:tcPr>
            <w:tcW w:w="4544" w:type="dxa"/>
            <w:tcBorders>
              <w:left w:val="single" w:color="000000" w:sz="4" w:space="0"/>
              <w:bottom w:val="single" w:color="000000" w:sz="4" w:space="0"/>
              <w:right w:val="nil"/>
            </w:tcBorders>
          </w:tcPr>
          <w:p>
            <w:pPr>
              <w:pStyle w:val="24"/>
              <w:spacing w:before="64"/>
              <w:ind w:left="117" w:right="90"/>
              <w:jc w:val="center"/>
              <w:rPr>
                <w:b/>
                <w:sz w:val="21"/>
              </w:rPr>
            </w:pPr>
            <w:r>
              <w:rPr>
                <w:b/>
                <w:sz w:val="21"/>
              </w:rPr>
              <w:t>监测点位</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90" w:hRule="atLeast"/>
        </w:trPr>
        <w:tc>
          <w:tcPr>
            <w:tcW w:w="1227" w:type="dxa"/>
            <w:tcBorders>
              <w:top w:val="single" w:color="000000" w:sz="4" w:space="0"/>
              <w:left w:val="nil"/>
              <w:bottom w:val="single" w:color="000000" w:sz="4" w:space="0"/>
              <w:right w:val="single" w:color="000000" w:sz="4" w:space="0"/>
            </w:tcBorders>
          </w:tcPr>
          <w:p>
            <w:pPr>
              <w:pStyle w:val="24"/>
              <w:spacing w:before="4"/>
              <w:rPr>
                <w:b/>
                <w:sz w:val="21"/>
              </w:rPr>
            </w:pPr>
          </w:p>
          <w:p>
            <w:pPr>
              <w:pStyle w:val="24"/>
              <w:spacing w:before="1" w:line="242" w:lineRule="auto"/>
              <w:ind w:left="417" w:right="175" w:hanging="212"/>
              <w:rPr>
                <w:sz w:val="21"/>
              </w:rPr>
            </w:pPr>
            <w:r>
              <w:rPr>
                <w:sz w:val="21"/>
              </w:rPr>
              <w:t>有毒</w:t>
            </w:r>
            <w:r>
              <w:rPr>
                <w:rFonts w:hint="eastAsia"/>
                <w:sz w:val="21"/>
              </w:rPr>
              <w:t>液态</w:t>
            </w:r>
            <w:r>
              <w:rPr>
                <w:sz w:val="21"/>
              </w:rPr>
              <w:t>泄漏</w:t>
            </w:r>
          </w:p>
        </w:tc>
        <w:tc>
          <w:tcPr>
            <w:tcW w:w="1100" w:type="dxa"/>
            <w:tcBorders>
              <w:top w:val="single" w:color="000000" w:sz="4" w:space="0"/>
              <w:left w:val="single" w:color="000000" w:sz="4" w:space="0"/>
              <w:bottom w:val="single" w:color="000000" w:sz="4" w:space="0"/>
              <w:right w:val="single" w:color="000000" w:sz="4" w:space="0"/>
            </w:tcBorders>
          </w:tcPr>
          <w:p>
            <w:pPr>
              <w:pStyle w:val="24"/>
              <w:rPr>
                <w:b/>
                <w:sz w:val="20"/>
              </w:rPr>
            </w:pPr>
          </w:p>
          <w:p>
            <w:pPr>
              <w:pStyle w:val="24"/>
              <w:spacing w:before="152"/>
              <w:ind w:left="112" w:right="88"/>
              <w:jc w:val="center"/>
              <w:rPr>
                <w:sz w:val="21"/>
              </w:rPr>
            </w:pPr>
            <w:r>
              <w:rPr>
                <w:sz w:val="21"/>
              </w:rPr>
              <w:t>大气环境</w:t>
            </w:r>
          </w:p>
        </w:tc>
        <w:tc>
          <w:tcPr>
            <w:tcW w:w="1377" w:type="dxa"/>
            <w:tcBorders>
              <w:top w:val="single" w:color="000000" w:sz="4" w:space="0"/>
              <w:left w:val="single" w:color="000000" w:sz="4" w:space="0"/>
              <w:bottom w:val="single" w:color="000000" w:sz="4" w:space="0"/>
              <w:right w:val="single" w:color="000000" w:sz="4" w:space="0"/>
            </w:tcBorders>
          </w:tcPr>
          <w:p>
            <w:pPr>
              <w:pStyle w:val="24"/>
              <w:spacing w:before="12"/>
              <w:rPr>
                <w:b/>
                <w:sz w:val="32"/>
              </w:rPr>
            </w:pPr>
          </w:p>
          <w:p>
            <w:pPr>
              <w:pStyle w:val="24"/>
              <w:ind w:left="255" w:right="227"/>
              <w:jc w:val="center"/>
              <w:rPr>
                <w:rFonts w:ascii="Times New Roman"/>
                <w:sz w:val="21"/>
              </w:rPr>
            </w:pPr>
            <w:r>
              <w:rPr>
                <w:rFonts w:ascii="Times New Roman"/>
                <w:sz w:val="21"/>
              </w:rPr>
              <w:t>CO</w:t>
            </w:r>
          </w:p>
        </w:tc>
        <w:tc>
          <w:tcPr>
            <w:tcW w:w="1713" w:type="dxa"/>
            <w:tcBorders>
              <w:top w:val="single" w:color="000000" w:sz="4" w:space="0"/>
              <w:left w:val="single" w:color="000000" w:sz="4" w:space="0"/>
              <w:bottom w:val="single" w:color="000000" w:sz="4" w:space="0"/>
              <w:right w:val="single" w:color="000000" w:sz="4" w:space="0"/>
            </w:tcBorders>
          </w:tcPr>
          <w:p>
            <w:pPr>
              <w:pStyle w:val="24"/>
              <w:ind w:left="74" w:right="47"/>
              <w:jc w:val="center"/>
              <w:rPr>
                <w:sz w:val="21"/>
              </w:rPr>
            </w:pPr>
            <w:r>
              <w:rPr>
                <w:sz w:val="21"/>
              </w:rPr>
              <w:t xml:space="preserve">一般情况 </w:t>
            </w:r>
            <w:r>
              <w:rPr>
                <w:rFonts w:ascii="Times New Roman" w:eastAsia="Times New Roman"/>
                <w:sz w:val="21"/>
              </w:rPr>
              <w:t xml:space="preserve">1 </w:t>
            </w:r>
            <w:r>
              <w:rPr>
                <w:sz w:val="21"/>
              </w:rPr>
              <w:t>次</w:t>
            </w:r>
          </w:p>
          <w:p>
            <w:pPr>
              <w:pStyle w:val="24"/>
              <w:spacing w:before="5" w:line="242" w:lineRule="auto"/>
              <w:ind w:left="77" w:right="47"/>
              <w:jc w:val="center"/>
              <w:rPr>
                <w:sz w:val="21"/>
              </w:rPr>
            </w:pPr>
            <w:r>
              <w:rPr>
                <w:rFonts w:ascii="Times New Roman" w:eastAsia="Times New Roman"/>
                <w:sz w:val="21"/>
              </w:rPr>
              <w:t>/2h</w:t>
            </w:r>
            <w:r>
              <w:rPr>
                <w:sz w:val="21"/>
              </w:rPr>
              <w:t>，随 事故影响减弱，适当 减</w:t>
            </w:r>
          </w:p>
          <w:p>
            <w:pPr>
              <w:pStyle w:val="24"/>
              <w:spacing w:before="1" w:line="251" w:lineRule="exact"/>
              <w:ind w:left="72" w:right="47"/>
              <w:jc w:val="center"/>
              <w:rPr>
                <w:sz w:val="21"/>
              </w:rPr>
            </w:pPr>
            <w:r>
              <w:rPr>
                <w:sz w:val="21"/>
              </w:rPr>
              <w:t>少监测频次</w:t>
            </w:r>
          </w:p>
        </w:tc>
        <w:tc>
          <w:tcPr>
            <w:tcW w:w="4544" w:type="dxa"/>
            <w:tcBorders>
              <w:top w:val="single" w:color="000000" w:sz="4" w:space="0"/>
              <w:left w:val="single" w:color="000000" w:sz="4" w:space="0"/>
              <w:bottom w:val="single" w:color="000000" w:sz="4" w:space="0"/>
              <w:right w:val="nil"/>
            </w:tcBorders>
          </w:tcPr>
          <w:p>
            <w:pPr>
              <w:pStyle w:val="24"/>
              <w:spacing w:before="137" w:line="242" w:lineRule="auto"/>
              <w:ind w:left="117" w:right="94"/>
              <w:jc w:val="center"/>
              <w:rPr>
                <w:sz w:val="21"/>
              </w:rPr>
            </w:pPr>
            <w:r>
              <w:rPr>
                <w:spacing w:val="-5"/>
                <w:w w:val="95"/>
                <w:sz w:val="21"/>
              </w:rPr>
              <w:t xml:space="preserve">事故泄漏点最近企业边界或上风向对照点，事故 </w:t>
            </w:r>
            <w:r>
              <w:rPr>
                <w:spacing w:val="-6"/>
                <w:sz w:val="21"/>
              </w:rPr>
              <w:t xml:space="preserve">泄漏点下风向企业边界、下风向最近敏感 保护目标处各设置 </w:t>
            </w:r>
            <w:r>
              <w:rPr>
                <w:rFonts w:ascii="Times New Roman" w:eastAsia="Times New Roman"/>
                <w:sz w:val="21"/>
              </w:rPr>
              <w:t xml:space="preserve">1 </w:t>
            </w:r>
            <w:r>
              <w:rPr>
                <w:sz w:val="21"/>
              </w:rPr>
              <w:t>个监测点。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78" w:hRule="atLeast"/>
        </w:trPr>
        <w:tc>
          <w:tcPr>
            <w:tcW w:w="1227" w:type="dxa"/>
            <w:vMerge w:val="restart"/>
            <w:tcBorders>
              <w:top w:val="single" w:color="000000" w:sz="4" w:space="0"/>
              <w:left w:val="nil"/>
              <w:right w:val="single" w:color="000000" w:sz="4" w:space="0"/>
            </w:tcBorders>
          </w:tcPr>
          <w:p>
            <w:pPr>
              <w:pStyle w:val="24"/>
              <w:rPr>
                <w:b/>
                <w:sz w:val="20"/>
              </w:rPr>
            </w:pPr>
          </w:p>
          <w:p>
            <w:pPr>
              <w:pStyle w:val="24"/>
              <w:rPr>
                <w:b/>
                <w:sz w:val="20"/>
              </w:rPr>
            </w:pPr>
          </w:p>
          <w:p>
            <w:pPr>
              <w:pStyle w:val="24"/>
              <w:rPr>
                <w:b/>
                <w:sz w:val="24"/>
              </w:rPr>
            </w:pPr>
          </w:p>
          <w:p>
            <w:pPr>
              <w:pStyle w:val="24"/>
              <w:spacing w:line="244" w:lineRule="auto"/>
              <w:ind w:left="417" w:right="384"/>
              <w:rPr>
                <w:sz w:val="21"/>
              </w:rPr>
            </w:pPr>
            <w:r>
              <w:rPr>
                <w:sz w:val="21"/>
              </w:rPr>
              <w:t>火灾爆炸</w:t>
            </w:r>
          </w:p>
        </w:tc>
        <w:tc>
          <w:tcPr>
            <w:tcW w:w="1100" w:type="dxa"/>
            <w:tcBorders>
              <w:top w:val="single" w:color="000000" w:sz="4" w:space="0"/>
              <w:left w:val="single" w:color="000000" w:sz="4" w:space="0"/>
              <w:bottom w:val="single" w:color="000000" w:sz="4" w:space="0"/>
              <w:right w:val="single" w:color="000000" w:sz="4" w:space="0"/>
            </w:tcBorders>
          </w:tcPr>
          <w:p>
            <w:pPr>
              <w:pStyle w:val="24"/>
              <w:rPr>
                <w:b/>
                <w:sz w:val="20"/>
              </w:rPr>
            </w:pPr>
          </w:p>
          <w:p>
            <w:pPr>
              <w:pStyle w:val="24"/>
              <w:spacing w:before="151"/>
              <w:ind w:left="112" w:right="88"/>
              <w:jc w:val="center"/>
              <w:rPr>
                <w:sz w:val="21"/>
              </w:rPr>
            </w:pPr>
            <w:r>
              <w:rPr>
                <w:sz w:val="21"/>
              </w:rPr>
              <w:t>大气环境</w:t>
            </w:r>
          </w:p>
        </w:tc>
        <w:tc>
          <w:tcPr>
            <w:tcW w:w="1377" w:type="dxa"/>
            <w:tcBorders>
              <w:top w:val="single" w:color="000000" w:sz="4" w:space="0"/>
              <w:left w:val="single" w:color="000000" w:sz="4" w:space="0"/>
              <w:bottom w:val="single" w:color="000000" w:sz="4" w:space="0"/>
              <w:right w:val="single" w:color="000000" w:sz="4" w:space="0"/>
            </w:tcBorders>
          </w:tcPr>
          <w:p>
            <w:pPr>
              <w:pStyle w:val="24"/>
              <w:spacing w:before="11"/>
              <w:rPr>
                <w:b/>
                <w:sz w:val="32"/>
              </w:rPr>
            </w:pPr>
          </w:p>
          <w:p>
            <w:pPr>
              <w:pStyle w:val="24"/>
              <w:ind w:left="255" w:right="227"/>
              <w:jc w:val="center"/>
              <w:rPr>
                <w:rFonts w:ascii="Times New Roman"/>
                <w:sz w:val="21"/>
              </w:rPr>
            </w:pPr>
            <w:r>
              <w:rPr>
                <w:rFonts w:ascii="Times New Roman"/>
                <w:sz w:val="21"/>
              </w:rPr>
              <w:t>CO</w:t>
            </w:r>
          </w:p>
        </w:tc>
        <w:tc>
          <w:tcPr>
            <w:tcW w:w="1713" w:type="dxa"/>
            <w:tcBorders>
              <w:top w:val="single" w:color="000000" w:sz="4" w:space="0"/>
              <w:left w:val="single" w:color="000000" w:sz="4" w:space="0"/>
              <w:bottom w:val="single" w:color="000000" w:sz="4" w:space="0"/>
              <w:right w:val="single" w:color="000000" w:sz="4" w:space="0"/>
            </w:tcBorders>
          </w:tcPr>
          <w:p>
            <w:pPr>
              <w:pStyle w:val="24"/>
              <w:spacing w:line="269" w:lineRule="exact"/>
              <w:ind w:left="74" w:right="47"/>
              <w:jc w:val="center"/>
              <w:rPr>
                <w:sz w:val="21"/>
              </w:rPr>
            </w:pPr>
            <w:r>
              <w:rPr>
                <w:sz w:val="21"/>
              </w:rPr>
              <w:t xml:space="preserve">一般情况 </w:t>
            </w:r>
            <w:r>
              <w:rPr>
                <w:rFonts w:ascii="Times New Roman" w:eastAsia="Times New Roman"/>
                <w:sz w:val="21"/>
              </w:rPr>
              <w:t xml:space="preserve">1 </w:t>
            </w:r>
            <w:r>
              <w:rPr>
                <w:sz w:val="21"/>
              </w:rPr>
              <w:t>次</w:t>
            </w:r>
          </w:p>
          <w:p>
            <w:pPr>
              <w:pStyle w:val="24"/>
              <w:spacing w:before="4" w:line="242" w:lineRule="auto"/>
              <w:ind w:left="77" w:right="47"/>
              <w:jc w:val="center"/>
              <w:rPr>
                <w:sz w:val="21"/>
              </w:rPr>
            </w:pPr>
            <w:r>
              <w:rPr>
                <w:rFonts w:ascii="Times New Roman" w:eastAsia="Times New Roman"/>
                <w:sz w:val="21"/>
              </w:rPr>
              <w:t>/2h</w:t>
            </w:r>
            <w:r>
              <w:rPr>
                <w:sz w:val="21"/>
              </w:rPr>
              <w:t>，随 事故影响减弱，适当 减</w:t>
            </w:r>
          </w:p>
          <w:p>
            <w:pPr>
              <w:pStyle w:val="24"/>
              <w:spacing w:before="2" w:line="241" w:lineRule="exact"/>
              <w:ind w:left="72" w:right="47"/>
              <w:jc w:val="center"/>
              <w:rPr>
                <w:sz w:val="21"/>
              </w:rPr>
            </w:pPr>
            <w:r>
              <w:rPr>
                <w:sz w:val="21"/>
              </w:rPr>
              <w:t>少监测频次</w:t>
            </w:r>
          </w:p>
        </w:tc>
        <w:tc>
          <w:tcPr>
            <w:tcW w:w="4544" w:type="dxa"/>
            <w:tcBorders>
              <w:top w:val="single" w:color="000000" w:sz="4" w:space="0"/>
              <w:left w:val="single" w:color="000000" w:sz="4" w:space="0"/>
              <w:bottom w:val="single" w:color="000000" w:sz="4" w:space="0"/>
              <w:right w:val="nil"/>
            </w:tcBorders>
          </w:tcPr>
          <w:p>
            <w:pPr>
              <w:pStyle w:val="24"/>
              <w:spacing w:before="134" w:line="242" w:lineRule="auto"/>
              <w:ind w:left="117" w:right="94"/>
              <w:jc w:val="center"/>
              <w:rPr>
                <w:sz w:val="21"/>
              </w:rPr>
            </w:pPr>
            <w:r>
              <w:rPr>
                <w:spacing w:val="-5"/>
                <w:w w:val="95"/>
                <w:sz w:val="21"/>
              </w:rPr>
              <w:t xml:space="preserve">事故泄漏点最近企业边界或上风向对照点，事故 </w:t>
            </w:r>
            <w:r>
              <w:rPr>
                <w:spacing w:val="-6"/>
                <w:sz w:val="21"/>
              </w:rPr>
              <w:t xml:space="preserve">泄漏点下风向企业边界、下风向最近敏感 保护目标处各设置 </w:t>
            </w:r>
            <w:r>
              <w:rPr>
                <w:rFonts w:ascii="Times New Roman" w:eastAsia="Times New Roman"/>
                <w:sz w:val="21"/>
              </w:rPr>
              <w:t xml:space="preserve">1 </w:t>
            </w:r>
            <w:r>
              <w:rPr>
                <w:sz w:val="21"/>
              </w:rPr>
              <w:t>个监测点。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79" w:hRule="atLeast"/>
        </w:trPr>
        <w:tc>
          <w:tcPr>
            <w:tcW w:w="1227" w:type="dxa"/>
            <w:vMerge w:val="continue"/>
            <w:tcBorders>
              <w:top w:val="nil"/>
              <w:left w:val="nil"/>
              <w:right w:val="single" w:color="000000" w:sz="4" w:space="0"/>
            </w:tcBorders>
          </w:tcPr>
          <w:p>
            <w:pPr>
              <w:rPr>
                <w:sz w:val="2"/>
                <w:szCs w:val="2"/>
              </w:rPr>
            </w:pPr>
          </w:p>
        </w:tc>
        <w:tc>
          <w:tcPr>
            <w:tcW w:w="1100" w:type="dxa"/>
            <w:tcBorders>
              <w:top w:val="single" w:color="000000" w:sz="4" w:space="0"/>
              <w:left w:val="single" w:color="000000" w:sz="4" w:space="0"/>
              <w:right w:val="single" w:color="000000" w:sz="4" w:space="0"/>
            </w:tcBorders>
          </w:tcPr>
          <w:p>
            <w:pPr>
              <w:pStyle w:val="24"/>
              <w:rPr>
                <w:b/>
                <w:sz w:val="20"/>
              </w:rPr>
            </w:pPr>
          </w:p>
          <w:p>
            <w:pPr>
              <w:pStyle w:val="24"/>
              <w:spacing w:before="144"/>
              <w:ind w:left="114" w:right="88"/>
              <w:jc w:val="center"/>
              <w:rPr>
                <w:sz w:val="21"/>
              </w:rPr>
            </w:pPr>
            <w:r>
              <w:rPr>
                <w:sz w:val="21"/>
              </w:rPr>
              <w:t>水环境</w:t>
            </w:r>
          </w:p>
        </w:tc>
        <w:tc>
          <w:tcPr>
            <w:tcW w:w="1377" w:type="dxa"/>
            <w:tcBorders>
              <w:top w:val="single" w:color="000000" w:sz="4" w:space="0"/>
              <w:left w:val="single" w:color="000000" w:sz="4" w:space="0"/>
              <w:right w:val="single" w:color="000000" w:sz="4" w:space="0"/>
            </w:tcBorders>
          </w:tcPr>
          <w:p>
            <w:pPr>
              <w:pStyle w:val="24"/>
              <w:spacing w:before="126" w:line="242" w:lineRule="auto"/>
              <w:ind w:left="118" w:right="87" w:firstLine="19"/>
              <w:jc w:val="both"/>
              <w:rPr>
                <w:sz w:val="21"/>
              </w:rPr>
            </w:pPr>
            <w:r>
              <w:rPr>
                <w:rFonts w:ascii="Times New Roman" w:eastAsia="Times New Roman"/>
                <w:sz w:val="21"/>
              </w:rPr>
              <w:t>pH</w:t>
            </w:r>
            <w:r>
              <w:rPr>
                <w:sz w:val="21"/>
              </w:rPr>
              <w:t>、</w:t>
            </w:r>
            <w:r>
              <w:rPr>
                <w:rFonts w:ascii="Times New Roman" w:eastAsia="Times New Roman"/>
                <w:sz w:val="21"/>
              </w:rPr>
              <w:t>COD</w:t>
            </w:r>
            <w:r>
              <w:rPr>
                <w:sz w:val="21"/>
              </w:rPr>
              <w:t>、</w:t>
            </w:r>
            <w:r>
              <w:rPr>
                <w:spacing w:val="-20"/>
                <w:sz w:val="21"/>
              </w:rPr>
              <w:t>氨氮、石油类</w:t>
            </w:r>
            <w:r>
              <w:rPr>
                <w:sz w:val="21"/>
              </w:rPr>
              <w:t>等常规因子</w:t>
            </w:r>
          </w:p>
        </w:tc>
        <w:tc>
          <w:tcPr>
            <w:tcW w:w="1713" w:type="dxa"/>
            <w:tcBorders>
              <w:top w:val="single" w:color="000000" w:sz="4" w:space="0"/>
              <w:left w:val="single" w:color="000000" w:sz="4" w:space="0"/>
              <w:right w:val="single" w:color="000000" w:sz="4" w:space="0"/>
            </w:tcBorders>
          </w:tcPr>
          <w:p>
            <w:pPr>
              <w:pStyle w:val="24"/>
              <w:spacing w:line="261" w:lineRule="exact"/>
              <w:ind w:left="74" w:right="47"/>
              <w:jc w:val="center"/>
              <w:rPr>
                <w:sz w:val="21"/>
              </w:rPr>
            </w:pPr>
            <w:r>
              <w:rPr>
                <w:sz w:val="21"/>
              </w:rPr>
              <w:t xml:space="preserve">一般情况 </w:t>
            </w:r>
            <w:r>
              <w:rPr>
                <w:rFonts w:ascii="Times New Roman" w:eastAsia="Times New Roman"/>
                <w:sz w:val="21"/>
              </w:rPr>
              <w:t xml:space="preserve">1 </w:t>
            </w:r>
            <w:r>
              <w:rPr>
                <w:sz w:val="21"/>
              </w:rPr>
              <w:t>次</w:t>
            </w:r>
          </w:p>
          <w:p>
            <w:pPr>
              <w:pStyle w:val="24"/>
              <w:spacing w:before="2" w:line="242" w:lineRule="auto"/>
              <w:ind w:left="89" w:right="59"/>
              <w:jc w:val="center"/>
              <w:rPr>
                <w:sz w:val="21"/>
              </w:rPr>
            </w:pPr>
            <w:r>
              <w:rPr>
                <w:rFonts w:ascii="Times New Roman" w:eastAsia="Times New Roman"/>
                <w:sz w:val="21"/>
              </w:rPr>
              <w:t>/1h</w:t>
            </w:r>
            <w:r>
              <w:rPr>
                <w:sz w:val="21"/>
              </w:rPr>
              <w:t>，直至地面消防废水全部清理</w:t>
            </w:r>
          </w:p>
          <w:p>
            <w:pPr>
              <w:pStyle w:val="24"/>
              <w:spacing w:before="1" w:line="251" w:lineRule="exact"/>
              <w:ind w:left="70" w:right="47"/>
              <w:jc w:val="center"/>
              <w:rPr>
                <w:sz w:val="21"/>
              </w:rPr>
            </w:pPr>
            <w:r>
              <w:rPr>
                <w:sz w:val="21"/>
              </w:rPr>
              <w:t>完毕</w:t>
            </w:r>
          </w:p>
        </w:tc>
        <w:tc>
          <w:tcPr>
            <w:tcW w:w="4544" w:type="dxa"/>
            <w:tcBorders>
              <w:top w:val="single" w:color="000000" w:sz="4" w:space="0"/>
              <w:left w:val="single" w:color="000000" w:sz="4" w:space="0"/>
              <w:right w:val="nil"/>
            </w:tcBorders>
          </w:tcPr>
          <w:p>
            <w:pPr>
              <w:pStyle w:val="24"/>
              <w:spacing w:before="3"/>
              <w:rPr>
                <w:b/>
                <w:sz w:val="31"/>
              </w:rPr>
            </w:pPr>
          </w:p>
          <w:p>
            <w:pPr>
              <w:pStyle w:val="24"/>
              <w:ind w:left="116" w:right="94"/>
              <w:jc w:val="center"/>
              <w:rPr>
                <w:sz w:val="21"/>
              </w:rPr>
            </w:pPr>
            <w:r>
              <w:rPr>
                <w:sz w:val="21"/>
              </w:rPr>
              <w:t xml:space="preserve">企业雨水排放口 </w:t>
            </w:r>
            <w:r>
              <w:rPr>
                <w:rFonts w:ascii="Times New Roman" w:eastAsia="Times New Roman"/>
                <w:sz w:val="21"/>
              </w:rPr>
              <w:t xml:space="preserve">1 </w:t>
            </w:r>
            <w:r>
              <w:rPr>
                <w:sz w:val="21"/>
              </w:rPr>
              <w:t>个监测点及附近地表水体。</w:t>
            </w:r>
          </w:p>
        </w:tc>
      </w:tr>
    </w:tbl>
    <w:p>
      <w:pPr>
        <w:jc w:val="center"/>
        <w:rPr>
          <w:sz w:val="21"/>
        </w:rPr>
        <w:sectPr>
          <w:pgSz w:w="11910" w:h="16840"/>
          <w:pgMar w:top="1360" w:right="840" w:bottom="1180" w:left="840" w:header="882" w:footer="993" w:gutter="0"/>
          <w:cols w:space="720" w:num="1"/>
        </w:sectPr>
      </w:pPr>
    </w:p>
    <w:p>
      <w:pPr>
        <w:pStyle w:val="10"/>
        <w:spacing w:before="11"/>
        <w:rPr>
          <w:b/>
          <w:sz w:val="4"/>
        </w:rPr>
      </w:pPr>
    </w:p>
    <w:p>
      <w:pPr>
        <w:pStyle w:val="10"/>
        <w:ind w:left="240"/>
        <w:rPr>
          <w:sz w:val="20"/>
          <w:lang w:val="en-US"/>
        </w:rPr>
      </w:pPr>
      <w:r>
        <w:rPr>
          <w:rFonts w:hint="eastAsia"/>
          <w:sz w:val="20"/>
          <w:lang w:val="en-US"/>
        </w:rPr>
        <w:t xml:space="preserve">      </w:t>
      </w:r>
      <w:r>
        <w:rPr>
          <w:lang w:val="en-US" w:bidi="ar-SA"/>
        </w:rPr>
        <w:drawing>
          <wp:inline distT="0" distB="0" distL="114300" distR="114300">
            <wp:extent cx="5391150" cy="4791075"/>
            <wp:effectExtent l="0" t="0" r="0" b="952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2"/>
                    <a:stretch>
                      <a:fillRect/>
                    </a:stretch>
                  </pic:blipFill>
                  <pic:spPr>
                    <a:xfrm>
                      <a:off x="0" y="0"/>
                      <a:ext cx="5391150" cy="4791075"/>
                    </a:xfrm>
                    <a:prstGeom prst="rect">
                      <a:avLst/>
                    </a:prstGeom>
                    <a:noFill/>
                    <a:ln>
                      <a:noFill/>
                    </a:ln>
                  </pic:spPr>
                </pic:pic>
              </a:graphicData>
            </a:graphic>
          </wp:inline>
        </w:drawing>
      </w:r>
    </w:p>
    <w:p>
      <w:pPr>
        <w:pStyle w:val="9"/>
        <w:spacing w:before="23"/>
        <w:ind w:left="310" w:right="1"/>
      </w:pPr>
      <w:r>
        <w:t xml:space="preserve">图 </w:t>
      </w:r>
      <w:r>
        <w:rPr>
          <w:rFonts w:ascii="Times New Roman" w:eastAsia="Times New Roman"/>
        </w:rPr>
        <w:t xml:space="preserve">6.8.3-1  </w:t>
      </w:r>
      <w:r>
        <w:t>应急监测布点图</w:t>
      </w:r>
    </w:p>
    <w:p>
      <w:pPr>
        <w:pStyle w:val="10"/>
        <w:spacing w:before="3"/>
        <w:rPr>
          <w:b/>
          <w:sz w:val="19"/>
        </w:rPr>
      </w:pPr>
    </w:p>
    <w:p>
      <w:pPr>
        <w:pStyle w:val="6"/>
        <w:numPr>
          <w:ilvl w:val="1"/>
          <w:numId w:val="6"/>
        </w:numPr>
        <w:tabs>
          <w:tab w:val="left" w:pos="766"/>
        </w:tabs>
        <w:spacing w:before="70"/>
      </w:pPr>
      <w:bookmarkStart w:id="173" w:name="_bookmark86"/>
      <w:bookmarkEnd w:id="173"/>
      <w:bookmarkStart w:id="174" w:name="6.9_应急终止"/>
      <w:bookmarkEnd w:id="174"/>
      <w:r>
        <w:t>应急终止</w:t>
      </w:r>
    </w:p>
    <w:p>
      <w:pPr>
        <w:pStyle w:val="10"/>
        <w:spacing w:before="10"/>
        <w:rPr>
          <w:b/>
          <w:sz w:val="27"/>
        </w:rPr>
      </w:pPr>
    </w:p>
    <w:p>
      <w:pPr>
        <w:pStyle w:val="23"/>
        <w:numPr>
          <w:ilvl w:val="2"/>
          <w:numId w:val="6"/>
        </w:numPr>
        <w:tabs>
          <w:tab w:val="left" w:pos="941"/>
        </w:tabs>
        <w:ind w:left="940" w:hanging="701"/>
        <w:rPr>
          <w:b/>
          <w:sz w:val="28"/>
        </w:rPr>
      </w:pPr>
      <w:bookmarkStart w:id="175" w:name="6.9.1_应急终止条件"/>
      <w:bookmarkEnd w:id="175"/>
      <w:bookmarkStart w:id="176" w:name="_bookmark87"/>
      <w:bookmarkEnd w:id="176"/>
      <w:r>
        <w:rPr>
          <w:b/>
          <w:sz w:val="28"/>
        </w:rPr>
        <w:t>应急终止条件</w:t>
      </w:r>
    </w:p>
    <w:p>
      <w:pPr>
        <w:pStyle w:val="10"/>
        <w:spacing w:before="8"/>
        <w:rPr>
          <w:b/>
          <w:sz w:val="26"/>
        </w:rPr>
      </w:pPr>
    </w:p>
    <w:p>
      <w:pPr>
        <w:pStyle w:val="10"/>
        <w:ind w:left="720"/>
      </w:pPr>
      <w:r>
        <w:t>符合下列条件之一，即满足应急终止条件：</w:t>
      </w:r>
    </w:p>
    <w:p>
      <w:pPr>
        <w:pStyle w:val="23"/>
        <w:numPr>
          <w:ilvl w:val="0"/>
          <w:numId w:val="61"/>
        </w:numPr>
        <w:tabs>
          <w:tab w:val="left" w:pos="1321"/>
        </w:tabs>
        <w:spacing w:before="158"/>
        <w:rPr>
          <w:sz w:val="24"/>
        </w:rPr>
      </w:pPr>
      <w:r>
        <w:rPr>
          <w:sz w:val="24"/>
        </w:rPr>
        <w:t>事件现场得到控制，污染或危险已经解除；</w:t>
      </w:r>
    </w:p>
    <w:p>
      <w:pPr>
        <w:pStyle w:val="23"/>
        <w:numPr>
          <w:ilvl w:val="0"/>
          <w:numId w:val="61"/>
        </w:numPr>
        <w:tabs>
          <w:tab w:val="left" w:pos="1321"/>
        </w:tabs>
        <w:spacing w:before="158"/>
        <w:rPr>
          <w:sz w:val="24"/>
        </w:rPr>
      </w:pPr>
      <w:r>
        <w:rPr>
          <w:sz w:val="24"/>
        </w:rPr>
        <w:t>监测表明，污染因子已降至规定限值以内；</w:t>
      </w:r>
    </w:p>
    <w:p>
      <w:pPr>
        <w:pStyle w:val="23"/>
        <w:numPr>
          <w:ilvl w:val="0"/>
          <w:numId w:val="61"/>
        </w:numPr>
        <w:tabs>
          <w:tab w:val="left" w:pos="1321"/>
        </w:tabs>
        <w:spacing w:before="161"/>
        <w:rPr>
          <w:sz w:val="24"/>
        </w:rPr>
      </w:pPr>
      <w:r>
        <w:rPr>
          <w:sz w:val="24"/>
        </w:rPr>
        <w:t>事件造成的危害已经基本消除且无继发的可能；</w:t>
      </w:r>
    </w:p>
    <w:p>
      <w:pPr>
        <w:pStyle w:val="23"/>
        <w:numPr>
          <w:ilvl w:val="0"/>
          <w:numId w:val="61"/>
        </w:numPr>
        <w:tabs>
          <w:tab w:val="left" w:pos="1321"/>
        </w:tabs>
        <w:spacing w:before="158"/>
        <w:rPr>
          <w:sz w:val="24"/>
        </w:rPr>
      </w:pPr>
      <w:r>
        <w:rPr>
          <w:sz w:val="24"/>
        </w:rPr>
        <w:t>现场的各种专业应急处置行动已无继续的必要；</w:t>
      </w:r>
    </w:p>
    <w:p>
      <w:pPr>
        <w:pStyle w:val="23"/>
        <w:numPr>
          <w:ilvl w:val="0"/>
          <w:numId w:val="61"/>
        </w:numPr>
        <w:tabs>
          <w:tab w:val="left" w:pos="1321"/>
        </w:tabs>
        <w:spacing w:before="160" w:line="364" w:lineRule="auto"/>
        <w:ind w:left="240" w:right="240" w:firstLine="480"/>
        <w:rPr>
          <w:sz w:val="24"/>
        </w:rPr>
      </w:pPr>
      <w:r>
        <w:rPr>
          <w:spacing w:val="-1"/>
          <w:sz w:val="24"/>
        </w:rPr>
        <w:t>采取了必要的防护措施以保护公众的安全健康免受再次危害，事件可能引起的中长</w:t>
      </w:r>
      <w:r>
        <w:rPr>
          <w:sz w:val="24"/>
        </w:rPr>
        <w:t>期影响趋于合理且尽量低的水平；</w:t>
      </w:r>
    </w:p>
    <w:p>
      <w:pPr>
        <w:pStyle w:val="23"/>
        <w:numPr>
          <w:ilvl w:val="0"/>
          <w:numId w:val="61"/>
        </w:numPr>
        <w:tabs>
          <w:tab w:val="left" w:pos="1321"/>
        </w:tabs>
        <w:spacing w:line="364" w:lineRule="auto"/>
        <w:ind w:left="240" w:right="240" w:firstLine="480"/>
        <w:rPr>
          <w:sz w:val="24"/>
        </w:rPr>
      </w:pPr>
      <w:r>
        <w:rPr>
          <w:spacing w:val="-1"/>
          <w:sz w:val="24"/>
        </w:rPr>
        <w:t>除已启动上级应急预案需由上级政府决定应急结束外，环境污染事故应急结束由企</w:t>
      </w:r>
      <w:r>
        <w:rPr>
          <w:sz w:val="24"/>
        </w:rPr>
        <w:t>业突发环境事件应急指挥部实施。</w:t>
      </w:r>
    </w:p>
    <w:p>
      <w:pPr>
        <w:pStyle w:val="23"/>
        <w:numPr>
          <w:ilvl w:val="2"/>
          <w:numId w:val="6"/>
        </w:numPr>
        <w:tabs>
          <w:tab w:val="left" w:pos="941"/>
        </w:tabs>
        <w:spacing w:before="155"/>
        <w:ind w:left="940" w:hanging="701"/>
        <w:rPr>
          <w:b/>
          <w:sz w:val="28"/>
        </w:rPr>
      </w:pPr>
      <w:bookmarkStart w:id="177" w:name="_bookmark88"/>
      <w:bookmarkEnd w:id="177"/>
      <w:bookmarkStart w:id="178" w:name="6.9.2_应急终止程序"/>
      <w:bookmarkEnd w:id="178"/>
      <w:r>
        <w:rPr>
          <w:b/>
          <w:sz w:val="28"/>
        </w:rPr>
        <w:t>应急终止程序</w:t>
      </w:r>
    </w:p>
    <w:p>
      <w:pPr>
        <w:pStyle w:val="10"/>
        <w:spacing w:before="8"/>
        <w:rPr>
          <w:b/>
          <w:sz w:val="26"/>
        </w:rPr>
      </w:pPr>
    </w:p>
    <w:p>
      <w:pPr>
        <w:pStyle w:val="23"/>
        <w:numPr>
          <w:ilvl w:val="0"/>
          <w:numId w:val="62"/>
        </w:numPr>
        <w:tabs>
          <w:tab w:val="left" w:pos="1321"/>
        </w:tabs>
        <w:rPr>
          <w:sz w:val="24"/>
        </w:rPr>
      </w:pPr>
      <w:r>
        <w:rPr>
          <w:sz w:val="24"/>
        </w:rPr>
        <w:t>应急终止时机由总指挥陈孔银确认；</w:t>
      </w:r>
    </w:p>
    <w:p>
      <w:pPr>
        <w:pStyle w:val="23"/>
        <w:numPr>
          <w:ilvl w:val="0"/>
          <w:numId w:val="62"/>
        </w:numPr>
        <w:tabs>
          <w:tab w:val="left" w:pos="1321"/>
        </w:tabs>
        <w:spacing w:before="161"/>
        <w:rPr>
          <w:sz w:val="24"/>
        </w:rPr>
      </w:pPr>
      <w:r>
        <w:rPr>
          <w:sz w:val="24"/>
        </w:rPr>
        <w:t>总指挥陈孔银向各员工下达应急终止命令；</w:t>
      </w:r>
    </w:p>
    <w:p>
      <w:pPr>
        <w:pStyle w:val="23"/>
        <w:numPr>
          <w:ilvl w:val="0"/>
          <w:numId w:val="62"/>
        </w:numPr>
        <w:tabs>
          <w:tab w:val="left" w:pos="1321"/>
        </w:tabs>
        <w:spacing w:before="158"/>
        <w:rPr>
          <w:sz w:val="24"/>
        </w:rPr>
      </w:pPr>
      <w:r>
        <w:rPr>
          <w:sz w:val="24"/>
        </w:rPr>
        <w:t>应急状态终止后，环境监测组继续联系监测单位进行跟踪监测和评价工作，直至污</w:t>
      </w:r>
    </w:p>
    <w:p>
      <w:pPr>
        <w:rPr>
          <w:sz w:val="24"/>
        </w:rPr>
        <w:sectPr>
          <w:pgSz w:w="11910" w:h="16840"/>
          <w:pgMar w:top="1360" w:right="840" w:bottom="1180" w:left="840" w:header="882" w:footer="993" w:gutter="0"/>
          <w:cols w:space="720" w:num="1"/>
        </w:sectPr>
      </w:pPr>
    </w:p>
    <w:p>
      <w:pPr>
        <w:pStyle w:val="10"/>
        <w:spacing w:before="64"/>
        <w:ind w:left="240"/>
      </w:pPr>
      <w:r>
        <w:t>染影响彻底消除为止。</w:t>
      </w:r>
    </w:p>
    <w:p>
      <w:pPr>
        <w:pStyle w:val="10"/>
        <w:spacing w:before="9"/>
      </w:pPr>
    </w:p>
    <w:p>
      <w:pPr>
        <w:pStyle w:val="23"/>
        <w:numPr>
          <w:ilvl w:val="2"/>
          <w:numId w:val="6"/>
        </w:numPr>
        <w:tabs>
          <w:tab w:val="left" w:pos="869"/>
        </w:tabs>
        <w:rPr>
          <w:b/>
          <w:sz w:val="28"/>
        </w:rPr>
      </w:pPr>
      <w:bookmarkStart w:id="179" w:name="6.9.3监测和评估"/>
      <w:bookmarkEnd w:id="179"/>
      <w:bookmarkStart w:id="180" w:name="_bookmark89"/>
      <w:bookmarkEnd w:id="180"/>
      <w:r>
        <w:rPr>
          <w:b/>
          <w:sz w:val="28"/>
        </w:rPr>
        <w:t>监测和评估</w:t>
      </w:r>
    </w:p>
    <w:p>
      <w:pPr>
        <w:pStyle w:val="10"/>
        <w:spacing w:before="8"/>
        <w:rPr>
          <w:b/>
          <w:sz w:val="26"/>
        </w:rPr>
      </w:pPr>
    </w:p>
    <w:p>
      <w:pPr>
        <w:pStyle w:val="10"/>
        <w:spacing w:line="362" w:lineRule="auto"/>
        <w:ind w:left="240" w:right="145" w:firstLine="480"/>
      </w:pPr>
      <w:r>
        <w:t>应急状态终止后，根据事故等级，由企业和咸宁市生态环境局赤壁市分局根据实际情况， 继续进行环境监测和评价工作，直至其他补救措施无需继续进行为止令。</w:t>
      </w:r>
    </w:p>
    <w:p>
      <w:pPr>
        <w:spacing w:line="362" w:lineRule="auto"/>
        <w:sectPr>
          <w:pgSz w:w="11910" w:h="16840"/>
          <w:pgMar w:top="1360" w:right="840" w:bottom="1180" w:left="840" w:header="882" w:footer="993" w:gutter="0"/>
          <w:cols w:space="720" w:num="1"/>
        </w:sectPr>
      </w:pPr>
    </w:p>
    <w:p>
      <w:pPr>
        <w:pStyle w:val="10"/>
        <w:spacing w:before="5"/>
        <w:rPr>
          <w:sz w:val="12"/>
        </w:rPr>
      </w:pPr>
    </w:p>
    <w:p>
      <w:pPr>
        <w:pStyle w:val="5"/>
        <w:numPr>
          <w:ilvl w:val="0"/>
          <w:numId w:val="6"/>
        </w:numPr>
        <w:tabs>
          <w:tab w:val="left" w:pos="560"/>
        </w:tabs>
        <w:spacing w:before="65"/>
        <w:ind w:left="559" w:hanging="320"/>
      </w:pPr>
      <w:bookmarkStart w:id="181" w:name="_bookmark90"/>
      <w:bookmarkEnd w:id="181"/>
      <w:bookmarkStart w:id="182" w:name="7_后期处置"/>
      <w:bookmarkEnd w:id="182"/>
      <w:r>
        <w:t>后期处置</w:t>
      </w:r>
    </w:p>
    <w:p>
      <w:pPr>
        <w:pStyle w:val="10"/>
        <w:spacing w:before="12"/>
        <w:rPr>
          <w:b/>
          <w:sz w:val="28"/>
        </w:rPr>
      </w:pPr>
    </w:p>
    <w:p>
      <w:pPr>
        <w:pStyle w:val="6"/>
        <w:numPr>
          <w:ilvl w:val="1"/>
          <w:numId w:val="6"/>
        </w:numPr>
        <w:tabs>
          <w:tab w:val="left" w:pos="766"/>
        </w:tabs>
      </w:pPr>
      <w:bookmarkStart w:id="183" w:name="_bookmark91"/>
      <w:bookmarkEnd w:id="183"/>
      <w:bookmarkStart w:id="184" w:name="7.1_善后处置"/>
      <w:bookmarkEnd w:id="184"/>
      <w:r>
        <w:t>善后处置</w:t>
      </w:r>
    </w:p>
    <w:p>
      <w:pPr>
        <w:pStyle w:val="10"/>
        <w:spacing w:before="1"/>
        <w:rPr>
          <w:b/>
          <w:sz w:val="28"/>
        </w:rPr>
      </w:pPr>
    </w:p>
    <w:p>
      <w:pPr>
        <w:pStyle w:val="23"/>
        <w:numPr>
          <w:ilvl w:val="2"/>
          <w:numId w:val="6"/>
        </w:numPr>
        <w:tabs>
          <w:tab w:val="left" w:pos="941"/>
        </w:tabs>
        <w:spacing w:before="1"/>
        <w:ind w:left="940" w:hanging="701"/>
        <w:rPr>
          <w:b/>
          <w:sz w:val="28"/>
        </w:rPr>
      </w:pPr>
      <w:bookmarkStart w:id="185" w:name="_bookmark92"/>
      <w:bookmarkEnd w:id="185"/>
      <w:bookmarkStart w:id="186" w:name="7.1.1_应急设备维护、保养"/>
      <w:bookmarkEnd w:id="186"/>
      <w:r>
        <w:rPr>
          <w:b/>
          <w:sz w:val="28"/>
        </w:rPr>
        <w:t>应急设备维护、保养</w:t>
      </w:r>
    </w:p>
    <w:p>
      <w:pPr>
        <w:pStyle w:val="10"/>
        <w:spacing w:before="10"/>
        <w:rPr>
          <w:b/>
          <w:sz w:val="26"/>
        </w:rPr>
      </w:pPr>
    </w:p>
    <w:p>
      <w:pPr>
        <w:pStyle w:val="10"/>
        <w:spacing w:line="362" w:lineRule="auto"/>
        <w:ind w:left="240" w:right="241" w:firstLine="480"/>
      </w:pPr>
      <w:r>
        <w:rPr>
          <w:spacing w:val="-7"/>
        </w:rPr>
        <w:t>应急救援及善后处置工作结束后，应急指挥部指定专人负责清点应急物资储备情况，及时</w:t>
      </w:r>
      <w:r>
        <w:t>补充和完善应急救援物资，并做好应急仪器设备的保养工作，恢复设备的正常运转。</w:t>
      </w:r>
    </w:p>
    <w:p>
      <w:pPr>
        <w:pStyle w:val="23"/>
        <w:numPr>
          <w:ilvl w:val="2"/>
          <w:numId w:val="6"/>
        </w:numPr>
        <w:tabs>
          <w:tab w:val="left" w:pos="941"/>
        </w:tabs>
        <w:spacing w:before="164"/>
        <w:ind w:left="940" w:hanging="701"/>
        <w:rPr>
          <w:b/>
          <w:sz w:val="28"/>
        </w:rPr>
      </w:pPr>
      <w:bookmarkStart w:id="187" w:name="7.1.2_撤点、撤离和交接程序"/>
      <w:bookmarkEnd w:id="187"/>
      <w:bookmarkStart w:id="188" w:name="_bookmark93"/>
      <w:bookmarkEnd w:id="188"/>
      <w:r>
        <w:rPr>
          <w:b/>
          <w:sz w:val="28"/>
        </w:rPr>
        <w:t>撤点、撤离和交接程序</w:t>
      </w:r>
    </w:p>
    <w:p>
      <w:pPr>
        <w:pStyle w:val="10"/>
        <w:spacing w:before="11"/>
        <w:rPr>
          <w:b/>
          <w:sz w:val="26"/>
        </w:rPr>
      </w:pPr>
    </w:p>
    <w:p>
      <w:pPr>
        <w:pStyle w:val="10"/>
        <w:spacing w:line="364" w:lineRule="auto"/>
        <w:ind w:left="240" w:right="241" w:firstLine="480"/>
        <w:jc w:val="both"/>
      </w:pPr>
      <w:r>
        <w:rPr>
          <w:spacing w:val="-8"/>
        </w:rPr>
        <w:t>事故调查完毕后，应急指挥部指示事故应急救援工作结束，所有人员撤离现场，疏散救援组要将之前的警戒解除，逐步恢复厂区的正常运行秩序。并对应急救援过程和现场情况与相关</w:t>
      </w:r>
      <w:r>
        <w:t>部门和责任单位进行交接，以便后续的安置和保险工作有所依据。</w:t>
      </w:r>
    </w:p>
    <w:p>
      <w:pPr>
        <w:pStyle w:val="23"/>
        <w:numPr>
          <w:ilvl w:val="2"/>
          <w:numId w:val="6"/>
        </w:numPr>
        <w:tabs>
          <w:tab w:val="left" w:pos="941"/>
        </w:tabs>
        <w:spacing w:before="158"/>
        <w:ind w:left="940" w:hanging="701"/>
        <w:rPr>
          <w:b/>
          <w:sz w:val="28"/>
        </w:rPr>
      </w:pPr>
      <w:bookmarkStart w:id="189" w:name="7.1.3_受灾人员的安置和赔偿"/>
      <w:bookmarkEnd w:id="189"/>
      <w:bookmarkStart w:id="190" w:name="_bookmark94"/>
      <w:bookmarkEnd w:id="190"/>
      <w:r>
        <w:rPr>
          <w:b/>
          <w:sz w:val="28"/>
        </w:rPr>
        <w:t>受灾人员的安置和赔偿</w:t>
      </w:r>
    </w:p>
    <w:p>
      <w:pPr>
        <w:pStyle w:val="10"/>
        <w:spacing w:before="11"/>
        <w:rPr>
          <w:b/>
          <w:sz w:val="26"/>
        </w:rPr>
      </w:pPr>
    </w:p>
    <w:p>
      <w:pPr>
        <w:pStyle w:val="10"/>
        <w:ind w:left="720"/>
      </w:pPr>
      <w:r>
        <w:t>应配合当地政府部门对受灾的人员进行妥善安置，安置地点和方式服从当地政府安排。</w:t>
      </w:r>
    </w:p>
    <w:p>
      <w:pPr>
        <w:pStyle w:val="10"/>
        <w:spacing w:before="12"/>
      </w:pPr>
    </w:p>
    <w:p>
      <w:pPr>
        <w:pStyle w:val="23"/>
        <w:numPr>
          <w:ilvl w:val="2"/>
          <w:numId w:val="6"/>
        </w:numPr>
        <w:tabs>
          <w:tab w:val="left" w:pos="941"/>
        </w:tabs>
        <w:ind w:left="940" w:hanging="701"/>
        <w:rPr>
          <w:b/>
          <w:sz w:val="28"/>
        </w:rPr>
      </w:pPr>
      <w:bookmarkStart w:id="191" w:name="7.1.4_恢复与重建"/>
      <w:bookmarkEnd w:id="191"/>
      <w:bookmarkStart w:id="192" w:name="_bookmark95"/>
      <w:bookmarkEnd w:id="192"/>
      <w:r>
        <w:rPr>
          <w:b/>
          <w:sz w:val="28"/>
        </w:rPr>
        <w:t>恢复与重建</w:t>
      </w:r>
    </w:p>
    <w:p>
      <w:pPr>
        <w:pStyle w:val="10"/>
        <w:spacing w:before="10"/>
        <w:rPr>
          <w:b/>
          <w:sz w:val="26"/>
        </w:rPr>
      </w:pPr>
    </w:p>
    <w:p>
      <w:pPr>
        <w:pStyle w:val="23"/>
        <w:numPr>
          <w:ilvl w:val="0"/>
          <w:numId w:val="63"/>
        </w:numPr>
        <w:tabs>
          <w:tab w:val="left" w:pos="1321"/>
        </w:tabs>
        <w:spacing w:before="1" w:line="364" w:lineRule="auto"/>
        <w:ind w:right="240" w:firstLine="480"/>
        <w:rPr>
          <w:sz w:val="24"/>
        </w:rPr>
      </w:pPr>
      <w:r>
        <w:rPr>
          <w:spacing w:val="-1"/>
          <w:sz w:val="24"/>
        </w:rPr>
        <w:t>事故的影响得到初步控制后，为使生产、工作、生活尽快恢复到正常状态，企业各</w:t>
      </w:r>
      <w:r>
        <w:rPr>
          <w:sz w:val="24"/>
        </w:rPr>
        <w:t>级人员应采取必要的措施或行动防止发生次生、衍生事件。</w:t>
      </w:r>
    </w:p>
    <w:p>
      <w:pPr>
        <w:pStyle w:val="23"/>
        <w:numPr>
          <w:ilvl w:val="0"/>
          <w:numId w:val="63"/>
        </w:numPr>
        <w:tabs>
          <w:tab w:val="left" w:pos="1321"/>
        </w:tabs>
        <w:spacing w:line="364" w:lineRule="auto"/>
        <w:ind w:right="240" w:firstLine="480"/>
        <w:rPr>
          <w:sz w:val="24"/>
        </w:rPr>
      </w:pPr>
      <w:r>
        <w:rPr>
          <w:spacing w:val="-1"/>
          <w:sz w:val="24"/>
        </w:rPr>
        <w:t>突发事件应急处置工作结束后，应急指挥部应当立即组织对突发事件造成的损失进</w:t>
      </w:r>
      <w:r>
        <w:rPr>
          <w:sz w:val="24"/>
        </w:rPr>
        <w:t>行评估，对受影响的设备设施进行维修或更换，组织受影响部尽快恢复生产。</w:t>
      </w:r>
    </w:p>
    <w:p>
      <w:pPr>
        <w:pStyle w:val="23"/>
        <w:numPr>
          <w:ilvl w:val="0"/>
          <w:numId w:val="63"/>
        </w:numPr>
        <w:tabs>
          <w:tab w:val="left" w:pos="1321"/>
        </w:tabs>
        <w:spacing w:line="364" w:lineRule="auto"/>
        <w:ind w:right="240" w:firstLine="480"/>
        <w:rPr>
          <w:sz w:val="24"/>
        </w:rPr>
      </w:pPr>
      <w:r>
        <w:rPr>
          <w:spacing w:val="-1"/>
          <w:sz w:val="24"/>
        </w:rPr>
        <w:t>企业相关部门负责对应急过程中消耗、使用的应急物资、器材进行补充，使其重新</w:t>
      </w:r>
      <w:r>
        <w:rPr>
          <w:sz w:val="24"/>
        </w:rPr>
        <w:t>处于应急备用状态。</w:t>
      </w:r>
    </w:p>
    <w:p>
      <w:pPr>
        <w:pStyle w:val="23"/>
        <w:numPr>
          <w:ilvl w:val="0"/>
          <w:numId w:val="63"/>
        </w:numPr>
        <w:tabs>
          <w:tab w:val="left" w:pos="1321"/>
        </w:tabs>
        <w:spacing w:line="306" w:lineRule="exact"/>
        <w:ind w:left="1321"/>
        <w:rPr>
          <w:sz w:val="24"/>
        </w:rPr>
      </w:pPr>
      <w:r>
        <w:rPr>
          <w:sz w:val="24"/>
        </w:rPr>
        <w:t>企业应急指挥部办公室负责受伤人员的救治与抚恤和申报财产保险理赔。</w:t>
      </w:r>
    </w:p>
    <w:p>
      <w:pPr>
        <w:pStyle w:val="10"/>
        <w:spacing w:before="11"/>
      </w:pPr>
    </w:p>
    <w:p>
      <w:pPr>
        <w:pStyle w:val="6"/>
        <w:numPr>
          <w:ilvl w:val="1"/>
          <w:numId w:val="6"/>
        </w:numPr>
        <w:tabs>
          <w:tab w:val="left" w:pos="689"/>
        </w:tabs>
        <w:ind w:left="688" w:hanging="449"/>
      </w:pPr>
      <w:bookmarkStart w:id="193" w:name="_bookmark96"/>
      <w:bookmarkEnd w:id="193"/>
      <w:bookmarkStart w:id="194" w:name="7.2评估与总结"/>
      <w:bookmarkEnd w:id="194"/>
      <w:r>
        <w:t>评估与总结</w:t>
      </w:r>
    </w:p>
    <w:p>
      <w:pPr>
        <w:pStyle w:val="10"/>
        <w:spacing w:before="9"/>
        <w:rPr>
          <w:b/>
          <w:sz w:val="27"/>
        </w:rPr>
      </w:pPr>
    </w:p>
    <w:p>
      <w:pPr>
        <w:pStyle w:val="23"/>
        <w:numPr>
          <w:ilvl w:val="0"/>
          <w:numId w:val="64"/>
        </w:numPr>
        <w:tabs>
          <w:tab w:val="left" w:pos="1321"/>
        </w:tabs>
        <w:spacing w:line="364" w:lineRule="auto"/>
        <w:ind w:right="240" w:firstLine="480"/>
        <w:rPr>
          <w:sz w:val="24"/>
        </w:rPr>
      </w:pPr>
      <w:r>
        <w:rPr>
          <w:spacing w:val="-1"/>
          <w:sz w:val="24"/>
        </w:rPr>
        <w:t>应急评价过程。应急救援及善后处置工作结束后，疏散救援组应分析总结应急救援</w:t>
      </w:r>
      <w:r>
        <w:rPr>
          <w:sz w:val="24"/>
        </w:rPr>
        <w:t>工作的经验教训，提出应急救援工作的建议，评价应急救援工作。</w:t>
      </w:r>
    </w:p>
    <w:p>
      <w:pPr>
        <w:pStyle w:val="23"/>
        <w:numPr>
          <w:ilvl w:val="0"/>
          <w:numId w:val="64"/>
        </w:numPr>
        <w:tabs>
          <w:tab w:val="left" w:pos="1321"/>
        </w:tabs>
        <w:spacing w:before="1" w:line="362" w:lineRule="auto"/>
        <w:ind w:right="240" w:firstLine="480"/>
        <w:rPr>
          <w:sz w:val="24"/>
        </w:rPr>
      </w:pPr>
      <w:r>
        <w:rPr>
          <w:spacing w:val="-1"/>
          <w:sz w:val="24"/>
        </w:rPr>
        <w:t>事故原因调查。应急救援及善后处置工作结束后，应急指挥部成员应分析事故发生</w:t>
      </w:r>
      <w:r>
        <w:rPr>
          <w:sz w:val="24"/>
        </w:rPr>
        <w:t>的原因，总结应急救援工作的经验教训。</w:t>
      </w:r>
    </w:p>
    <w:p>
      <w:pPr>
        <w:spacing w:line="362" w:lineRule="auto"/>
        <w:rPr>
          <w:sz w:val="24"/>
        </w:rPr>
        <w:sectPr>
          <w:pgSz w:w="11910" w:h="16840"/>
          <w:pgMar w:top="1360" w:right="839" w:bottom="1180" w:left="840" w:header="882" w:footer="993" w:gutter="0"/>
          <w:cols w:space="720" w:num="1"/>
        </w:sectPr>
      </w:pPr>
    </w:p>
    <w:p>
      <w:pPr>
        <w:pStyle w:val="23"/>
        <w:numPr>
          <w:ilvl w:val="0"/>
          <w:numId w:val="64"/>
        </w:numPr>
        <w:tabs>
          <w:tab w:val="left" w:pos="1321"/>
        </w:tabs>
        <w:spacing w:before="64" w:line="364" w:lineRule="auto"/>
        <w:ind w:right="241" w:firstLine="480"/>
        <w:jc w:val="both"/>
        <w:rPr>
          <w:sz w:val="24"/>
        </w:rPr>
      </w:pPr>
      <w:r>
        <w:rPr>
          <w:spacing w:val="-1"/>
          <w:sz w:val="24"/>
        </w:rPr>
        <w:t>环境应急总结报告编制。应急救援及善后处置工作结束后，应急指挥部成员分析总</w:t>
      </w:r>
      <w:r>
        <w:rPr>
          <w:spacing w:val="-7"/>
          <w:sz w:val="24"/>
        </w:rPr>
        <w:t>结应急救援工作的经验教训，提出应急救援工作的建议，由应急指挥部办公室完成应急救援工</w:t>
      </w:r>
      <w:r>
        <w:rPr>
          <w:sz w:val="24"/>
        </w:rPr>
        <w:t>作的总结报告，经总指挥批准后上报上级主管部门。</w:t>
      </w:r>
    </w:p>
    <w:p>
      <w:pPr>
        <w:pStyle w:val="23"/>
        <w:numPr>
          <w:ilvl w:val="0"/>
          <w:numId w:val="64"/>
        </w:numPr>
        <w:tabs>
          <w:tab w:val="left" w:pos="1321"/>
        </w:tabs>
        <w:spacing w:line="364" w:lineRule="auto"/>
        <w:ind w:right="237" w:firstLine="480"/>
        <w:jc w:val="both"/>
        <w:rPr>
          <w:sz w:val="24"/>
        </w:rPr>
      </w:pPr>
      <w:r>
        <w:rPr>
          <w:spacing w:val="-1"/>
          <w:sz w:val="24"/>
        </w:rPr>
        <w:t>事故损失调查和责任认定。应急救援及善后处置工作结束后，应急指挥部成员积极</w:t>
      </w:r>
      <w:r>
        <w:rPr>
          <w:spacing w:val="-8"/>
          <w:sz w:val="24"/>
        </w:rPr>
        <w:t>查找事故发生的原因，并按照法律、法规及有关规定，对相关责任人员视情节和危害后果，追</w:t>
      </w:r>
      <w:r>
        <w:rPr>
          <w:sz w:val="24"/>
        </w:rPr>
        <w:t>究其行政或刑事责任。</w:t>
      </w:r>
    </w:p>
    <w:p>
      <w:pPr>
        <w:spacing w:line="364" w:lineRule="auto"/>
        <w:jc w:val="both"/>
        <w:rPr>
          <w:sz w:val="24"/>
        </w:rPr>
        <w:sectPr>
          <w:pgSz w:w="11910" w:h="16840"/>
          <w:pgMar w:top="1360" w:right="839" w:bottom="1180" w:left="840" w:header="882" w:footer="993" w:gutter="0"/>
          <w:cols w:space="720" w:num="1"/>
        </w:sectPr>
      </w:pPr>
    </w:p>
    <w:p>
      <w:pPr>
        <w:pStyle w:val="10"/>
        <w:spacing w:before="5"/>
        <w:rPr>
          <w:sz w:val="12"/>
        </w:rPr>
      </w:pPr>
    </w:p>
    <w:p>
      <w:pPr>
        <w:pStyle w:val="5"/>
        <w:numPr>
          <w:ilvl w:val="0"/>
          <w:numId w:val="6"/>
        </w:numPr>
        <w:tabs>
          <w:tab w:val="left" w:pos="560"/>
        </w:tabs>
        <w:spacing w:before="65"/>
        <w:ind w:left="559" w:hanging="320"/>
      </w:pPr>
      <w:bookmarkStart w:id="195" w:name="8_应急保障"/>
      <w:bookmarkEnd w:id="195"/>
      <w:bookmarkStart w:id="196" w:name="_bookmark97"/>
      <w:bookmarkEnd w:id="196"/>
      <w:r>
        <w:t>应急保障</w:t>
      </w:r>
    </w:p>
    <w:p>
      <w:pPr>
        <w:pStyle w:val="10"/>
        <w:spacing w:before="12"/>
        <w:rPr>
          <w:b/>
          <w:sz w:val="28"/>
        </w:rPr>
      </w:pPr>
    </w:p>
    <w:p>
      <w:pPr>
        <w:pStyle w:val="6"/>
        <w:numPr>
          <w:ilvl w:val="1"/>
          <w:numId w:val="6"/>
        </w:numPr>
        <w:tabs>
          <w:tab w:val="left" w:pos="689"/>
        </w:tabs>
        <w:ind w:left="688" w:hanging="449"/>
      </w:pPr>
      <w:bookmarkStart w:id="197" w:name="8.1人力资源保障"/>
      <w:bookmarkEnd w:id="197"/>
      <w:bookmarkStart w:id="198" w:name="_bookmark98"/>
      <w:bookmarkEnd w:id="198"/>
      <w:r>
        <w:t>人力资源保障</w:t>
      </w:r>
    </w:p>
    <w:p>
      <w:pPr>
        <w:pStyle w:val="10"/>
        <w:spacing w:before="1"/>
        <w:rPr>
          <w:b/>
          <w:sz w:val="28"/>
        </w:rPr>
      </w:pPr>
    </w:p>
    <w:p>
      <w:pPr>
        <w:pStyle w:val="10"/>
        <w:spacing w:line="362" w:lineRule="auto"/>
        <w:ind w:left="240" w:right="241" w:firstLine="480"/>
        <w:jc w:val="both"/>
      </w:pPr>
      <w:r>
        <w:rPr>
          <w:spacing w:val="-7"/>
        </w:rPr>
        <w:t>企业成立应急指挥小组，针对不同突发事件下进行定期培训，员工各司其职，保证企业发</w:t>
      </w:r>
      <w:r>
        <w:rPr>
          <w:spacing w:val="-9"/>
        </w:rPr>
        <w:t>生突发事件时，第一时间控制事态发展，降低损失。总指挥陈</w:t>
      </w:r>
      <w:r>
        <w:rPr>
          <w:rFonts w:hint="eastAsia"/>
          <w:spacing w:val="-9"/>
        </w:rPr>
        <w:t>刘智东</w:t>
      </w:r>
      <w:r>
        <w:rPr>
          <w:spacing w:val="-9"/>
        </w:rPr>
        <w:t>组织公司全体成员，通过日</w:t>
      </w:r>
      <w:r>
        <w:t>常技能和模拟演练等手段提高业务素质和应急处置能力。</w:t>
      </w:r>
    </w:p>
    <w:p>
      <w:pPr>
        <w:pStyle w:val="9"/>
        <w:spacing w:before="6"/>
        <w:ind w:left="3633"/>
        <w:jc w:val="both"/>
      </w:pPr>
      <w:r>
        <w:t xml:space="preserve">表 </w:t>
      </w:r>
      <w:r>
        <w:rPr>
          <w:rFonts w:ascii="Times New Roman" w:eastAsia="Times New Roman"/>
        </w:rPr>
        <w:t xml:space="preserve">8.1-1  </w:t>
      </w:r>
      <w:r>
        <w:t>应急成员通讯录表</w:t>
      </w:r>
    </w:p>
    <w:p>
      <w:pPr>
        <w:pStyle w:val="10"/>
        <w:spacing w:before="5"/>
        <w:rPr>
          <w:b/>
          <w:sz w:val="12"/>
        </w:rPr>
      </w:pPr>
    </w:p>
    <w:tbl>
      <w:tblPr>
        <w:tblStyle w:val="15"/>
        <w:tblW w:w="0" w:type="auto"/>
        <w:tblInd w:w="12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180"/>
        <w:gridCol w:w="1595"/>
        <w:gridCol w:w="3180"/>
        <w:gridCol w:w="200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7" w:hRule="atLeast"/>
        </w:trPr>
        <w:tc>
          <w:tcPr>
            <w:tcW w:w="3180" w:type="dxa"/>
            <w:tcBorders>
              <w:left w:val="nil"/>
              <w:bottom w:val="single" w:color="000000" w:sz="4" w:space="0"/>
              <w:right w:val="single" w:color="000000" w:sz="4" w:space="0"/>
            </w:tcBorders>
          </w:tcPr>
          <w:p>
            <w:pPr>
              <w:pStyle w:val="24"/>
              <w:spacing w:before="22"/>
              <w:ind w:left="1162" w:right="1129"/>
              <w:rPr>
                <w:b/>
                <w:sz w:val="21"/>
              </w:rPr>
            </w:pPr>
            <w:r>
              <w:rPr>
                <w:b/>
                <w:sz w:val="21"/>
              </w:rPr>
              <w:t>应急机构</w:t>
            </w:r>
          </w:p>
        </w:tc>
        <w:tc>
          <w:tcPr>
            <w:tcW w:w="1595" w:type="dxa"/>
            <w:tcBorders>
              <w:left w:val="single" w:color="000000" w:sz="4" w:space="0"/>
              <w:bottom w:val="single" w:color="000000" w:sz="4" w:space="0"/>
              <w:right w:val="single" w:color="000000" w:sz="4" w:space="0"/>
            </w:tcBorders>
          </w:tcPr>
          <w:p>
            <w:pPr>
              <w:pStyle w:val="24"/>
              <w:spacing w:before="22"/>
              <w:ind w:left="471" w:right="442"/>
              <w:rPr>
                <w:b/>
                <w:sz w:val="21"/>
              </w:rPr>
            </w:pPr>
            <w:r>
              <w:rPr>
                <w:b/>
                <w:sz w:val="21"/>
              </w:rPr>
              <w:t>姓名</w:t>
            </w:r>
          </w:p>
        </w:tc>
        <w:tc>
          <w:tcPr>
            <w:tcW w:w="3180" w:type="dxa"/>
            <w:tcBorders>
              <w:left w:val="single" w:color="000000" w:sz="4" w:space="0"/>
              <w:bottom w:val="single" w:color="000000" w:sz="4" w:space="0"/>
              <w:right w:val="single" w:color="000000" w:sz="4" w:space="0"/>
            </w:tcBorders>
          </w:tcPr>
          <w:p>
            <w:pPr>
              <w:pStyle w:val="24"/>
              <w:spacing w:before="22"/>
              <w:ind w:left="424" w:right="395"/>
              <w:rPr>
                <w:b/>
                <w:sz w:val="21"/>
              </w:rPr>
            </w:pPr>
            <w:r>
              <w:rPr>
                <w:b/>
                <w:sz w:val="21"/>
              </w:rPr>
              <w:t>应急职务</w:t>
            </w:r>
          </w:p>
        </w:tc>
        <w:tc>
          <w:tcPr>
            <w:tcW w:w="2000" w:type="dxa"/>
            <w:tcBorders>
              <w:left w:val="single" w:color="000000" w:sz="4" w:space="0"/>
              <w:bottom w:val="single" w:color="000000" w:sz="4" w:space="0"/>
              <w:right w:val="nil"/>
            </w:tcBorders>
          </w:tcPr>
          <w:p>
            <w:pPr>
              <w:pStyle w:val="24"/>
              <w:spacing w:before="22"/>
              <w:ind w:left="410" w:right="383"/>
              <w:rPr>
                <w:b/>
                <w:sz w:val="21"/>
              </w:rPr>
            </w:pPr>
            <w:r>
              <w:rPr>
                <w:b/>
                <w:sz w:val="21"/>
              </w:rPr>
              <w:t>联系方式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7" w:hRule="atLeast"/>
        </w:trPr>
        <w:tc>
          <w:tcPr>
            <w:tcW w:w="3180" w:type="dxa"/>
            <w:vMerge w:val="restart"/>
            <w:tcBorders>
              <w:top w:val="single" w:color="000000" w:sz="4" w:space="0"/>
              <w:left w:val="nil"/>
              <w:bottom w:val="single" w:color="000000" w:sz="4" w:space="0"/>
              <w:right w:val="single" w:color="000000" w:sz="4" w:space="0"/>
            </w:tcBorders>
          </w:tcPr>
          <w:p>
            <w:pPr>
              <w:jc w:val="center"/>
              <w:rPr>
                <w:szCs w:val="21"/>
              </w:rPr>
            </w:pPr>
          </w:p>
          <w:p>
            <w:pPr>
              <w:jc w:val="center"/>
              <w:rPr>
                <w:sz w:val="21"/>
              </w:rPr>
            </w:pPr>
            <w:r>
              <w:rPr>
                <w:rFonts w:hint="eastAsia"/>
                <w:szCs w:val="21"/>
              </w:rPr>
              <w:t>应急救援指挥部</w:t>
            </w: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刘智东</w:t>
            </w:r>
          </w:p>
        </w:tc>
        <w:tc>
          <w:tcPr>
            <w:tcW w:w="3180"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总指挥</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13907246986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7" w:hRule="atLeast"/>
        </w:trPr>
        <w:tc>
          <w:tcPr>
            <w:tcW w:w="3180" w:type="dxa"/>
            <w:vMerge w:val="continue"/>
            <w:tcBorders>
              <w:top w:val="nil"/>
              <w:left w:val="nil"/>
              <w:bottom w:val="single" w:color="000000" w:sz="4" w:space="0"/>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马奇</w:t>
            </w:r>
          </w:p>
        </w:tc>
        <w:tc>
          <w:tcPr>
            <w:tcW w:w="3180"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副总指挥（办公室主任）</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15327822228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6" w:hRule="atLeast"/>
        </w:trPr>
        <w:tc>
          <w:tcPr>
            <w:tcW w:w="3180" w:type="dxa"/>
            <w:vMerge w:val="restart"/>
            <w:tcBorders>
              <w:top w:val="single" w:color="000000" w:sz="4" w:space="0"/>
              <w:left w:val="nil"/>
              <w:bottom w:val="single" w:color="000000" w:sz="4" w:space="0"/>
              <w:right w:val="single" w:color="000000" w:sz="4" w:space="0"/>
            </w:tcBorders>
          </w:tcPr>
          <w:p>
            <w:pPr>
              <w:jc w:val="center"/>
              <w:rPr>
                <w:szCs w:val="21"/>
              </w:rPr>
            </w:pPr>
          </w:p>
          <w:p>
            <w:pPr>
              <w:jc w:val="center"/>
              <w:rPr>
                <w:szCs w:val="21"/>
              </w:rPr>
            </w:pPr>
          </w:p>
          <w:p>
            <w:pPr>
              <w:jc w:val="center"/>
              <w:rPr>
                <w:sz w:val="21"/>
              </w:rPr>
            </w:pPr>
            <w:r>
              <w:rPr>
                <w:rFonts w:hint="eastAsia"/>
                <w:szCs w:val="21"/>
              </w:rPr>
              <w:t>疏散救援组</w:t>
            </w: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童漫</w:t>
            </w:r>
          </w:p>
        </w:tc>
        <w:tc>
          <w:tcPr>
            <w:tcW w:w="3180"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组长</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13339870717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7" w:hRule="atLeast"/>
        </w:trPr>
        <w:tc>
          <w:tcPr>
            <w:tcW w:w="3180" w:type="dxa"/>
            <w:vMerge w:val="continue"/>
            <w:tcBorders>
              <w:top w:val="nil"/>
              <w:left w:val="nil"/>
              <w:bottom w:val="single" w:color="000000" w:sz="4" w:space="0"/>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周海平</w:t>
            </w:r>
          </w:p>
        </w:tc>
        <w:tc>
          <w:tcPr>
            <w:tcW w:w="3180"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13135961176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6" w:hRule="atLeast"/>
        </w:trPr>
        <w:tc>
          <w:tcPr>
            <w:tcW w:w="3180" w:type="dxa"/>
            <w:vMerge w:val="continue"/>
            <w:tcBorders>
              <w:top w:val="nil"/>
              <w:left w:val="nil"/>
              <w:bottom w:val="single" w:color="000000" w:sz="4" w:space="0"/>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刘亚美</w:t>
            </w:r>
          </w:p>
        </w:tc>
        <w:tc>
          <w:tcPr>
            <w:tcW w:w="3180"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15871946633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7" w:hRule="atLeast"/>
        </w:trPr>
        <w:tc>
          <w:tcPr>
            <w:tcW w:w="3180" w:type="dxa"/>
            <w:vMerge w:val="continue"/>
            <w:tcBorders>
              <w:top w:val="nil"/>
              <w:left w:val="nil"/>
              <w:bottom w:val="single" w:color="000000" w:sz="4" w:space="0"/>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柒楚英</w:t>
            </w:r>
          </w:p>
        </w:tc>
        <w:tc>
          <w:tcPr>
            <w:tcW w:w="3180"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18971815337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6" w:hRule="atLeast"/>
        </w:trPr>
        <w:tc>
          <w:tcPr>
            <w:tcW w:w="3180" w:type="dxa"/>
            <w:vMerge w:val="restart"/>
            <w:tcBorders>
              <w:top w:val="single" w:color="000000" w:sz="4" w:space="0"/>
              <w:left w:val="nil"/>
              <w:bottom w:val="single" w:color="000000" w:sz="4" w:space="0"/>
              <w:right w:val="single" w:color="000000" w:sz="4" w:space="0"/>
            </w:tcBorders>
          </w:tcPr>
          <w:p>
            <w:pPr>
              <w:jc w:val="center"/>
              <w:rPr>
                <w:szCs w:val="21"/>
              </w:rPr>
            </w:pPr>
          </w:p>
          <w:p>
            <w:pPr>
              <w:ind w:firstLine="1100" w:firstLineChars="500"/>
              <w:jc w:val="both"/>
              <w:rPr>
                <w:sz w:val="21"/>
              </w:rPr>
            </w:pPr>
            <w:r>
              <w:rPr>
                <w:rFonts w:hint="eastAsia"/>
              </w:rPr>
              <w:t>环境监测组</w:t>
            </w: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徐萍</w:t>
            </w:r>
          </w:p>
        </w:tc>
        <w:tc>
          <w:tcPr>
            <w:tcW w:w="3180"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组长</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15586785968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7" w:hRule="atLeast"/>
        </w:trPr>
        <w:tc>
          <w:tcPr>
            <w:tcW w:w="3180" w:type="dxa"/>
            <w:vMerge w:val="continue"/>
            <w:tcBorders>
              <w:top w:val="nil"/>
              <w:left w:val="nil"/>
              <w:bottom w:val="single" w:color="000000" w:sz="4" w:space="0"/>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马景新</w:t>
            </w:r>
          </w:p>
        </w:tc>
        <w:tc>
          <w:tcPr>
            <w:tcW w:w="3180"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13367152491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7" w:hRule="atLeast"/>
        </w:trPr>
        <w:tc>
          <w:tcPr>
            <w:tcW w:w="3180" w:type="dxa"/>
            <w:vMerge w:val="continue"/>
            <w:tcBorders>
              <w:top w:val="nil"/>
              <w:left w:val="nil"/>
              <w:bottom w:val="single" w:color="000000" w:sz="4" w:space="0"/>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刘亚美</w:t>
            </w:r>
          </w:p>
        </w:tc>
        <w:tc>
          <w:tcPr>
            <w:tcW w:w="3180"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15871946633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6" w:hRule="atLeast"/>
        </w:trPr>
        <w:tc>
          <w:tcPr>
            <w:tcW w:w="3180" w:type="dxa"/>
            <w:vMerge w:val="restart"/>
            <w:tcBorders>
              <w:top w:val="single" w:color="000000" w:sz="4" w:space="0"/>
              <w:left w:val="nil"/>
              <w:right w:val="single" w:color="000000" w:sz="4" w:space="0"/>
            </w:tcBorders>
          </w:tcPr>
          <w:p>
            <w:pPr>
              <w:jc w:val="center"/>
              <w:rPr>
                <w:szCs w:val="21"/>
              </w:rPr>
            </w:pPr>
          </w:p>
          <w:p>
            <w:pPr>
              <w:ind w:firstLine="1100" w:firstLineChars="500"/>
              <w:jc w:val="both"/>
              <w:rPr>
                <w:sz w:val="21"/>
              </w:rPr>
            </w:pPr>
            <w:r>
              <w:rPr>
                <w:rFonts w:hint="eastAsia"/>
                <w:szCs w:val="21"/>
              </w:rPr>
              <w:t>后勤医疗组</w:t>
            </w: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刘佳</w:t>
            </w:r>
          </w:p>
        </w:tc>
        <w:tc>
          <w:tcPr>
            <w:tcW w:w="3180"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组长</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17720331617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7" w:hRule="atLeast"/>
        </w:trPr>
        <w:tc>
          <w:tcPr>
            <w:tcW w:w="3180" w:type="dxa"/>
            <w:vMerge w:val="continue"/>
            <w:tcBorders>
              <w:top w:val="nil"/>
              <w:left w:val="nil"/>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刘高云</w:t>
            </w:r>
          </w:p>
        </w:tc>
        <w:tc>
          <w:tcPr>
            <w:tcW w:w="3180"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13972856366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6" w:hRule="atLeast"/>
        </w:trPr>
        <w:tc>
          <w:tcPr>
            <w:tcW w:w="3180" w:type="dxa"/>
            <w:tcBorders>
              <w:top w:val="nil"/>
              <w:left w:val="nil"/>
              <w:right w:val="single" w:color="000000" w:sz="4" w:space="0"/>
            </w:tcBorders>
          </w:tcPr>
          <w:p>
            <w:pPr>
              <w:jc w:val="center"/>
              <w:rPr>
                <w:sz w:val="2"/>
                <w:szCs w:val="2"/>
              </w:rPr>
            </w:pPr>
          </w:p>
        </w:tc>
        <w:tc>
          <w:tcPr>
            <w:tcW w:w="1595" w:type="dxa"/>
            <w:tcBorders>
              <w:top w:val="single" w:color="000000" w:sz="4" w:space="0"/>
              <w:left w:val="single" w:color="000000" w:sz="4" w:space="0"/>
              <w:right w:val="single" w:color="000000" w:sz="4" w:space="0"/>
            </w:tcBorders>
          </w:tcPr>
          <w:p>
            <w:pPr>
              <w:jc w:val="center"/>
              <w:rPr>
                <w:sz w:val="21"/>
              </w:rPr>
            </w:pPr>
            <w:r>
              <w:rPr>
                <w:rFonts w:hint="eastAsia"/>
                <w:szCs w:val="21"/>
              </w:rPr>
              <w:t>马景新</w:t>
            </w:r>
          </w:p>
        </w:tc>
        <w:tc>
          <w:tcPr>
            <w:tcW w:w="3180" w:type="dxa"/>
            <w:tcBorders>
              <w:top w:val="single" w:color="000000" w:sz="4" w:space="0"/>
              <w:left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right w:val="nil"/>
            </w:tcBorders>
          </w:tcPr>
          <w:p>
            <w:pPr>
              <w:jc w:val="center"/>
              <w:rPr>
                <w:rFonts w:ascii="Times New Roman"/>
                <w:sz w:val="21"/>
              </w:rPr>
            </w:pPr>
            <w:r>
              <w:rPr>
                <w:rFonts w:hint="eastAsia"/>
                <w:szCs w:val="21"/>
              </w:rPr>
              <w:t>13367152491</w:t>
            </w:r>
          </w:p>
        </w:tc>
      </w:tr>
    </w:tbl>
    <w:p>
      <w:pPr>
        <w:pStyle w:val="6"/>
        <w:numPr>
          <w:ilvl w:val="1"/>
          <w:numId w:val="6"/>
        </w:numPr>
        <w:tabs>
          <w:tab w:val="left" w:pos="766"/>
        </w:tabs>
        <w:spacing w:before="161"/>
      </w:pPr>
      <w:bookmarkStart w:id="199" w:name="8.2_财力保障"/>
      <w:bookmarkEnd w:id="199"/>
      <w:bookmarkStart w:id="200" w:name="_bookmark99"/>
      <w:bookmarkEnd w:id="200"/>
      <w:r>
        <w:t>财力保障</w:t>
      </w:r>
    </w:p>
    <w:p>
      <w:pPr>
        <w:pStyle w:val="10"/>
        <w:spacing w:before="11"/>
        <w:rPr>
          <w:b/>
          <w:sz w:val="27"/>
        </w:rPr>
      </w:pPr>
    </w:p>
    <w:p>
      <w:pPr>
        <w:pStyle w:val="10"/>
        <w:spacing w:line="364" w:lineRule="auto"/>
        <w:ind w:left="240" w:right="241" w:firstLine="480"/>
        <w:jc w:val="both"/>
      </w:pPr>
      <w:r>
        <w:rPr>
          <w:spacing w:val="-6"/>
        </w:rPr>
        <w:t>突发环境事件的应急处理所需物资及经费，包括仪器装备、应急演练、急救设施等配置的</w:t>
      </w:r>
      <w:r>
        <w:rPr>
          <w:spacing w:val="-12"/>
        </w:rPr>
        <w:t>运作经费，应预先留出，专款专用，保障应急状态时应急物资的及时调用及应急经费的及时到</w:t>
      </w:r>
      <w:r>
        <w:t>位。</w:t>
      </w:r>
    </w:p>
    <w:p>
      <w:pPr>
        <w:pStyle w:val="23"/>
        <w:numPr>
          <w:ilvl w:val="0"/>
          <w:numId w:val="65"/>
        </w:numPr>
        <w:tabs>
          <w:tab w:val="left" w:pos="1321"/>
        </w:tabs>
        <w:spacing w:line="364" w:lineRule="auto"/>
        <w:ind w:right="121" w:firstLine="480"/>
        <w:rPr>
          <w:sz w:val="24"/>
        </w:rPr>
      </w:pPr>
      <w:r>
        <w:rPr>
          <w:spacing w:val="-9"/>
          <w:sz w:val="24"/>
        </w:rPr>
        <w:t xml:space="preserve">应急指挥部依据企业环境安全应急能力现状，每年 </w:t>
      </w:r>
      <w:r>
        <w:rPr>
          <w:rFonts w:ascii="Times New Roman" w:eastAsia="Times New Roman"/>
          <w:sz w:val="24"/>
        </w:rPr>
        <w:t xml:space="preserve">12 </w:t>
      </w:r>
      <w:r>
        <w:rPr>
          <w:sz w:val="24"/>
        </w:rPr>
        <w:t>月评估下年度项目的资金需求</w:t>
      </w:r>
      <w:r>
        <w:rPr>
          <w:spacing w:val="-9"/>
          <w:sz w:val="24"/>
        </w:rPr>
        <w:t>，由应急办公室主任</w:t>
      </w:r>
      <w:r>
        <w:rPr>
          <w:rFonts w:hint="eastAsia"/>
          <w:spacing w:val="-9"/>
          <w:sz w:val="24"/>
        </w:rPr>
        <w:t>马奇</w:t>
      </w:r>
      <w:r>
        <w:rPr>
          <w:spacing w:val="-9"/>
          <w:sz w:val="24"/>
        </w:rPr>
        <w:t>报公司负责人审批后，列为专项资金，专款专用。该专项资金主要用于人员训练、应急物资采购等。</w:t>
      </w:r>
    </w:p>
    <w:p>
      <w:pPr>
        <w:pStyle w:val="23"/>
        <w:numPr>
          <w:ilvl w:val="0"/>
          <w:numId w:val="65"/>
        </w:numPr>
        <w:tabs>
          <w:tab w:val="left" w:pos="1321"/>
        </w:tabs>
        <w:spacing w:line="362" w:lineRule="auto"/>
        <w:ind w:right="237" w:firstLine="480"/>
        <w:rPr>
          <w:sz w:val="24"/>
        </w:rPr>
      </w:pPr>
      <w:r>
        <w:rPr>
          <w:spacing w:val="-1"/>
          <w:sz w:val="24"/>
        </w:rPr>
        <w:t>事件应急响应过程中需要资金支持时，疏散救援组组长同意后即可支出，财务部门</w:t>
      </w:r>
      <w:r>
        <w:rPr>
          <w:sz w:val="24"/>
        </w:rPr>
        <w:t>应积极配合。</w:t>
      </w:r>
    </w:p>
    <w:p>
      <w:pPr>
        <w:pStyle w:val="6"/>
        <w:numPr>
          <w:ilvl w:val="1"/>
          <w:numId w:val="6"/>
        </w:numPr>
        <w:tabs>
          <w:tab w:val="left" w:pos="766"/>
        </w:tabs>
        <w:spacing w:before="163"/>
      </w:pPr>
      <w:bookmarkStart w:id="201" w:name="8.3_物资保障"/>
      <w:bookmarkEnd w:id="201"/>
      <w:bookmarkStart w:id="202" w:name="_bookmark100"/>
      <w:bookmarkEnd w:id="202"/>
      <w:r>
        <w:t>物资保障</w:t>
      </w:r>
    </w:p>
    <w:p>
      <w:pPr>
        <w:pStyle w:val="10"/>
        <w:spacing w:before="11"/>
        <w:rPr>
          <w:b/>
          <w:sz w:val="27"/>
        </w:rPr>
      </w:pPr>
    </w:p>
    <w:p>
      <w:pPr>
        <w:pStyle w:val="10"/>
        <w:ind w:left="720"/>
      </w:pPr>
      <w:r>
        <w:t>根据本预案应急处置需求，按照职责划分和区域互动的原则，由医疗后勤组负责应急物资</w:t>
      </w:r>
    </w:p>
    <w:p>
      <w:pPr>
        <w:sectPr>
          <w:pgSz w:w="11910" w:h="16840"/>
          <w:pgMar w:top="1360" w:right="839" w:bottom="1180" w:left="840" w:header="882" w:footer="993" w:gutter="0"/>
          <w:cols w:space="720" w:num="1"/>
        </w:sectPr>
      </w:pPr>
    </w:p>
    <w:p>
      <w:pPr>
        <w:pStyle w:val="10"/>
        <w:spacing w:before="64" w:line="364" w:lineRule="auto"/>
        <w:ind w:left="240" w:right="241"/>
        <w:jc w:val="both"/>
      </w:pPr>
      <w:r>
        <w:rPr>
          <w:spacing w:val="-10"/>
        </w:rPr>
        <w:t>采购，建立应急物资储备保障体系，企业与消防应急物资、设施供应商签订应急物资紧急供应</w:t>
      </w:r>
      <w:r>
        <w:rPr>
          <w:spacing w:val="-3"/>
        </w:rPr>
        <w:t xml:space="preserve">协议。企业储备各种应急消防物资及急救物资，物资详情见表 </w:t>
      </w:r>
      <w:r>
        <w:rPr>
          <w:rFonts w:ascii="Times New Roman" w:eastAsia="Times New Roman"/>
        </w:rPr>
        <w:t xml:space="preserve">8.3-1 </w:t>
      </w:r>
      <w:r>
        <w:rPr>
          <w:spacing w:val="-20"/>
        </w:rPr>
        <w:t xml:space="preserve">和表 </w:t>
      </w:r>
      <w:r>
        <w:rPr>
          <w:rFonts w:ascii="Times New Roman" w:eastAsia="Times New Roman"/>
        </w:rPr>
        <w:t>8.3-2</w:t>
      </w:r>
      <w:r>
        <w:t>。</w:t>
      </w:r>
    </w:p>
    <w:p>
      <w:pPr>
        <w:pStyle w:val="9"/>
        <w:spacing w:line="306" w:lineRule="exact"/>
        <w:ind w:left="3573"/>
        <w:jc w:val="left"/>
      </w:pPr>
      <w:r>
        <w:t xml:space="preserve">表 </w:t>
      </w:r>
      <w:r>
        <w:rPr>
          <w:rFonts w:ascii="Times New Roman" w:eastAsia="Times New Roman"/>
        </w:rPr>
        <w:t xml:space="preserve">8.3-1  </w:t>
      </w:r>
      <w:r>
        <w:t>公司应急物资储备表</w:t>
      </w:r>
    </w:p>
    <w:p>
      <w:pPr>
        <w:pStyle w:val="10"/>
        <w:spacing w:before="2" w:after="1"/>
        <w:rPr>
          <w:b/>
          <w:sz w:val="12"/>
        </w:rPr>
      </w:pPr>
    </w:p>
    <w:tbl>
      <w:tblPr>
        <w:tblStyle w:val="15"/>
        <w:tblW w:w="0" w:type="auto"/>
        <w:tblInd w:w="12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77"/>
        <w:gridCol w:w="734"/>
        <w:gridCol w:w="1779"/>
        <w:gridCol w:w="1058"/>
        <w:gridCol w:w="1196"/>
        <w:gridCol w:w="2127"/>
        <w:gridCol w:w="118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0" w:hRule="atLeast"/>
        </w:trPr>
        <w:tc>
          <w:tcPr>
            <w:tcW w:w="1877" w:type="dxa"/>
            <w:tcBorders>
              <w:left w:val="nil"/>
              <w:bottom w:val="single" w:color="000000" w:sz="4" w:space="0"/>
              <w:right w:val="single" w:color="000000" w:sz="4" w:space="0"/>
            </w:tcBorders>
          </w:tcPr>
          <w:p>
            <w:pPr>
              <w:pStyle w:val="24"/>
              <w:spacing w:before="45"/>
              <w:ind w:left="454" w:right="322"/>
              <w:rPr>
                <w:b/>
                <w:sz w:val="21"/>
              </w:rPr>
            </w:pPr>
            <w:r>
              <w:rPr>
                <w:b/>
                <w:sz w:val="21"/>
              </w:rPr>
              <w:t>类别</w:t>
            </w:r>
          </w:p>
        </w:tc>
        <w:tc>
          <w:tcPr>
            <w:tcW w:w="734" w:type="dxa"/>
            <w:tcBorders>
              <w:left w:val="single" w:color="000000" w:sz="4" w:space="0"/>
              <w:bottom w:val="single" w:color="000000" w:sz="4" w:space="0"/>
              <w:right w:val="single" w:color="000000" w:sz="4" w:space="0"/>
            </w:tcBorders>
          </w:tcPr>
          <w:p>
            <w:pPr>
              <w:pStyle w:val="24"/>
              <w:spacing w:before="45"/>
              <w:ind w:left="144" w:right="118"/>
              <w:rPr>
                <w:b/>
                <w:sz w:val="21"/>
              </w:rPr>
            </w:pPr>
            <w:r>
              <w:rPr>
                <w:b/>
                <w:sz w:val="21"/>
              </w:rPr>
              <w:t>序号</w:t>
            </w:r>
          </w:p>
        </w:tc>
        <w:tc>
          <w:tcPr>
            <w:tcW w:w="1779" w:type="dxa"/>
            <w:tcBorders>
              <w:left w:val="single" w:color="000000" w:sz="4" w:space="0"/>
              <w:bottom w:val="single" w:color="000000" w:sz="4" w:space="0"/>
              <w:right w:val="single" w:color="000000" w:sz="4" w:space="0"/>
            </w:tcBorders>
          </w:tcPr>
          <w:p>
            <w:pPr>
              <w:pStyle w:val="24"/>
              <w:spacing w:before="45"/>
              <w:ind w:left="353" w:right="325"/>
              <w:rPr>
                <w:b/>
                <w:sz w:val="21"/>
              </w:rPr>
            </w:pPr>
            <w:r>
              <w:rPr>
                <w:b/>
                <w:sz w:val="21"/>
              </w:rPr>
              <w:t>名称</w:t>
            </w:r>
          </w:p>
        </w:tc>
        <w:tc>
          <w:tcPr>
            <w:tcW w:w="1058" w:type="dxa"/>
            <w:tcBorders>
              <w:left w:val="single" w:color="000000" w:sz="4" w:space="0"/>
              <w:bottom w:val="single" w:color="000000" w:sz="4" w:space="0"/>
              <w:right w:val="single" w:color="000000" w:sz="4" w:space="0"/>
            </w:tcBorders>
          </w:tcPr>
          <w:p>
            <w:pPr>
              <w:pStyle w:val="24"/>
              <w:spacing w:before="45"/>
              <w:ind w:left="160" w:right="132"/>
              <w:rPr>
                <w:b/>
                <w:sz w:val="21"/>
              </w:rPr>
            </w:pPr>
            <w:r>
              <w:rPr>
                <w:b/>
                <w:sz w:val="21"/>
              </w:rPr>
              <w:t>数量</w:t>
            </w:r>
          </w:p>
        </w:tc>
        <w:tc>
          <w:tcPr>
            <w:tcW w:w="1196" w:type="dxa"/>
            <w:tcBorders>
              <w:left w:val="single" w:color="000000" w:sz="4" w:space="0"/>
              <w:bottom w:val="single" w:color="000000" w:sz="4" w:space="0"/>
              <w:right w:val="single" w:color="000000" w:sz="4" w:space="0"/>
            </w:tcBorders>
          </w:tcPr>
          <w:p>
            <w:pPr>
              <w:pStyle w:val="24"/>
              <w:spacing w:before="45"/>
              <w:ind w:left="286" w:right="256"/>
              <w:rPr>
                <w:b/>
                <w:sz w:val="21"/>
              </w:rPr>
            </w:pPr>
            <w:r>
              <w:rPr>
                <w:b/>
                <w:sz w:val="21"/>
              </w:rPr>
              <w:t>性能状况</w:t>
            </w:r>
          </w:p>
        </w:tc>
        <w:tc>
          <w:tcPr>
            <w:tcW w:w="2127" w:type="dxa"/>
            <w:tcBorders>
              <w:left w:val="single" w:color="000000" w:sz="4" w:space="0"/>
              <w:bottom w:val="single" w:color="000000" w:sz="4" w:space="0"/>
              <w:right w:val="single" w:color="000000" w:sz="4" w:space="0"/>
            </w:tcBorders>
          </w:tcPr>
          <w:p>
            <w:pPr>
              <w:pStyle w:val="24"/>
              <w:spacing w:before="45"/>
              <w:ind w:left="421" w:right="392"/>
              <w:rPr>
                <w:b/>
                <w:sz w:val="21"/>
              </w:rPr>
            </w:pPr>
            <w:r>
              <w:rPr>
                <w:b/>
                <w:sz w:val="21"/>
              </w:rPr>
              <w:t>摆设位置</w:t>
            </w:r>
          </w:p>
        </w:tc>
        <w:tc>
          <w:tcPr>
            <w:tcW w:w="1187" w:type="dxa"/>
            <w:tcBorders>
              <w:left w:val="single" w:color="000000" w:sz="4" w:space="0"/>
              <w:bottom w:val="single" w:color="000000" w:sz="4" w:space="0"/>
              <w:right w:val="nil"/>
            </w:tcBorders>
          </w:tcPr>
          <w:p>
            <w:pPr>
              <w:pStyle w:val="24"/>
              <w:spacing w:before="45"/>
              <w:ind w:left="238"/>
              <w:rPr>
                <w:b/>
                <w:sz w:val="21"/>
              </w:rPr>
            </w:pPr>
            <w:r>
              <w:rPr>
                <w:b/>
                <w:sz w:val="21"/>
              </w:rPr>
              <w:t>责任人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0" w:hRule="atLeast"/>
        </w:trPr>
        <w:tc>
          <w:tcPr>
            <w:tcW w:w="1877" w:type="dxa"/>
            <w:vMerge w:val="restart"/>
            <w:tcBorders>
              <w:top w:val="single" w:color="000000" w:sz="4" w:space="0"/>
              <w:left w:val="nil"/>
              <w:bottom w:val="single" w:color="000000" w:sz="4" w:space="0"/>
              <w:right w:val="single" w:color="000000" w:sz="4" w:space="0"/>
            </w:tcBorders>
          </w:tcPr>
          <w:p>
            <w:pPr>
              <w:pStyle w:val="24"/>
              <w:rPr>
                <w:b/>
                <w:sz w:val="20"/>
              </w:rPr>
            </w:pPr>
          </w:p>
          <w:p>
            <w:pPr>
              <w:pStyle w:val="24"/>
              <w:rPr>
                <w:b/>
                <w:sz w:val="20"/>
              </w:rPr>
            </w:pPr>
          </w:p>
          <w:p>
            <w:pPr>
              <w:pStyle w:val="24"/>
              <w:spacing w:before="8"/>
              <w:rPr>
                <w:b/>
                <w:sz w:val="19"/>
              </w:rPr>
            </w:pPr>
          </w:p>
          <w:p>
            <w:pPr>
              <w:pStyle w:val="24"/>
              <w:spacing w:before="1"/>
              <w:ind w:left="580"/>
              <w:rPr>
                <w:sz w:val="21"/>
              </w:rPr>
            </w:pPr>
            <w:r>
              <w:rPr>
                <w:sz w:val="21"/>
              </w:rPr>
              <w:t>消防物资</w:t>
            </w:r>
          </w:p>
        </w:tc>
        <w:tc>
          <w:tcPr>
            <w:tcW w:w="734" w:type="dxa"/>
            <w:tcBorders>
              <w:top w:val="single" w:color="000000" w:sz="4" w:space="0"/>
              <w:left w:val="single" w:color="000000" w:sz="4" w:space="0"/>
              <w:bottom w:val="single" w:color="000000" w:sz="4" w:space="0"/>
              <w:right w:val="single" w:color="000000" w:sz="4" w:space="0"/>
            </w:tcBorders>
          </w:tcPr>
          <w:p>
            <w:pPr>
              <w:pStyle w:val="24"/>
              <w:spacing w:before="58"/>
              <w:ind w:left="27"/>
              <w:rPr>
                <w:rFonts w:ascii="Times New Roman"/>
                <w:sz w:val="21"/>
              </w:rPr>
            </w:pPr>
            <w:r>
              <w:rPr>
                <w:rFonts w:ascii="Times New Roman"/>
                <w:w w:val="99"/>
                <w:sz w:val="21"/>
              </w:rPr>
              <w:t>1</w:t>
            </w:r>
          </w:p>
        </w:tc>
        <w:tc>
          <w:tcPr>
            <w:tcW w:w="1779" w:type="dxa"/>
            <w:tcBorders>
              <w:top w:val="single" w:color="000000" w:sz="4" w:space="0"/>
              <w:left w:val="single" w:color="000000" w:sz="4" w:space="0"/>
              <w:bottom w:val="single" w:color="000000" w:sz="4" w:space="0"/>
              <w:right w:val="single" w:color="000000" w:sz="4" w:space="0"/>
            </w:tcBorders>
          </w:tcPr>
          <w:p>
            <w:pPr>
              <w:pStyle w:val="24"/>
              <w:spacing w:before="44"/>
              <w:ind w:left="351" w:right="325"/>
              <w:rPr>
                <w:sz w:val="21"/>
              </w:rPr>
            </w:pPr>
            <w:r>
              <w:rPr>
                <w:sz w:val="21"/>
              </w:rPr>
              <w:t>灭火器</w:t>
            </w:r>
          </w:p>
        </w:tc>
        <w:tc>
          <w:tcPr>
            <w:tcW w:w="1058" w:type="dxa"/>
            <w:tcBorders>
              <w:top w:val="single" w:color="000000" w:sz="4" w:space="0"/>
              <w:left w:val="single" w:color="000000" w:sz="4" w:space="0"/>
              <w:bottom w:val="single" w:color="000000" w:sz="4" w:space="0"/>
              <w:right w:val="single" w:color="000000" w:sz="4" w:space="0"/>
            </w:tcBorders>
          </w:tcPr>
          <w:p>
            <w:pPr>
              <w:pStyle w:val="24"/>
              <w:spacing w:before="44"/>
              <w:ind w:left="160" w:right="134"/>
              <w:rPr>
                <w:sz w:val="21"/>
              </w:rPr>
            </w:pPr>
            <w:r>
              <w:rPr>
                <w:rFonts w:hint="eastAsia" w:ascii="Times New Roman" w:eastAsia="宋体"/>
                <w:sz w:val="21"/>
                <w:lang w:val="en-US"/>
              </w:rPr>
              <w:t>32</w:t>
            </w:r>
            <w:r>
              <w:rPr>
                <w:rFonts w:ascii="Times New Roman" w:eastAsia="Times New Roman"/>
                <w:sz w:val="21"/>
              </w:rPr>
              <w:t xml:space="preserve"> </w:t>
            </w:r>
            <w:r>
              <w:rPr>
                <w:sz w:val="21"/>
              </w:rPr>
              <w:t>个</w:t>
            </w:r>
          </w:p>
        </w:tc>
        <w:tc>
          <w:tcPr>
            <w:tcW w:w="1196" w:type="dxa"/>
            <w:tcBorders>
              <w:top w:val="single" w:color="000000" w:sz="4" w:space="0"/>
              <w:left w:val="single" w:color="000000" w:sz="4" w:space="0"/>
              <w:bottom w:val="single" w:color="000000" w:sz="4" w:space="0"/>
              <w:right w:val="single" w:color="000000" w:sz="4" w:space="0"/>
            </w:tcBorders>
          </w:tcPr>
          <w:p>
            <w:pPr>
              <w:pStyle w:val="24"/>
              <w:spacing w:before="44"/>
              <w:ind w:left="284" w:right="256"/>
              <w:rPr>
                <w:sz w:val="21"/>
              </w:rPr>
            </w:pPr>
            <w:r>
              <w:rPr>
                <w:sz w:val="21"/>
              </w:rPr>
              <w:t>良好</w:t>
            </w:r>
          </w:p>
        </w:tc>
        <w:tc>
          <w:tcPr>
            <w:tcW w:w="2127" w:type="dxa"/>
            <w:tcBorders>
              <w:top w:val="single" w:color="000000" w:sz="4" w:space="0"/>
              <w:left w:val="single" w:color="000000" w:sz="4" w:space="0"/>
              <w:bottom w:val="single" w:color="000000" w:sz="4" w:space="0"/>
              <w:right w:val="single" w:color="000000" w:sz="4" w:space="0"/>
            </w:tcBorders>
          </w:tcPr>
          <w:p>
            <w:pPr>
              <w:pStyle w:val="24"/>
              <w:spacing w:before="44"/>
              <w:ind w:left="421" w:right="395"/>
              <w:rPr>
                <w:sz w:val="21"/>
              </w:rPr>
            </w:pPr>
            <w:r>
              <w:rPr>
                <w:sz w:val="21"/>
              </w:rPr>
              <w:t>车间</w:t>
            </w:r>
          </w:p>
        </w:tc>
        <w:tc>
          <w:tcPr>
            <w:tcW w:w="1187" w:type="dxa"/>
            <w:tcBorders>
              <w:top w:val="single" w:color="000000" w:sz="4" w:space="0"/>
              <w:left w:val="single" w:color="000000" w:sz="4" w:space="0"/>
              <w:bottom w:val="single" w:color="000000" w:sz="4" w:space="0"/>
              <w:right w:val="nil"/>
            </w:tcBorders>
          </w:tcPr>
          <w:p>
            <w:pPr>
              <w:pStyle w:val="24"/>
              <w:spacing w:before="44"/>
              <w:ind w:left="238"/>
              <w:rPr>
                <w:sz w:val="21"/>
              </w:rPr>
            </w:pPr>
            <w:r>
              <w:rPr>
                <w:rFonts w:hint="eastAsia"/>
              </w:rPr>
              <w:t>刘高云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0" w:hRule="atLeast"/>
        </w:trPr>
        <w:tc>
          <w:tcPr>
            <w:tcW w:w="1877" w:type="dxa"/>
            <w:vMerge w:val="continue"/>
            <w:tcBorders>
              <w:top w:val="nil"/>
              <w:left w:val="nil"/>
              <w:bottom w:val="single" w:color="000000" w:sz="4" w:space="0"/>
              <w:right w:val="single" w:color="000000" w:sz="4" w:space="0"/>
            </w:tcBorders>
          </w:tcPr>
          <w:p>
            <w:pPr>
              <w:rPr>
                <w:sz w:val="2"/>
                <w:szCs w:val="2"/>
              </w:rPr>
            </w:pPr>
          </w:p>
        </w:tc>
        <w:tc>
          <w:tcPr>
            <w:tcW w:w="734" w:type="dxa"/>
            <w:tcBorders>
              <w:top w:val="single" w:color="000000" w:sz="4" w:space="0"/>
              <w:left w:val="single" w:color="000000" w:sz="4" w:space="0"/>
              <w:bottom w:val="single" w:color="000000" w:sz="4" w:space="0"/>
              <w:right w:val="single" w:color="000000" w:sz="4" w:space="0"/>
            </w:tcBorders>
          </w:tcPr>
          <w:p>
            <w:pPr>
              <w:pStyle w:val="24"/>
              <w:spacing w:before="58"/>
              <w:ind w:left="27"/>
              <w:rPr>
                <w:rFonts w:ascii="Times New Roman"/>
                <w:sz w:val="21"/>
                <w:lang w:val="en-US"/>
              </w:rPr>
            </w:pPr>
            <w:r>
              <w:rPr>
                <w:rFonts w:hint="eastAsia" w:ascii="Times New Roman"/>
                <w:sz w:val="21"/>
                <w:lang w:val="en-US"/>
              </w:rPr>
              <w:t>2</w:t>
            </w:r>
          </w:p>
        </w:tc>
        <w:tc>
          <w:tcPr>
            <w:tcW w:w="1779" w:type="dxa"/>
            <w:tcBorders>
              <w:top w:val="single" w:color="000000" w:sz="4" w:space="0"/>
              <w:left w:val="single" w:color="000000" w:sz="4" w:space="0"/>
              <w:bottom w:val="single" w:color="000000" w:sz="4" w:space="0"/>
              <w:right w:val="single" w:color="000000" w:sz="4" w:space="0"/>
            </w:tcBorders>
          </w:tcPr>
          <w:p>
            <w:pPr>
              <w:pStyle w:val="24"/>
              <w:spacing w:before="44"/>
              <w:ind w:left="351" w:right="325"/>
              <w:rPr>
                <w:sz w:val="21"/>
              </w:rPr>
            </w:pPr>
            <w:r>
              <w:rPr>
                <w:sz w:val="21"/>
              </w:rPr>
              <w:t>消防栓</w:t>
            </w:r>
          </w:p>
        </w:tc>
        <w:tc>
          <w:tcPr>
            <w:tcW w:w="1058" w:type="dxa"/>
            <w:tcBorders>
              <w:top w:val="single" w:color="000000" w:sz="4" w:space="0"/>
              <w:left w:val="single" w:color="000000" w:sz="4" w:space="0"/>
              <w:bottom w:val="single" w:color="000000" w:sz="4" w:space="0"/>
              <w:right w:val="single" w:color="000000" w:sz="4" w:space="0"/>
            </w:tcBorders>
          </w:tcPr>
          <w:p>
            <w:pPr>
              <w:pStyle w:val="24"/>
              <w:spacing w:before="44"/>
              <w:ind w:left="160" w:right="134"/>
              <w:rPr>
                <w:sz w:val="21"/>
              </w:rPr>
            </w:pPr>
            <w:r>
              <w:rPr>
                <w:rFonts w:hint="eastAsia" w:ascii="Times New Roman" w:eastAsia="宋体"/>
                <w:sz w:val="21"/>
                <w:lang w:val="en-US"/>
              </w:rPr>
              <w:t>4</w:t>
            </w:r>
            <w:r>
              <w:rPr>
                <w:sz w:val="21"/>
              </w:rPr>
              <w:t>个</w:t>
            </w:r>
          </w:p>
        </w:tc>
        <w:tc>
          <w:tcPr>
            <w:tcW w:w="1196" w:type="dxa"/>
            <w:tcBorders>
              <w:top w:val="single" w:color="000000" w:sz="4" w:space="0"/>
              <w:left w:val="single" w:color="000000" w:sz="4" w:space="0"/>
              <w:bottom w:val="single" w:color="000000" w:sz="4" w:space="0"/>
              <w:right w:val="single" w:color="000000" w:sz="4" w:space="0"/>
            </w:tcBorders>
          </w:tcPr>
          <w:p>
            <w:pPr>
              <w:pStyle w:val="24"/>
              <w:spacing w:before="44"/>
              <w:ind w:left="284" w:right="256"/>
              <w:rPr>
                <w:sz w:val="21"/>
              </w:rPr>
            </w:pPr>
            <w:r>
              <w:rPr>
                <w:sz w:val="21"/>
              </w:rPr>
              <w:t>良好</w:t>
            </w:r>
          </w:p>
        </w:tc>
        <w:tc>
          <w:tcPr>
            <w:tcW w:w="2127" w:type="dxa"/>
            <w:tcBorders>
              <w:top w:val="single" w:color="000000" w:sz="4" w:space="0"/>
              <w:left w:val="single" w:color="000000" w:sz="4" w:space="0"/>
              <w:bottom w:val="single" w:color="000000" w:sz="4" w:space="0"/>
              <w:right w:val="single" w:color="000000" w:sz="4" w:space="0"/>
            </w:tcBorders>
          </w:tcPr>
          <w:p>
            <w:pPr>
              <w:pStyle w:val="24"/>
              <w:spacing w:before="44"/>
              <w:ind w:left="421" w:right="395"/>
              <w:rPr>
                <w:sz w:val="21"/>
              </w:rPr>
            </w:pPr>
            <w:r>
              <w:rPr>
                <w:rFonts w:hint="eastAsia"/>
                <w:sz w:val="21"/>
              </w:rPr>
              <w:t>厂房</w:t>
            </w:r>
          </w:p>
        </w:tc>
        <w:tc>
          <w:tcPr>
            <w:tcW w:w="1187" w:type="dxa"/>
            <w:tcBorders>
              <w:top w:val="single" w:color="000000" w:sz="4" w:space="0"/>
              <w:left w:val="single" w:color="000000" w:sz="4" w:space="0"/>
              <w:bottom w:val="single" w:color="000000" w:sz="4" w:space="0"/>
              <w:right w:val="nil"/>
            </w:tcBorders>
          </w:tcPr>
          <w:p>
            <w:pPr>
              <w:spacing w:before="44"/>
              <w:ind w:firstLine="220" w:firstLineChars="100"/>
              <w:rPr>
                <w:sz w:val="21"/>
              </w:rPr>
            </w:pPr>
            <w:r>
              <w:rPr>
                <w:rFonts w:hint="eastAsia"/>
              </w:rPr>
              <w:t>刘高云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0" w:hRule="atLeast"/>
        </w:trPr>
        <w:tc>
          <w:tcPr>
            <w:tcW w:w="1877" w:type="dxa"/>
            <w:vMerge w:val="continue"/>
            <w:tcBorders>
              <w:top w:val="nil"/>
              <w:left w:val="nil"/>
              <w:bottom w:val="single" w:color="000000" w:sz="4" w:space="0"/>
              <w:right w:val="single" w:color="000000" w:sz="4" w:space="0"/>
            </w:tcBorders>
          </w:tcPr>
          <w:p>
            <w:pPr>
              <w:rPr>
                <w:sz w:val="2"/>
                <w:szCs w:val="2"/>
              </w:rPr>
            </w:pPr>
          </w:p>
        </w:tc>
        <w:tc>
          <w:tcPr>
            <w:tcW w:w="734" w:type="dxa"/>
            <w:tcBorders>
              <w:top w:val="single" w:color="000000" w:sz="4" w:space="0"/>
              <w:left w:val="single" w:color="000000" w:sz="4" w:space="0"/>
              <w:bottom w:val="single" w:color="000000" w:sz="4" w:space="0"/>
              <w:right w:val="single" w:color="000000" w:sz="4" w:space="0"/>
            </w:tcBorders>
          </w:tcPr>
          <w:p>
            <w:pPr>
              <w:pStyle w:val="24"/>
              <w:spacing w:before="58"/>
              <w:ind w:left="27"/>
              <w:rPr>
                <w:rFonts w:ascii="Times New Roman"/>
                <w:sz w:val="21"/>
                <w:lang w:val="en-US"/>
              </w:rPr>
            </w:pPr>
            <w:r>
              <w:rPr>
                <w:rFonts w:hint="eastAsia" w:ascii="Times New Roman"/>
                <w:sz w:val="21"/>
                <w:lang w:val="en-US"/>
              </w:rPr>
              <w:t>3</w:t>
            </w:r>
          </w:p>
        </w:tc>
        <w:tc>
          <w:tcPr>
            <w:tcW w:w="1779" w:type="dxa"/>
            <w:tcBorders>
              <w:top w:val="single" w:color="000000" w:sz="4" w:space="0"/>
              <w:left w:val="single" w:color="000000" w:sz="4" w:space="0"/>
              <w:bottom w:val="single" w:color="000000" w:sz="4" w:space="0"/>
              <w:right w:val="single" w:color="000000" w:sz="4" w:space="0"/>
            </w:tcBorders>
          </w:tcPr>
          <w:p>
            <w:pPr>
              <w:pStyle w:val="24"/>
              <w:spacing w:before="44"/>
              <w:ind w:left="348" w:right="325"/>
              <w:rPr>
                <w:sz w:val="21"/>
              </w:rPr>
            </w:pPr>
            <w:r>
              <w:rPr>
                <w:sz w:val="21"/>
              </w:rPr>
              <w:t>消防水带</w:t>
            </w:r>
          </w:p>
        </w:tc>
        <w:tc>
          <w:tcPr>
            <w:tcW w:w="1058" w:type="dxa"/>
            <w:tcBorders>
              <w:top w:val="single" w:color="000000" w:sz="4" w:space="0"/>
              <w:left w:val="single" w:color="000000" w:sz="4" w:space="0"/>
              <w:bottom w:val="single" w:color="000000" w:sz="4" w:space="0"/>
              <w:right w:val="single" w:color="000000" w:sz="4" w:space="0"/>
            </w:tcBorders>
          </w:tcPr>
          <w:p>
            <w:pPr>
              <w:pStyle w:val="24"/>
              <w:spacing w:before="44"/>
              <w:ind w:left="160" w:right="134"/>
              <w:rPr>
                <w:sz w:val="21"/>
              </w:rPr>
            </w:pPr>
            <w:r>
              <w:rPr>
                <w:rFonts w:hint="eastAsia" w:ascii="Times New Roman" w:eastAsia="宋体"/>
                <w:sz w:val="21"/>
                <w:lang w:val="en-US"/>
              </w:rPr>
              <w:t>4</w:t>
            </w:r>
            <w:r>
              <w:rPr>
                <w:sz w:val="21"/>
              </w:rPr>
              <w:t>卷</w:t>
            </w:r>
          </w:p>
        </w:tc>
        <w:tc>
          <w:tcPr>
            <w:tcW w:w="1196" w:type="dxa"/>
            <w:tcBorders>
              <w:top w:val="single" w:color="000000" w:sz="4" w:space="0"/>
              <w:left w:val="single" w:color="000000" w:sz="4" w:space="0"/>
              <w:bottom w:val="single" w:color="000000" w:sz="4" w:space="0"/>
              <w:right w:val="single" w:color="000000" w:sz="4" w:space="0"/>
            </w:tcBorders>
          </w:tcPr>
          <w:p>
            <w:pPr>
              <w:pStyle w:val="24"/>
              <w:spacing w:before="44"/>
              <w:ind w:left="284" w:right="256"/>
              <w:rPr>
                <w:sz w:val="21"/>
              </w:rPr>
            </w:pPr>
            <w:r>
              <w:rPr>
                <w:sz w:val="21"/>
              </w:rPr>
              <w:t>良好</w:t>
            </w:r>
          </w:p>
        </w:tc>
        <w:tc>
          <w:tcPr>
            <w:tcW w:w="2127" w:type="dxa"/>
            <w:tcBorders>
              <w:top w:val="single" w:color="000000" w:sz="4" w:space="0"/>
              <w:left w:val="single" w:color="000000" w:sz="4" w:space="0"/>
              <w:bottom w:val="single" w:color="000000" w:sz="4" w:space="0"/>
              <w:right w:val="single" w:color="000000" w:sz="4" w:space="0"/>
            </w:tcBorders>
          </w:tcPr>
          <w:p>
            <w:pPr>
              <w:pStyle w:val="24"/>
              <w:spacing w:before="44"/>
              <w:ind w:left="421" w:right="395"/>
              <w:rPr>
                <w:sz w:val="21"/>
              </w:rPr>
            </w:pPr>
            <w:r>
              <w:rPr>
                <w:rFonts w:hint="eastAsia"/>
              </w:rPr>
              <w:t>消防器材柜</w:t>
            </w:r>
          </w:p>
        </w:tc>
        <w:tc>
          <w:tcPr>
            <w:tcW w:w="1187" w:type="dxa"/>
            <w:tcBorders>
              <w:top w:val="single" w:color="000000" w:sz="4" w:space="0"/>
              <w:left w:val="single" w:color="000000" w:sz="4" w:space="0"/>
              <w:bottom w:val="single" w:color="000000" w:sz="4" w:space="0"/>
              <w:right w:val="nil"/>
            </w:tcBorders>
          </w:tcPr>
          <w:p>
            <w:pPr>
              <w:spacing w:before="44"/>
              <w:ind w:firstLine="220" w:firstLineChars="100"/>
              <w:rPr>
                <w:sz w:val="21"/>
              </w:rPr>
            </w:pPr>
            <w:r>
              <w:rPr>
                <w:rFonts w:hint="eastAsia"/>
              </w:rPr>
              <w:t>刘高云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0" w:hRule="atLeast"/>
        </w:trPr>
        <w:tc>
          <w:tcPr>
            <w:tcW w:w="1877" w:type="dxa"/>
            <w:vMerge w:val="continue"/>
            <w:tcBorders>
              <w:top w:val="nil"/>
              <w:left w:val="nil"/>
              <w:bottom w:val="single" w:color="000000" w:sz="4" w:space="0"/>
              <w:right w:val="single" w:color="000000" w:sz="4" w:space="0"/>
            </w:tcBorders>
          </w:tcPr>
          <w:p>
            <w:pPr>
              <w:rPr>
                <w:sz w:val="2"/>
                <w:szCs w:val="2"/>
              </w:rPr>
            </w:pPr>
          </w:p>
        </w:tc>
        <w:tc>
          <w:tcPr>
            <w:tcW w:w="734" w:type="dxa"/>
            <w:tcBorders>
              <w:top w:val="single" w:color="000000" w:sz="4" w:space="0"/>
              <w:left w:val="single" w:color="000000" w:sz="4" w:space="0"/>
              <w:bottom w:val="single" w:color="000000" w:sz="4" w:space="0"/>
              <w:right w:val="single" w:color="000000" w:sz="4" w:space="0"/>
            </w:tcBorders>
          </w:tcPr>
          <w:p>
            <w:pPr>
              <w:pStyle w:val="24"/>
              <w:spacing w:before="58"/>
              <w:ind w:left="27"/>
              <w:rPr>
                <w:rFonts w:ascii="Times New Roman"/>
                <w:sz w:val="21"/>
                <w:lang w:val="en-US"/>
              </w:rPr>
            </w:pPr>
            <w:r>
              <w:rPr>
                <w:rFonts w:hint="eastAsia" w:ascii="Times New Roman"/>
                <w:sz w:val="21"/>
                <w:lang w:val="en-US"/>
              </w:rPr>
              <w:t>4</w:t>
            </w:r>
          </w:p>
        </w:tc>
        <w:tc>
          <w:tcPr>
            <w:tcW w:w="1779" w:type="dxa"/>
            <w:tcBorders>
              <w:top w:val="single" w:color="000000" w:sz="4" w:space="0"/>
              <w:left w:val="single" w:color="000000" w:sz="4" w:space="0"/>
              <w:bottom w:val="single" w:color="000000" w:sz="4" w:space="0"/>
              <w:right w:val="single" w:color="000000" w:sz="4" w:space="0"/>
            </w:tcBorders>
          </w:tcPr>
          <w:p>
            <w:pPr>
              <w:pStyle w:val="24"/>
              <w:spacing w:before="44"/>
              <w:ind w:left="348" w:right="325"/>
              <w:rPr>
                <w:sz w:val="21"/>
              </w:rPr>
            </w:pPr>
            <w:r>
              <w:rPr>
                <w:sz w:val="21"/>
              </w:rPr>
              <w:t>消防水枪</w:t>
            </w:r>
          </w:p>
        </w:tc>
        <w:tc>
          <w:tcPr>
            <w:tcW w:w="1058" w:type="dxa"/>
            <w:tcBorders>
              <w:top w:val="single" w:color="000000" w:sz="4" w:space="0"/>
              <w:left w:val="single" w:color="000000" w:sz="4" w:space="0"/>
              <w:bottom w:val="single" w:color="000000" w:sz="4" w:space="0"/>
              <w:right w:val="single" w:color="000000" w:sz="4" w:space="0"/>
            </w:tcBorders>
          </w:tcPr>
          <w:p>
            <w:pPr>
              <w:pStyle w:val="24"/>
              <w:spacing w:before="44"/>
              <w:ind w:left="160" w:right="134"/>
              <w:rPr>
                <w:sz w:val="21"/>
              </w:rPr>
            </w:pPr>
            <w:r>
              <w:rPr>
                <w:rFonts w:hint="eastAsia" w:ascii="Times New Roman" w:eastAsia="宋体"/>
                <w:sz w:val="21"/>
                <w:lang w:val="en-US"/>
              </w:rPr>
              <w:t>4</w:t>
            </w:r>
            <w:r>
              <w:rPr>
                <w:rFonts w:ascii="Times New Roman" w:eastAsia="Times New Roman"/>
                <w:sz w:val="21"/>
              </w:rPr>
              <w:t xml:space="preserve"> </w:t>
            </w:r>
            <w:r>
              <w:rPr>
                <w:sz w:val="21"/>
              </w:rPr>
              <w:t>个</w:t>
            </w:r>
          </w:p>
        </w:tc>
        <w:tc>
          <w:tcPr>
            <w:tcW w:w="1196" w:type="dxa"/>
            <w:tcBorders>
              <w:top w:val="single" w:color="000000" w:sz="4" w:space="0"/>
              <w:left w:val="single" w:color="000000" w:sz="4" w:space="0"/>
              <w:bottom w:val="single" w:color="000000" w:sz="4" w:space="0"/>
              <w:right w:val="single" w:color="000000" w:sz="4" w:space="0"/>
            </w:tcBorders>
          </w:tcPr>
          <w:p>
            <w:pPr>
              <w:pStyle w:val="24"/>
              <w:spacing w:before="44"/>
              <w:ind w:left="284" w:right="256"/>
              <w:rPr>
                <w:sz w:val="21"/>
              </w:rPr>
            </w:pPr>
            <w:r>
              <w:rPr>
                <w:sz w:val="21"/>
              </w:rPr>
              <w:t>良好</w:t>
            </w:r>
          </w:p>
        </w:tc>
        <w:tc>
          <w:tcPr>
            <w:tcW w:w="2127" w:type="dxa"/>
            <w:tcBorders>
              <w:top w:val="single" w:color="000000" w:sz="4" w:space="0"/>
              <w:left w:val="single" w:color="000000" w:sz="4" w:space="0"/>
              <w:bottom w:val="single" w:color="000000" w:sz="4" w:space="0"/>
              <w:right w:val="single" w:color="000000" w:sz="4" w:space="0"/>
            </w:tcBorders>
          </w:tcPr>
          <w:p>
            <w:pPr>
              <w:pStyle w:val="24"/>
              <w:spacing w:before="44"/>
              <w:ind w:left="421" w:right="395"/>
              <w:rPr>
                <w:sz w:val="21"/>
              </w:rPr>
            </w:pPr>
            <w:r>
              <w:rPr>
                <w:rFonts w:hint="eastAsia"/>
              </w:rPr>
              <w:t>消防器材柜</w:t>
            </w:r>
          </w:p>
        </w:tc>
        <w:tc>
          <w:tcPr>
            <w:tcW w:w="1187" w:type="dxa"/>
            <w:tcBorders>
              <w:top w:val="single" w:color="000000" w:sz="4" w:space="0"/>
              <w:left w:val="single" w:color="000000" w:sz="4" w:space="0"/>
              <w:bottom w:val="single" w:color="000000" w:sz="4" w:space="0"/>
              <w:right w:val="nil"/>
            </w:tcBorders>
          </w:tcPr>
          <w:p>
            <w:pPr>
              <w:spacing w:before="44"/>
              <w:ind w:firstLine="220" w:firstLineChars="100"/>
              <w:rPr>
                <w:sz w:val="21"/>
              </w:rPr>
            </w:pPr>
            <w:r>
              <w:rPr>
                <w:rFonts w:hint="eastAsia"/>
              </w:rPr>
              <w:t>刘高云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0" w:hRule="atLeast"/>
        </w:trPr>
        <w:tc>
          <w:tcPr>
            <w:tcW w:w="1877" w:type="dxa"/>
            <w:vMerge w:val="restart"/>
            <w:tcBorders>
              <w:top w:val="single" w:color="000000" w:sz="4" w:space="0"/>
              <w:left w:val="nil"/>
              <w:bottom w:val="single" w:color="000000" w:sz="4" w:space="0"/>
              <w:right w:val="single" w:color="000000" w:sz="4" w:space="0"/>
            </w:tcBorders>
          </w:tcPr>
          <w:p>
            <w:pPr>
              <w:pStyle w:val="24"/>
              <w:rPr>
                <w:b/>
                <w:sz w:val="20"/>
              </w:rPr>
            </w:pPr>
          </w:p>
          <w:p>
            <w:pPr>
              <w:pStyle w:val="24"/>
              <w:rPr>
                <w:b/>
                <w:sz w:val="20"/>
              </w:rPr>
            </w:pPr>
          </w:p>
          <w:p>
            <w:pPr>
              <w:pStyle w:val="24"/>
              <w:rPr>
                <w:b/>
                <w:sz w:val="20"/>
              </w:rPr>
            </w:pPr>
          </w:p>
          <w:p>
            <w:pPr>
              <w:pStyle w:val="24"/>
              <w:spacing w:before="173"/>
              <w:ind w:left="580"/>
              <w:rPr>
                <w:sz w:val="21"/>
              </w:rPr>
            </w:pPr>
            <w:r>
              <w:rPr>
                <w:sz w:val="21"/>
              </w:rPr>
              <w:t>医疗个护</w:t>
            </w:r>
          </w:p>
        </w:tc>
        <w:tc>
          <w:tcPr>
            <w:tcW w:w="734" w:type="dxa"/>
            <w:tcBorders>
              <w:top w:val="single" w:color="000000" w:sz="4" w:space="0"/>
              <w:left w:val="single" w:color="000000" w:sz="4" w:space="0"/>
              <w:bottom w:val="single" w:color="000000" w:sz="4" w:space="0"/>
              <w:right w:val="single" w:color="000000" w:sz="4" w:space="0"/>
            </w:tcBorders>
          </w:tcPr>
          <w:p>
            <w:pPr>
              <w:pStyle w:val="24"/>
              <w:spacing w:before="58"/>
              <w:ind w:left="27"/>
              <w:rPr>
                <w:rFonts w:ascii="Times New Roman"/>
                <w:sz w:val="21"/>
                <w:lang w:val="en-US"/>
              </w:rPr>
            </w:pPr>
            <w:r>
              <w:rPr>
                <w:rFonts w:hint="eastAsia" w:ascii="Times New Roman"/>
                <w:sz w:val="21"/>
                <w:lang w:val="en-US"/>
              </w:rPr>
              <w:t>5</w:t>
            </w:r>
          </w:p>
        </w:tc>
        <w:tc>
          <w:tcPr>
            <w:tcW w:w="1779" w:type="dxa"/>
            <w:tcBorders>
              <w:top w:val="single" w:color="000000" w:sz="4" w:space="0"/>
              <w:left w:val="single" w:color="000000" w:sz="4" w:space="0"/>
              <w:bottom w:val="single" w:color="000000" w:sz="4" w:space="0"/>
              <w:right w:val="single" w:color="000000" w:sz="4" w:space="0"/>
            </w:tcBorders>
          </w:tcPr>
          <w:p>
            <w:pPr>
              <w:pStyle w:val="24"/>
              <w:spacing w:before="44"/>
              <w:ind w:left="348" w:right="325"/>
              <w:rPr>
                <w:sz w:val="21"/>
              </w:rPr>
            </w:pPr>
            <w:r>
              <w:rPr>
                <w:sz w:val="21"/>
              </w:rPr>
              <w:t>防护手套</w:t>
            </w:r>
          </w:p>
        </w:tc>
        <w:tc>
          <w:tcPr>
            <w:tcW w:w="1058" w:type="dxa"/>
            <w:tcBorders>
              <w:top w:val="single" w:color="000000" w:sz="4" w:space="0"/>
              <w:left w:val="single" w:color="000000" w:sz="4" w:space="0"/>
              <w:bottom w:val="single" w:color="000000" w:sz="4" w:space="0"/>
              <w:right w:val="single" w:color="000000" w:sz="4" w:space="0"/>
            </w:tcBorders>
          </w:tcPr>
          <w:p>
            <w:pPr>
              <w:pStyle w:val="24"/>
              <w:spacing w:before="44"/>
              <w:ind w:left="160" w:right="134"/>
              <w:rPr>
                <w:sz w:val="21"/>
              </w:rPr>
            </w:pPr>
            <w:r>
              <w:rPr>
                <w:rFonts w:hint="eastAsia"/>
                <w:sz w:val="21"/>
                <w:lang w:val="en-US"/>
              </w:rPr>
              <w:t>200</w:t>
            </w:r>
            <w:r>
              <w:rPr>
                <w:sz w:val="21"/>
              </w:rPr>
              <w:t>副</w:t>
            </w:r>
          </w:p>
        </w:tc>
        <w:tc>
          <w:tcPr>
            <w:tcW w:w="1196" w:type="dxa"/>
            <w:tcBorders>
              <w:top w:val="single" w:color="000000" w:sz="4" w:space="0"/>
              <w:left w:val="single" w:color="000000" w:sz="4" w:space="0"/>
              <w:bottom w:val="single" w:color="000000" w:sz="4" w:space="0"/>
              <w:right w:val="single" w:color="000000" w:sz="4" w:space="0"/>
            </w:tcBorders>
          </w:tcPr>
          <w:p>
            <w:pPr>
              <w:pStyle w:val="24"/>
              <w:spacing w:before="44"/>
              <w:ind w:left="284" w:right="256"/>
              <w:rPr>
                <w:sz w:val="21"/>
              </w:rPr>
            </w:pPr>
            <w:r>
              <w:rPr>
                <w:sz w:val="21"/>
              </w:rPr>
              <w:t>良好</w:t>
            </w:r>
          </w:p>
        </w:tc>
        <w:tc>
          <w:tcPr>
            <w:tcW w:w="2127" w:type="dxa"/>
            <w:tcBorders>
              <w:top w:val="single" w:color="000000" w:sz="4" w:space="0"/>
              <w:left w:val="single" w:color="000000" w:sz="4" w:space="0"/>
              <w:bottom w:val="single" w:color="000000" w:sz="4" w:space="0"/>
              <w:right w:val="single" w:color="000000" w:sz="4" w:space="0"/>
            </w:tcBorders>
          </w:tcPr>
          <w:p>
            <w:pPr>
              <w:pStyle w:val="24"/>
              <w:spacing w:before="44"/>
              <w:ind w:left="421" w:right="395"/>
              <w:rPr>
                <w:sz w:val="21"/>
              </w:rPr>
            </w:pPr>
            <w:r>
              <w:rPr>
                <w:rFonts w:hint="eastAsia"/>
              </w:rPr>
              <w:t>仓库</w:t>
            </w:r>
          </w:p>
        </w:tc>
        <w:tc>
          <w:tcPr>
            <w:tcW w:w="1187" w:type="dxa"/>
            <w:tcBorders>
              <w:top w:val="single" w:color="000000" w:sz="4" w:space="0"/>
              <w:left w:val="single" w:color="000000" w:sz="4" w:space="0"/>
              <w:bottom w:val="single" w:color="000000" w:sz="4" w:space="0"/>
              <w:right w:val="nil"/>
            </w:tcBorders>
          </w:tcPr>
          <w:p>
            <w:pPr>
              <w:spacing w:before="44"/>
              <w:ind w:firstLine="220" w:firstLineChars="100"/>
              <w:rPr>
                <w:sz w:val="21"/>
              </w:rPr>
            </w:pPr>
            <w:r>
              <w:rPr>
                <w:rFonts w:hint="eastAsia"/>
              </w:rPr>
              <w:t>刘高云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0" w:hRule="atLeast"/>
        </w:trPr>
        <w:tc>
          <w:tcPr>
            <w:tcW w:w="1877" w:type="dxa"/>
            <w:vMerge w:val="continue"/>
            <w:tcBorders>
              <w:top w:val="nil"/>
              <w:left w:val="nil"/>
              <w:bottom w:val="single" w:color="000000" w:sz="4" w:space="0"/>
              <w:right w:val="single" w:color="000000" w:sz="4" w:space="0"/>
            </w:tcBorders>
          </w:tcPr>
          <w:p>
            <w:pPr>
              <w:rPr>
                <w:sz w:val="2"/>
                <w:szCs w:val="2"/>
              </w:rPr>
            </w:pPr>
          </w:p>
        </w:tc>
        <w:tc>
          <w:tcPr>
            <w:tcW w:w="734" w:type="dxa"/>
            <w:tcBorders>
              <w:top w:val="single" w:color="000000" w:sz="4" w:space="0"/>
              <w:left w:val="single" w:color="000000" w:sz="4" w:space="0"/>
              <w:bottom w:val="single" w:color="000000" w:sz="4" w:space="0"/>
              <w:right w:val="single" w:color="000000" w:sz="4" w:space="0"/>
            </w:tcBorders>
          </w:tcPr>
          <w:p>
            <w:pPr>
              <w:pStyle w:val="24"/>
              <w:spacing w:before="58"/>
              <w:ind w:left="27"/>
              <w:rPr>
                <w:rFonts w:ascii="Times New Roman"/>
                <w:sz w:val="21"/>
                <w:lang w:val="en-US"/>
              </w:rPr>
            </w:pPr>
            <w:r>
              <w:rPr>
                <w:rFonts w:hint="eastAsia" w:ascii="Times New Roman"/>
                <w:sz w:val="21"/>
                <w:lang w:val="en-US"/>
              </w:rPr>
              <w:t>6</w:t>
            </w:r>
          </w:p>
        </w:tc>
        <w:tc>
          <w:tcPr>
            <w:tcW w:w="1779" w:type="dxa"/>
            <w:tcBorders>
              <w:top w:val="single" w:color="000000" w:sz="4" w:space="0"/>
              <w:left w:val="single" w:color="000000" w:sz="4" w:space="0"/>
              <w:bottom w:val="single" w:color="000000" w:sz="4" w:space="0"/>
              <w:right w:val="single" w:color="000000" w:sz="4" w:space="0"/>
            </w:tcBorders>
          </w:tcPr>
          <w:p>
            <w:pPr>
              <w:pStyle w:val="24"/>
              <w:spacing w:before="44"/>
              <w:ind w:left="351" w:right="325"/>
              <w:rPr>
                <w:sz w:val="21"/>
              </w:rPr>
            </w:pPr>
            <w:r>
              <w:rPr>
                <w:sz w:val="21"/>
              </w:rPr>
              <w:t>防护服</w:t>
            </w:r>
          </w:p>
        </w:tc>
        <w:tc>
          <w:tcPr>
            <w:tcW w:w="1058" w:type="dxa"/>
            <w:tcBorders>
              <w:top w:val="single" w:color="000000" w:sz="4" w:space="0"/>
              <w:left w:val="single" w:color="000000" w:sz="4" w:space="0"/>
              <w:bottom w:val="single" w:color="000000" w:sz="4" w:space="0"/>
              <w:right w:val="single" w:color="000000" w:sz="4" w:space="0"/>
            </w:tcBorders>
          </w:tcPr>
          <w:p>
            <w:pPr>
              <w:pStyle w:val="24"/>
              <w:spacing w:before="44"/>
              <w:ind w:left="160" w:right="134"/>
              <w:rPr>
                <w:sz w:val="21"/>
              </w:rPr>
            </w:pPr>
            <w:r>
              <w:rPr>
                <w:rFonts w:hint="eastAsia" w:ascii="Times New Roman" w:eastAsia="宋体"/>
                <w:sz w:val="21"/>
                <w:lang w:val="en-US"/>
              </w:rPr>
              <w:t>2</w:t>
            </w:r>
            <w:r>
              <w:rPr>
                <w:sz w:val="21"/>
              </w:rPr>
              <w:t>套</w:t>
            </w:r>
          </w:p>
        </w:tc>
        <w:tc>
          <w:tcPr>
            <w:tcW w:w="1196" w:type="dxa"/>
            <w:tcBorders>
              <w:top w:val="single" w:color="000000" w:sz="4" w:space="0"/>
              <w:left w:val="single" w:color="000000" w:sz="4" w:space="0"/>
              <w:bottom w:val="single" w:color="000000" w:sz="4" w:space="0"/>
              <w:right w:val="single" w:color="000000" w:sz="4" w:space="0"/>
            </w:tcBorders>
          </w:tcPr>
          <w:p>
            <w:pPr>
              <w:pStyle w:val="24"/>
              <w:spacing w:before="44"/>
              <w:ind w:left="284" w:right="256"/>
              <w:rPr>
                <w:sz w:val="21"/>
              </w:rPr>
            </w:pPr>
            <w:r>
              <w:rPr>
                <w:sz w:val="21"/>
              </w:rPr>
              <w:t>良好</w:t>
            </w:r>
          </w:p>
        </w:tc>
        <w:tc>
          <w:tcPr>
            <w:tcW w:w="2127" w:type="dxa"/>
            <w:tcBorders>
              <w:top w:val="single" w:color="000000" w:sz="4" w:space="0"/>
              <w:left w:val="single" w:color="000000" w:sz="4" w:space="0"/>
              <w:bottom w:val="single" w:color="000000" w:sz="4" w:space="0"/>
              <w:right w:val="single" w:color="000000" w:sz="4" w:space="0"/>
            </w:tcBorders>
          </w:tcPr>
          <w:p>
            <w:pPr>
              <w:pStyle w:val="24"/>
              <w:spacing w:before="44"/>
              <w:ind w:left="421" w:right="395"/>
              <w:rPr>
                <w:sz w:val="21"/>
              </w:rPr>
            </w:pPr>
            <w:r>
              <w:rPr>
                <w:rFonts w:hint="eastAsia"/>
              </w:rPr>
              <w:t>仓库</w:t>
            </w:r>
          </w:p>
        </w:tc>
        <w:tc>
          <w:tcPr>
            <w:tcW w:w="1187" w:type="dxa"/>
            <w:tcBorders>
              <w:top w:val="single" w:color="000000" w:sz="4" w:space="0"/>
              <w:left w:val="single" w:color="000000" w:sz="4" w:space="0"/>
              <w:bottom w:val="single" w:color="000000" w:sz="4" w:space="0"/>
              <w:right w:val="nil"/>
            </w:tcBorders>
          </w:tcPr>
          <w:p>
            <w:pPr>
              <w:spacing w:before="44"/>
              <w:ind w:firstLine="220" w:firstLineChars="100"/>
              <w:rPr>
                <w:sz w:val="21"/>
              </w:rPr>
            </w:pPr>
            <w:r>
              <w:rPr>
                <w:rFonts w:hint="eastAsia"/>
              </w:rPr>
              <w:t>刘高云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0" w:hRule="atLeast"/>
        </w:trPr>
        <w:tc>
          <w:tcPr>
            <w:tcW w:w="1877" w:type="dxa"/>
            <w:vMerge w:val="continue"/>
            <w:tcBorders>
              <w:top w:val="nil"/>
              <w:left w:val="nil"/>
              <w:bottom w:val="single" w:color="000000" w:sz="4" w:space="0"/>
              <w:right w:val="single" w:color="000000" w:sz="4" w:space="0"/>
            </w:tcBorders>
          </w:tcPr>
          <w:p>
            <w:pPr>
              <w:rPr>
                <w:sz w:val="2"/>
                <w:szCs w:val="2"/>
              </w:rPr>
            </w:pPr>
          </w:p>
        </w:tc>
        <w:tc>
          <w:tcPr>
            <w:tcW w:w="734" w:type="dxa"/>
            <w:tcBorders>
              <w:top w:val="single" w:color="000000" w:sz="4" w:space="0"/>
              <w:left w:val="single" w:color="000000" w:sz="4" w:space="0"/>
              <w:bottom w:val="single" w:color="000000" w:sz="4" w:space="0"/>
              <w:right w:val="single" w:color="000000" w:sz="4" w:space="0"/>
            </w:tcBorders>
          </w:tcPr>
          <w:p>
            <w:pPr>
              <w:pStyle w:val="24"/>
              <w:spacing w:before="58"/>
              <w:ind w:left="144" w:right="117"/>
              <w:rPr>
                <w:rFonts w:ascii="Times New Roman"/>
                <w:sz w:val="21"/>
                <w:lang w:val="en-US"/>
              </w:rPr>
            </w:pPr>
            <w:r>
              <w:rPr>
                <w:rFonts w:hint="eastAsia" w:ascii="Times New Roman"/>
                <w:sz w:val="21"/>
                <w:lang w:val="en-US"/>
              </w:rPr>
              <w:t>7</w:t>
            </w:r>
          </w:p>
        </w:tc>
        <w:tc>
          <w:tcPr>
            <w:tcW w:w="1779" w:type="dxa"/>
            <w:tcBorders>
              <w:top w:val="single" w:color="000000" w:sz="4" w:space="0"/>
              <w:left w:val="single" w:color="000000" w:sz="4" w:space="0"/>
              <w:bottom w:val="single" w:color="000000" w:sz="4" w:space="0"/>
              <w:right w:val="single" w:color="000000" w:sz="4" w:space="0"/>
            </w:tcBorders>
          </w:tcPr>
          <w:p>
            <w:pPr>
              <w:pStyle w:val="24"/>
              <w:spacing w:before="44"/>
              <w:ind w:left="351" w:right="325"/>
              <w:rPr>
                <w:sz w:val="21"/>
              </w:rPr>
            </w:pPr>
            <w:r>
              <w:rPr>
                <w:sz w:val="21"/>
              </w:rPr>
              <w:t>医药箱</w:t>
            </w:r>
          </w:p>
        </w:tc>
        <w:tc>
          <w:tcPr>
            <w:tcW w:w="1058" w:type="dxa"/>
            <w:tcBorders>
              <w:top w:val="single" w:color="000000" w:sz="4" w:space="0"/>
              <w:left w:val="single" w:color="000000" w:sz="4" w:space="0"/>
              <w:bottom w:val="single" w:color="000000" w:sz="4" w:space="0"/>
              <w:right w:val="single" w:color="000000" w:sz="4" w:space="0"/>
            </w:tcBorders>
          </w:tcPr>
          <w:p>
            <w:pPr>
              <w:pStyle w:val="24"/>
              <w:spacing w:before="44"/>
              <w:ind w:left="160" w:right="134"/>
              <w:rPr>
                <w:rFonts w:eastAsia="宋体"/>
                <w:sz w:val="21"/>
              </w:rPr>
            </w:pPr>
            <w:r>
              <w:rPr>
                <w:rFonts w:ascii="Times New Roman" w:eastAsia="Times New Roman"/>
                <w:sz w:val="21"/>
              </w:rPr>
              <w:t xml:space="preserve">1 </w:t>
            </w:r>
            <w:r>
              <w:rPr>
                <w:rFonts w:hint="eastAsia" w:ascii="Times New Roman" w:eastAsia="宋体"/>
                <w:sz w:val="21"/>
              </w:rPr>
              <w:t>套</w:t>
            </w:r>
          </w:p>
        </w:tc>
        <w:tc>
          <w:tcPr>
            <w:tcW w:w="1196" w:type="dxa"/>
            <w:tcBorders>
              <w:top w:val="single" w:color="000000" w:sz="4" w:space="0"/>
              <w:left w:val="single" w:color="000000" w:sz="4" w:space="0"/>
              <w:bottom w:val="single" w:color="000000" w:sz="4" w:space="0"/>
              <w:right w:val="single" w:color="000000" w:sz="4" w:space="0"/>
            </w:tcBorders>
          </w:tcPr>
          <w:p>
            <w:pPr>
              <w:pStyle w:val="24"/>
              <w:spacing w:before="44"/>
              <w:ind w:left="284" w:right="256"/>
              <w:rPr>
                <w:sz w:val="21"/>
              </w:rPr>
            </w:pPr>
            <w:r>
              <w:rPr>
                <w:sz w:val="21"/>
              </w:rPr>
              <w:t>良好</w:t>
            </w:r>
          </w:p>
        </w:tc>
        <w:tc>
          <w:tcPr>
            <w:tcW w:w="2127" w:type="dxa"/>
            <w:tcBorders>
              <w:top w:val="single" w:color="000000" w:sz="4" w:space="0"/>
              <w:left w:val="single" w:color="000000" w:sz="4" w:space="0"/>
              <w:bottom w:val="single" w:color="000000" w:sz="4" w:space="0"/>
              <w:right w:val="single" w:color="000000" w:sz="4" w:space="0"/>
            </w:tcBorders>
          </w:tcPr>
          <w:p>
            <w:pPr>
              <w:pStyle w:val="24"/>
              <w:spacing w:before="44"/>
              <w:ind w:left="421" w:right="395"/>
              <w:jc w:val="both"/>
              <w:rPr>
                <w:sz w:val="21"/>
                <w:lang w:val="en-US"/>
              </w:rPr>
            </w:pPr>
            <w:r>
              <w:rPr>
                <w:rFonts w:hint="eastAsia"/>
                <w:sz w:val="21"/>
                <w:lang w:val="en-US"/>
              </w:rPr>
              <w:t xml:space="preserve">     车间</w:t>
            </w:r>
          </w:p>
        </w:tc>
        <w:tc>
          <w:tcPr>
            <w:tcW w:w="1187" w:type="dxa"/>
            <w:tcBorders>
              <w:top w:val="single" w:color="000000" w:sz="4" w:space="0"/>
              <w:left w:val="single" w:color="000000" w:sz="4" w:space="0"/>
              <w:bottom w:val="single" w:color="000000" w:sz="4" w:space="0"/>
              <w:right w:val="nil"/>
            </w:tcBorders>
          </w:tcPr>
          <w:p>
            <w:pPr>
              <w:spacing w:before="44"/>
              <w:ind w:firstLine="220" w:firstLineChars="100"/>
              <w:rPr>
                <w:sz w:val="21"/>
              </w:rPr>
            </w:pPr>
            <w:r>
              <w:rPr>
                <w:rFonts w:hint="eastAsia"/>
              </w:rPr>
              <w:t>刘高云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1877" w:type="dxa"/>
            <w:vMerge w:val="continue"/>
            <w:tcBorders>
              <w:top w:val="nil"/>
              <w:left w:val="nil"/>
              <w:right w:val="single" w:color="000000" w:sz="4" w:space="0"/>
            </w:tcBorders>
          </w:tcPr>
          <w:p>
            <w:pPr>
              <w:rPr>
                <w:sz w:val="2"/>
                <w:szCs w:val="2"/>
              </w:rPr>
            </w:pPr>
          </w:p>
        </w:tc>
        <w:tc>
          <w:tcPr>
            <w:tcW w:w="734" w:type="dxa"/>
            <w:tcBorders>
              <w:top w:val="single" w:color="000000" w:sz="4" w:space="0"/>
              <w:left w:val="single" w:color="000000" w:sz="4" w:space="0"/>
              <w:right w:val="single" w:color="000000" w:sz="4" w:space="0"/>
            </w:tcBorders>
          </w:tcPr>
          <w:p>
            <w:pPr>
              <w:pStyle w:val="24"/>
              <w:spacing w:before="48"/>
              <w:ind w:left="144" w:right="117"/>
              <w:rPr>
                <w:rFonts w:ascii="Times New Roman"/>
                <w:sz w:val="21"/>
                <w:lang w:val="en-US"/>
              </w:rPr>
            </w:pPr>
            <w:r>
              <w:rPr>
                <w:rFonts w:hint="eastAsia" w:ascii="Times New Roman"/>
                <w:sz w:val="21"/>
                <w:lang w:val="en-US"/>
              </w:rPr>
              <w:t>8</w:t>
            </w:r>
          </w:p>
        </w:tc>
        <w:tc>
          <w:tcPr>
            <w:tcW w:w="1779" w:type="dxa"/>
            <w:tcBorders>
              <w:top w:val="single" w:color="000000" w:sz="4" w:space="0"/>
              <w:left w:val="single" w:color="000000" w:sz="4" w:space="0"/>
              <w:right w:val="single" w:color="000000" w:sz="4" w:space="0"/>
            </w:tcBorders>
          </w:tcPr>
          <w:p>
            <w:pPr>
              <w:pStyle w:val="24"/>
              <w:spacing w:before="34"/>
              <w:ind w:left="353" w:right="325"/>
              <w:rPr>
                <w:sz w:val="21"/>
              </w:rPr>
            </w:pPr>
            <w:r>
              <w:rPr>
                <w:sz w:val="21"/>
              </w:rPr>
              <w:t>应急照明灯</w:t>
            </w:r>
          </w:p>
        </w:tc>
        <w:tc>
          <w:tcPr>
            <w:tcW w:w="1058" w:type="dxa"/>
            <w:tcBorders>
              <w:top w:val="single" w:color="000000" w:sz="4" w:space="0"/>
              <w:left w:val="single" w:color="000000" w:sz="4" w:space="0"/>
              <w:right w:val="single" w:color="000000" w:sz="4" w:space="0"/>
            </w:tcBorders>
          </w:tcPr>
          <w:p>
            <w:pPr>
              <w:pStyle w:val="24"/>
              <w:spacing w:before="34"/>
              <w:ind w:left="160" w:right="134"/>
              <w:rPr>
                <w:sz w:val="21"/>
              </w:rPr>
            </w:pPr>
            <w:r>
              <w:rPr>
                <w:rFonts w:hint="eastAsia" w:ascii="Times New Roman" w:eastAsia="宋体"/>
                <w:sz w:val="21"/>
                <w:lang w:val="en-US"/>
              </w:rPr>
              <w:t>8套</w:t>
            </w:r>
          </w:p>
        </w:tc>
        <w:tc>
          <w:tcPr>
            <w:tcW w:w="1196" w:type="dxa"/>
            <w:tcBorders>
              <w:top w:val="single" w:color="000000" w:sz="4" w:space="0"/>
              <w:left w:val="single" w:color="000000" w:sz="4" w:space="0"/>
              <w:right w:val="single" w:color="000000" w:sz="4" w:space="0"/>
            </w:tcBorders>
          </w:tcPr>
          <w:p>
            <w:pPr>
              <w:pStyle w:val="24"/>
              <w:spacing w:before="34"/>
              <w:ind w:left="284" w:right="256"/>
              <w:rPr>
                <w:sz w:val="21"/>
              </w:rPr>
            </w:pPr>
            <w:r>
              <w:rPr>
                <w:sz w:val="21"/>
              </w:rPr>
              <w:t>良好</w:t>
            </w:r>
          </w:p>
        </w:tc>
        <w:tc>
          <w:tcPr>
            <w:tcW w:w="2127" w:type="dxa"/>
            <w:tcBorders>
              <w:top w:val="single" w:color="000000" w:sz="4" w:space="0"/>
              <w:left w:val="single" w:color="000000" w:sz="4" w:space="0"/>
              <w:right w:val="single" w:color="000000" w:sz="4" w:space="0"/>
            </w:tcBorders>
          </w:tcPr>
          <w:p>
            <w:pPr>
              <w:pStyle w:val="24"/>
              <w:spacing w:before="34"/>
              <w:ind w:left="421" w:right="395"/>
              <w:rPr>
                <w:sz w:val="21"/>
              </w:rPr>
            </w:pPr>
            <w:r>
              <w:rPr>
                <w:sz w:val="21"/>
              </w:rPr>
              <w:t>车间</w:t>
            </w:r>
          </w:p>
        </w:tc>
        <w:tc>
          <w:tcPr>
            <w:tcW w:w="1187" w:type="dxa"/>
            <w:tcBorders>
              <w:top w:val="single" w:color="000000" w:sz="4" w:space="0"/>
              <w:left w:val="single" w:color="000000" w:sz="4" w:space="0"/>
              <w:right w:val="nil"/>
            </w:tcBorders>
          </w:tcPr>
          <w:p>
            <w:pPr>
              <w:spacing w:before="34"/>
              <w:ind w:firstLine="220" w:firstLineChars="100"/>
              <w:rPr>
                <w:sz w:val="21"/>
              </w:rPr>
            </w:pPr>
            <w:r>
              <w:rPr>
                <w:rFonts w:hint="eastAsia"/>
              </w:rPr>
              <w:t>刘高云</w:t>
            </w:r>
          </w:p>
        </w:tc>
      </w:tr>
    </w:tbl>
    <w:p/>
    <w:p>
      <w:pPr>
        <w:pStyle w:val="10"/>
        <w:spacing w:before="5"/>
        <w:rPr>
          <w:b/>
          <w:sz w:val="12"/>
        </w:rPr>
      </w:pPr>
    </w:p>
    <w:p>
      <w:pPr>
        <w:pStyle w:val="9"/>
        <w:tabs>
          <w:tab w:val="left" w:pos="1049"/>
        </w:tabs>
        <w:spacing w:before="3"/>
        <w:ind w:left="9"/>
      </w:pPr>
      <w:r>
        <w:t>表</w:t>
      </w:r>
      <w:r>
        <w:rPr>
          <w:spacing w:val="-62"/>
        </w:rPr>
        <w:t xml:space="preserve"> </w:t>
      </w:r>
      <w:r>
        <w:rPr>
          <w:rFonts w:ascii="Times New Roman" w:eastAsia="Times New Roman"/>
        </w:rPr>
        <w:t>8.3-2</w:t>
      </w:r>
      <w:r>
        <w:rPr>
          <w:rFonts w:ascii="Times New Roman" w:eastAsia="Times New Roman"/>
        </w:rPr>
        <w:tab/>
      </w:r>
      <w:r>
        <w:t>需补充应急物资一览表</w:t>
      </w:r>
    </w:p>
    <w:tbl>
      <w:tblPr>
        <w:tblStyle w:val="15"/>
        <w:tblW w:w="0" w:type="auto"/>
        <w:tblInd w:w="12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815"/>
        <w:gridCol w:w="2667"/>
        <w:gridCol w:w="1014"/>
        <w:gridCol w:w="1731"/>
        <w:gridCol w:w="173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815" w:type="dxa"/>
            <w:tcBorders>
              <w:left w:val="nil"/>
              <w:right w:val="single" w:color="000000" w:sz="4" w:space="0"/>
            </w:tcBorders>
          </w:tcPr>
          <w:p>
            <w:pPr>
              <w:pStyle w:val="24"/>
              <w:spacing w:before="34"/>
              <w:ind w:left="1198" w:right="1166"/>
              <w:rPr>
                <w:b/>
                <w:sz w:val="21"/>
              </w:rPr>
            </w:pPr>
            <w:r>
              <w:rPr>
                <w:b/>
                <w:sz w:val="21"/>
              </w:rPr>
              <w:t>类别</w:t>
            </w:r>
          </w:p>
        </w:tc>
        <w:tc>
          <w:tcPr>
            <w:tcW w:w="2667" w:type="dxa"/>
            <w:tcBorders>
              <w:left w:val="single" w:color="000000" w:sz="4" w:space="0"/>
              <w:right w:val="single" w:color="000000" w:sz="4" w:space="0"/>
            </w:tcBorders>
          </w:tcPr>
          <w:p>
            <w:pPr>
              <w:pStyle w:val="24"/>
              <w:spacing w:before="34"/>
              <w:ind w:left="575" w:right="549"/>
              <w:rPr>
                <w:b/>
                <w:sz w:val="21"/>
              </w:rPr>
            </w:pPr>
            <w:r>
              <w:rPr>
                <w:b/>
                <w:sz w:val="21"/>
              </w:rPr>
              <w:t>名称</w:t>
            </w:r>
          </w:p>
        </w:tc>
        <w:tc>
          <w:tcPr>
            <w:tcW w:w="1014" w:type="dxa"/>
            <w:tcBorders>
              <w:left w:val="single" w:color="000000" w:sz="4" w:space="0"/>
              <w:right w:val="single" w:color="000000" w:sz="4" w:space="0"/>
            </w:tcBorders>
          </w:tcPr>
          <w:p>
            <w:pPr>
              <w:pStyle w:val="24"/>
              <w:spacing w:before="34"/>
              <w:ind w:right="488"/>
              <w:jc w:val="right"/>
              <w:rPr>
                <w:b/>
                <w:sz w:val="21"/>
              </w:rPr>
            </w:pPr>
            <w:r>
              <w:rPr>
                <w:b/>
                <w:w w:val="95"/>
                <w:sz w:val="21"/>
              </w:rPr>
              <w:t>数量</w:t>
            </w:r>
          </w:p>
        </w:tc>
        <w:tc>
          <w:tcPr>
            <w:tcW w:w="1731" w:type="dxa"/>
            <w:tcBorders>
              <w:left w:val="single" w:color="000000" w:sz="4" w:space="0"/>
              <w:right w:val="single" w:color="000000" w:sz="4" w:space="0"/>
            </w:tcBorders>
          </w:tcPr>
          <w:p>
            <w:pPr>
              <w:pStyle w:val="24"/>
              <w:spacing w:before="34"/>
              <w:ind w:left="328" w:right="299"/>
              <w:rPr>
                <w:b/>
                <w:sz w:val="21"/>
              </w:rPr>
            </w:pPr>
            <w:r>
              <w:rPr>
                <w:b/>
                <w:sz w:val="21"/>
              </w:rPr>
              <w:t>摆放位置</w:t>
            </w:r>
          </w:p>
        </w:tc>
        <w:tc>
          <w:tcPr>
            <w:tcW w:w="1731" w:type="dxa"/>
            <w:tcBorders>
              <w:left w:val="single" w:color="000000" w:sz="4" w:space="0"/>
              <w:right w:val="nil"/>
            </w:tcBorders>
          </w:tcPr>
          <w:p>
            <w:pPr>
              <w:pStyle w:val="24"/>
              <w:spacing w:before="34"/>
              <w:ind w:left="538" w:right="515"/>
              <w:rPr>
                <w:b/>
                <w:sz w:val="21"/>
              </w:rPr>
            </w:pPr>
            <w:r>
              <w:rPr>
                <w:b/>
                <w:sz w:val="21"/>
              </w:rPr>
              <w:t>责任人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815" w:type="dxa"/>
            <w:vMerge w:val="restart"/>
            <w:tcBorders>
              <w:left w:val="nil"/>
              <w:right w:val="single" w:color="000000" w:sz="4" w:space="0"/>
            </w:tcBorders>
          </w:tcPr>
          <w:p>
            <w:pPr>
              <w:pStyle w:val="24"/>
              <w:spacing w:before="34"/>
              <w:ind w:right="1166"/>
              <w:jc w:val="center"/>
              <w:rPr>
                <w:bCs/>
                <w:sz w:val="21"/>
              </w:rPr>
            </w:pPr>
            <w:r>
              <w:rPr>
                <w:rFonts w:hint="eastAsia"/>
                <w:bCs/>
                <w:sz w:val="21"/>
                <w:lang w:val="en-US"/>
              </w:rPr>
              <w:t xml:space="preserve">  </w:t>
            </w:r>
            <w:r>
              <w:rPr>
                <w:rFonts w:hint="eastAsia"/>
                <w:bCs/>
                <w:sz w:val="21"/>
              </w:rPr>
              <w:t>污染源切断和堵漏物资</w:t>
            </w:r>
          </w:p>
        </w:tc>
        <w:tc>
          <w:tcPr>
            <w:tcW w:w="2667" w:type="dxa"/>
            <w:tcBorders>
              <w:left w:val="single" w:color="000000" w:sz="4" w:space="0"/>
              <w:right w:val="single" w:color="000000" w:sz="4" w:space="0"/>
            </w:tcBorders>
          </w:tcPr>
          <w:p>
            <w:pPr>
              <w:pStyle w:val="24"/>
              <w:spacing w:before="34"/>
              <w:ind w:right="549"/>
              <w:jc w:val="center"/>
              <w:rPr>
                <w:bCs/>
                <w:sz w:val="21"/>
              </w:rPr>
            </w:pPr>
            <w:r>
              <w:rPr>
                <w:rFonts w:hint="eastAsia"/>
                <w:bCs/>
                <w:sz w:val="21"/>
              </w:rPr>
              <w:t>砂土、活性</w:t>
            </w:r>
            <w:r>
              <w:rPr>
                <w:rFonts w:hint="eastAsia"/>
                <w:spacing w:val="-8"/>
              </w:rPr>
              <w:t>炭</w:t>
            </w:r>
          </w:p>
        </w:tc>
        <w:tc>
          <w:tcPr>
            <w:tcW w:w="1014" w:type="dxa"/>
            <w:tcBorders>
              <w:left w:val="single" w:color="000000" w:sz="4" w:space="0"/>
              <w:right w:val="single" w:color="000000" w:sz="4" w:space="0"/>
            </w:tcBorders>
          </w:tcPr>
          <w:p>
            <w:pPr>
              <w:pStyle w:val="24"/>
              <w:spacing w:before="34"/>
              <w:ind w:right="488"/>
              <w:jc w:val="center"/>
              <w:rPr>
                <w:bCs/>
                <w:w w:val="95"/>
                <w:sz w:val="21"/>
              </w:rPr>
            </w:pPr>
            <w:r>
              <w:rPr>
                <w:rFonts w:hint="eastAsia"/>
                <w:bCs/>
                <w:w w:val="95"/>
                <w:sz w:val="21"/>
              </w:rPr>
              <w:t>若干</w:t>
            </w:r>
          </w:p>
        </w:tc>
        <w:tc>
          <w:tcPr>
            <w:tcW w:w="1731" w:type="dxa"/>
            <w:tcBorders>
              <w:left w:val="single" w:color="000000" w:sz="4" w:space="0"/>
              <w:right w:val="single" w:color="000000" w:sz="4" w:space="0"/>
            </w:tcBorders>
          </w:tcPr>
          <w:p>
            <w:pPr>
              <w:pStyle w:val="24"/>
              <w:spacing w:before="34"/>
              <w:ind w:left="328" w:right="299"/>
              <w:jc w:val="center"/>
              <w:rPr>
                <w:bCs/>
                <w:sz w:val="21"/>
              </w:rPr>
            </w:pPr>
            <w:r>
              <w:rPr>
                <w:rFonts w:hint="eastAsia"/>
                <w:bCs/>
                <w:sz w:val="21"/>
              </w:rPr>
              <w:t>油墨存放处</w:t>
            </w:r>
          </w:p>
        </w:tc>
        <w:tc>
          <w:tcPr>
            <w:tcW w:w="1731" w:type="dxa"/>
            <w:tcBorders>
              <w:left w:val="single" w:color="000000" w:sz="4" w:space="0"/>
              <w:right w:val="nil"/>
            </w:tcBorders>
          </w:tcPr>
          <w:p>
            <w:pPr>
              <w:pStyle w:val="24"/>
              <w:spacing w:before="34"/>
              <w:ind w:left="538" w:right="515"/>
              <w:jc w:val="center"/>
              <w:rPr>
                <w:bCs/>
                <w:sz w:val="21"/>
              </w:rPr>
            </w:pPr>
            <w:r>
              <w:rPr>
                <w:rFonts w:hint="eastAsia"/>
                <w:bCs/>
              </w:rPr>
              <w:t>刘高云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815" w:type="dxa"/>
            <w:vMerge w:val="continue"/>
            <w:tcBorders>
              <w:left w:val="nil"/>
              <w:right w:val="single" w:color="000000" w:sz="4" w:space="0"/>
            </w:tcBorders>
          </w:tcPr>
          <w:p>
            <w:pPr>
              <w:pStyle w:val="24"/>
              <w:spacing w:before="34"/>
              <w:ind w:left="1198" w:right="1166"/>
              <w:jc w:val="center"/>
              <w:rPr>
                <w:bCs/>
                <w:sz w:val="21"/>
              </w:rPr>
            </w:pPr>
          </w:p>
        </w:tc>
        <w:tc>
          <w:tcPr>
            <w:tcW w:w="2667" w:type="dxa"/>
            <w:tcBorders>
              <w:left w:val="single" w:color="000000" w:sz="4" w:space="0"/>
              <w:right w:val="single" w:color="000000" w:sz="4" w:space="0"/>
            </w:tcBorders>
          </w:tcPr>
          <w:p>
            <w:pPr>
              <w:pStyle w:val="24"/>
              <w:spacing w:before="34"/>
              <w:ind w:right="549"/>
              <w:jc w:val="center"/>
              <w:rPr>
                <w:bCs/>
                <w:sz w:val="21"/>
              </w:rPr>
            </w:pPr>
            <w:r>
              <w:rPr>
                <w:rFonts w:hint="eastAsia"/>
                <w:bCs/>
                <w:sz w:val="21"/>
              </w:rPr>
              <w:t>防漏托盘</w:t>
            </w:r>
          </w:p>
        </w:tc>
        <w:tc>
          <w:tcPr>
            <w:tcW w:w="1014" w:type="dxa"/>
            <w:tcBorders>
              <w:left w:val="single" w:color="000000" w:sz="4" w:space="0"/>
              <w:right w:val="single" w:color="000000" w:sz="4" w:space="0"/>
            </w:tcBorders>
          </w:tcPr>
          <w:p>
            <w:pPr>
              <w:pStyle w:val="24"/>
              <w:spacing w:before="34"/>
              <w:ind w:right="488"/>
              <w:jc w:val="center"/>
              <w:rPr>
                <w:bCs/>
                <w:w w:val="95"/>
                <w:sz w:val="21"/>
              </w:rPr>
            </w:pPr>
            <w:r>
              <w:rPr>
                <w:rFonts w:hint="eastAsia"/>
                <w:bCs/>
                <w:w w:val="95"/>
                <w:sz w:val="21"/>
              </w:rPr>
              <w:t>若干</w:t>
            </w:r>
          </w:p>
        </w:tc>
        <w:tc>
          <w:tcPr>
            <w:tcW w:w="1731" w:type="dxa"/>
            <w:tcBorders>
              <w:left w:val="single" w:color="000000" w:sz="4" w:space="0"/>
              <w:right w:val="single" w:color="000000" w:sz="4" w:space="0"/>
            </w:tcBorders>
          </w:tcPr>
          <w:p>
            <w:pPr>
              <w:pStyle w:val="24"/>
              <w:spacing w:before="34"/>
              <w:ind w:left="328" w:right="299"/>
              <w:jc w:val="center"/>
              <w:rPr>
                <w:bCs/>
                <w:sz w:val="21"/>
              </w:rPr>
            </w:pPr>
            <w:r>
              <w:rPr>
                <w:rFonts w:hint="eastAsia"/>
                <w:bCs/>
                <w:sz w:val="21"/>
              </w:rPr>
              <w:t>油墨存放处</w:t>
            </w:r>
          </w:p>
        </w:tc>
        <w:tc>
          <w:tcPr>
            <w:tcW w:w="1731" w:type="dxa"/>
            <w:tcBorders>
              <w:left w:val="single" w:color="000000" w:sz="4" w:space="0"/>
              <w:right w:val="nil"/>
            </w:tcBorders>
          </w:tcPr>
          <w:p>
            <w:pPr>
              <w:pStyle w:val="24"/>
              <w:spacing w:before="34"/>
              <w:ind w:left="538" w:right="515"/>
              <w:jc w:val="center"/>
              <w:rPr>
                <w:bCs/>
                <w:sz w:val="21"/>
              </w:rPr>
            </w:pPr>
            <w:r>
              <w:rPr>
                <w:rFonts w:hint="eastAsia"/>
                <w:bCs/>
              </w:rPr>
              <w:t>刘高云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815" w:type="dxa"/>
            <w:vMerge w:val="restart"/>
            <w:tcBorders>
              <w:left w:val="nil"/>
              <w:right w:val="single" w:color="000000" w:sz="4" w:space="0"/>
            </w:tcBorders>
          </w:tcPr>
          <w:p>
            <w:pPr>
              <w:pStyle w:val="24"/>
              <w:spacing w:before="34"/>
              <w:ind w:right="1166" w:firstLine="840" w:firstLineChars="400"/>
              <w:jc w:val="both"/>
              <w:rPr>
                <w:bCs/>
                <w:sz w:val="21"/>
              </w:rPr>
            </w:pPr>
          </w:p>
          <w:p>
            <w:pPr>
              <w:pStyle w:val="24"/>
              <w:spacing w:before="34"/>
              <w:ind w:right="1166" w:firstLine="210" w:firstLineChars="100"/>
              <w:jc w:val="both"/>
              <w:rPr>
                <w:bCs/>
                <w:sz w:val="21"/>
              </w:rPr>
            </w:pPr>
            <w:r>
              <w:rPr>
                <w:bCs/>
                <w:sz w:val="21"/>
              </w:rPr>
              <w:t>医疗个护</w:t>
            </w:r>
          </w:p>
        </w:tc>
        <w:tc>
          <w:tcPr>
            <w:tcW w:w="2667" w:type="dxa"/>
            <w:tcBorders>
              <w:left w:val="single" w:color="000000" w:sz="4" w:space="0"/>
              <w:right w:val="single" w:color="000000" w:sz="4" w:space="0"/>
            </w:tcBorders>
          </w:tcPr>
          <w:p>
            <w:pPr>
              <w:pStyle w:val="24"/>
              <w:spacing w:before="34"/>
              <w:ind w:left="575" w:right="549"/>
              <w:jc w:val="center"/>
              <w:rPr>
                <w:bCs/>
                <w:sz w:val="21"/>
              </w:rPr>
            </w:pPr>
            <w:r>
              <w:rPr>
                <w:rFonts w:hint="eastAsia"/>
                <w:bCs/>
                <w:sz w:val="21"/>
              </w:rPr>
              <w:t>口罩</w:t>
            </w:r>
          </w:p>
        </w:tc>
        <w:tc>
          <w:tcPr>
            <w:tcW w:w="1014" w:type="dxa"/>
            <w:tcBorders>
              <w:left w:val="single" w:color="000000" w:sz="4" w:space="0"/>
              <w:right w:val="single" w:color="000000" w:sz="4" w:space="0"/>
            </w:tcBorders>
          </w:tcPr>
          <w:p>
            <w:pPr>
              <w:pStyle w:val="24"/>
              <w:spacing w:before="34"/>
              <w:ind w:right="488"/>
              <w:jc w:val="center"/>
              <w:rPr>
                <w:bCs/>
                <w:w w:val="95"/>
                <w:sz w:val="21"/>
              </w:rPr>
            </w:pPr>
            <w:r>
              <w:rPr>
                <w:rFonts w:hint="eastAsia"/>
                <w:bCs/>
                <w:w w:val="95"/>
                <w:sz w:val="21"/>
              </w:rPr>
              <w:t>若干</w:t>
            </w:r>
          </w:p>
        </w:tc>
        <w:tc>
          <w:tcPr>
            <w:tcW w:w="1731" w:type="dxa"/>
            <w:tcBorders>
              <w:left w:val="single" w:color="000000" w:sz="4" w:space="0"/>
              <w:right w:val="single" w:color="000000" w:sz="4" w:space="0"/>
            </w:tcBorders>
          </w:tcPr>
          <w:p>
            <w:pPr>
              <w:spacing w:before="34"/>
              <w:jc w:val="center"/>
              <w:rPr>
                <w:bCs/>
                <w:sz w:val="21"/>
              </w:rPr>
            </w:pPr>
            <w:r>
              <w:rPr>
                <w:rFonts w:hint="eastAsia"/>
                <w:bCs/>
              </w:rPr>
              <w:t>仓库</w:t>
            </w:r>
          </w:p>
        </w:tc>
        <w:tc>
          <w:tcPr>
            <w:tcW w:w="1731" w:type="dxa"/>
            <w:tcBorders>
              <w:left w:val="single" w:color="000000" w:sz="4" w:space="0"/>
              <w:right w:val="nil"/>
            </w:tcBorders>
          </w:tcPr>
          <w:p>
            <w:pPr>
              <w:spacing w:before="34"/>
              <w:jc w:val="center"/>
              <w:rPr>
                <w:bCs/>
                <w:sz w:val="21"/>
              </w:rPr>
            </w:pPr>
            <w:r>
              <w:rPr>
                <w:rFonts w:hint="eastAsia"/>
                <w:bCs/>
              </w:rPr>
              <w:t>刘高云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815" w:type="dxa"/>
            <w:vMerge w:val="continue"/>
            <w:tcBorders>
              <w:left w:val="nil"/>
              <w:right w:val="single" w:color="000000" w:sz="4" w:space="0"/>
            </w:tcBorders>
          </w:tcPr>
          <w:p>
            <w:pPr>
              <w:pStyle w:val="24"/>
              <w:spacing w:before="34"/>
              <w:ind w:left="1198" w:right="1166"/>
              <w:jc w:val="center"/>
              <w:rPr>
                <w:bCs/>
                <w:sz w:val="21"/>
              </w:rPr>
            </w:pPr>
          </w:p>
        </w:tc>
        <w:tc>
          <w:tcPr>
            <w:tcW w:w="2667" w:type="dxa"/>
            <w:tcBorders>
              <w:left w:val="single" w:color="000000" w:sz="4" w:space="0"/>
              <w:right w:val="single" w:color="000000" w:sz="4" w:space="0"/>
            </w:tcBorders>
          </w:tcPr>
          <w:p>
            <w:pPr>
              <w:pStyle w:val="24"/>
              <w:spacing w:before="34"/>
              <w:ind w:left="575" w:right="549"/>
              <w:jc w:val="center"/>
              <w:rPr>
                <w:bCs/>
                <w:sz w:val="21"/>
              </w:rPr>
            </w:pPr>
            <w:r>
              <w:rPr>
                <w:rFonts w:hint="eastAsia"/>
                <w:bCs/>
                <w:sz w:val="21"/>
              </w:rPr>
              <w:t>防护眼睛</w:t>
            </w:r>
          </w:p>
        </w:tc>
        <w:tc>
          <w:tcPr>
            <w:tcW w:w="1014" w:type="dxa"/>
            <w:tcBorders>
              <w:left w:val="single" w:color="000000" w:sz="4" w:space="0"/>
              <w:right w:val="single" w:color="000000" w:sz="4" w:space="0"/>
            </w:tcBorders>
          </w:tcPr>
          <w:p>
            <w:pPr>
              <w:pStyle w:val="24"/>
              <w:spacing w:before="34"/>
              <w:ind w:right="488"/>
              <w:jc w:val="center"/>
              <w:rPr>
                <w:bCs/>
                <w:w w:val="95"/>
                <w:sz w:val="21"/>
              </w:rPr>
            </w:pPr>
            <w:r>
              <w:rPr>
                <w:rFonts w:hint="eastAsia"/>
                <w:bCs/>
                <w:w w:val="95"/>
                <w:sz w:val="21"/>
              </w:rPr>
              <w:t>若干</w:t>
            </w:r>
          </w:p>
        </w:tc>
        <w:tc>
          <w:tcPr>
            <w:tcW w:w="1731" w:type="dxa"/>
            <w:tcBorders>
              <w:left w:val="single" w:color="000000" w:sz="4" w:space="0"/>
              <w:right w:val="single" w:color="000000" w:sz="4" w:space="0"/>
            </w:tcBorders>
          </w:tcPr>
          <w:p>
            <w:pPr>
              <w:spacing w:before="34"/>
              <w:jc w:val="center"/>
              <w:rPr>
                <w:bCs/>
                <w:sz w:val="21"/>
              </w:rPr>
            </w:pPr>
            <w:r>
              <w:rPr>
                <w:rFonts w:hint="eastAsia"/>
                <w:bCs/>
              </w:rPr>
              <w:t>仓库</w:t>
            </w:r>
          </w:p>
        </w:tc>
        <w:tc>
          <w:tcPr>
            <w:tcW w:w="1731" w:type="dxa"/>
            <w:tcBorders>
              <w:left w:val="single" w:color="000000" w:sz="4" w:space="0"/>
              <w:right w:val="nil"/>
            </w:tcBorders>
          </w:tcPr>
          <w:p>
            <w:pPr>
              <w:spacing w:before="34"/>
              <w:jc w:val="center"/>
              <w:rPr>
                <w:bCs/>
                <w:sz w:val="21"/>
              </w:rPr>
            </w:pPr>
            <w:r>
              <w:rPr>
                <w:rFonts w:hint="eastAsia"/>
                <w:bCs/>
              </w:rPr>
              <w:t>刘高云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815" w:type="dxa"/>
            <w:vMerge w:val="restart"/>
            <w:tcBorders>
              <w:left w:val="nil"/>
              <w:right w:val="single" w:color="000000" w:sz="4" w:space="0"/>
            </w:tcBorders>
          </w:tcPr>
          <w:p>
            <w:pPr>
              <w:pStyle w:val="24"/>
              <w:spacing w:before="34"/>
              <w:ind w:right="1166"/>
              <w:jc w:val="center"/>
              <w:rPr>
                <w:bCs/>
                <w:sz w:val="21"/>
              </w:rPr>
            </w:pPr>
            <w:r>
              <w:rPr>
                <w:rFonts w:hint="eastAsia"/>
                <w:bCs/>
                <w:sz w:val="21"/>
              </w:rPr>
              <w:t>警戒疏散类</w:t>
            </w:r>
          </w:p>
        </w:tc>
        <w:tc>
          <w:tcPr>
            <w:tcW w:w="2667" w:type="dxa"/>
            <w:tcBorders>
              <w:left w:val="single" w:color="000000" w:sz="4" w:space="0"/>
              <w:right w:val="single" w:color="000000" w:sz="4" w:space="0"/>
            </w:tcBorders>
          </w:tcPr>
          <w:p>
            <w:pPr>
              <w:pStyle w:val="24"/>
              <w:spacing w:before="34"/>
              <w:ind w:left="575" w:right="549"/>
              <w:jc w:val="center"/>
              <w:rPr>
                <w:bCs/>
                <w:sz w:val="21"/>
              </w:rPr>
            </w:pPr>
            <w:r>
              <w:rPr>
                <w:rFonts w:hint="eastAsia"/>
                <w:bCs/>
                <w:sz w:val="21"/>
              </w:rPr>
              <w:t>警戒桩</w:t>
            </w:r>
          </w:p>
        </w:tc>
        <w:tc>
          <w:tcPr>
            <w:tcW w:w="1014" w:type="dxa"/>
            <w:tcBorders>
              <w:left w:val="single" w:color="000000" w:sz="4" w:space="0"/>
              <w:right w:val="single" w:color="000000" w:sz="4" w:space="0"/>
            </w:tcBorders>
          </w:tcPr>
          <w:p>
            <w:pPr>
              <w:pStyle w:val="24"/>
              <w:spacing w:before="34"/>
              <w:ind w:right="488"/>
              <w:jc w:val="center"/>
              <w:rPr>
                <w:bCs/>
                <w:w w:val="95"/>
                <w:sz w:val="21"/>
              </w:rPr>
            </w:pPr>
            <w:r>
              <w:rPr>
                <w:rFonts w:hint="eastAsia"/>
                <w:bCs/>
                <w:w w:val="95"/>
                <w:sz w:val="21"/>
              </w:rPr>
              <w:t>若干</w:t>
            </w:r>
          </w:p>
        </w:tc>
        <w:tc>
          <w:tcPr>
            <w:tcW w:w="1731" w:type="dxa"/>
            <w:tcBorders>
              <w:left w:val="single" w:color="000000" w:sz="4" w:space="0"/>
              <w:right w:val="single" w:color="000000" w:sz="4" w:space="0"/>
            </w:tcBorders>
          </w:tcPr>
          <w:p>
            <w:pPr>
              <w:spacing w:before="34"/>
              <w:jc w:val="center"/>
              <w:rPr>
                <w:bCs/>
                <w:sz w:val="21"/>
              </w:rPr>
            </w:pPr>
            <w:r>
              <w:rPr>
                <w:rFonts w:hint="eastAsia"/>
                <w:bCs/>
              </w:rPr>
              <w:t>仓库</w:t>
            </w:r>
          </w:p>
        </w:tc>
        <w:tc>
          <w:tcPr>
            <w:tcW w:w="1731" w:type="dxa"/>
            <w:tcBorders>
              <w:left w:val="single" w:color="000000" w:sz="4" w:space="0"/>
              <w:right w:val="nil"/>
            </w:tcBorders>
          </w:tcPr>
          <w:p>
            <w:pPr>
              <w:spacing w:before="34"/>
              <w:jc w:val="center"/>
              <w:rPr>
                <w:bCs/>
                <w:sz w:val="21"/>
              </w:rPr>
            </w:pPr>
            <w:r>
              <w:rPr>
                <w:rFonts w:hint="eastAsia"/>
                <w:bCs/>
              </w:rPr>
              <w:t>刘高云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815" w:type="dxa"/>
            <w:vMerge w:val="continue"/>
            <w:tcBorders>
              <w:left w:val="nil"/>
              <w:bottom w:val="single" w:color="000000" w:sz="4" w:space="0"/>
              <w:right w:val="single" w:color="000000" w:sz="4" w:space="0"/>
            </w:tcBorders>
          </w:tcPr>
          <w:p>
            <w:pPr>
              <w:pStyle w:val="24"/>
              <w:spacing w:before="34"/>
              <w:ind w:left="1198" w:right="1166"/>
              <w:jc w:val="center"/>
              <w:rPr>
                <w:bCs/>
                <w:sz w:val="21"/>
              </w:rPr>
            </w:pPr>
          </w:p>
        </w:tc>
        <w:tc>
          <w:tcPr>
            <w:tcW w:w="2667" w:type="dxa"/>
            <w:tcBorders>
              <w:left w:val="single" w:color="000000" w:sz="4" w:space="0"/>
              <w:bottom w:val="single" w:color="000000" w:sz="4" w:space="0"/>
              <w:right w:val="single" w:color="000000" w:sz="4" w:space="0"/>
            </w:tcBorders>
          </w:tcPr>
          <w:p>
            <w:pPr>
              <w:pStyle w:val="24"/>
              <w:spacing w:before="34"/>
              <w:ind w:left="575" w:right="549"/>
              <w:jc w:val="center"/>
              <w:rPr>
                <w:bCs/>
                <w:sz w:val="21"/>
              </w:rPr>
            </w:pPr>
            <w:r>
              <w:rPr>
                <w:rFonts w:hint="eastAsia"/>
                <w:bCs/>
                <w:sz w:val="21"/>
              </w:rPr>
              <w:t>扩音喇叭</w:t>
            </w:r>
          </w:p>
        </w:tc>
        <w:tc>
          <w:tcPr>
            <w:tcW w:w="1014" w:type="dxa"/>
            <w:tcBorders>
              <w:left w:val="single" w:color="000000" w:sz="4" w:space="0"/>
              <w:bottom w:val="single" w:color="000000" w:sz="4" w:space="0"/>
              <w:right w:val="single" w:color="000000" w:sz="4" w:space="0"/>
            </w:tcBorders>
          </w:tcPr>
          <w:p>
            <w:pPr>
              <w:pStyle w:val="24"/>
              <w:spacing w:before="34"/>
              <w:ind w:right="488"/>
              <w:jc w:val="center"/>
              <w:rPr>
                <w:bCs/>
                <w:w w:val="95"/>
                <w:sz w:val="21"/>
              </w:rPr>
            </w:pPr>
            <w:r>
              <w:rPr>
                <w:rFonts w:hint="eastAsia"/>
                <w:bCs/>
                <w:w w:val="95"/>
                <w:sz w:val="21"/>
              </w:rPr>
              <w:t>1 个</w:t>
            </w:r>
          </w:p>
        </w:tc>
        <w:tc>
          <w:tcPr>
            <w:tcW w:w="1731" w:type="dxa"/>
            <w:tcBorders>
              <w:left w:val="single" w:color="000000" w:sz="4" w:space="0"/>
              <w:bottom w:val="single" w:color="000000" w:sz="4" w:space="0"/>
              <w:right w:val="single" w:color="000000" w:sz="4" w:space="0"/>
            </w:tcBorders>
          </w:tcPr>
          <w:p>
            <w:pPr>
              <w:spacing w:before="34"/>
              <w:jc w:val="center"/>
              <w:rPr>
                <w:bCs/>
                <w:sz w:val="21"/>
              </w:rPr>
            </w:pPr>
            <w:r>
              <w:rPr>
                <w:rFonts w:hint="eastAsia"/>
                <w:bCs/>
              </w:rPr>
              <w:t>仓库</w:t>
            </w:r>
          </w:p>
        </w:tc>
        <w:tc>
          <w:tcPr>
            <w:tcW w:w="1731" w:type="dxa"/>
            <w:tcBorders>
              <w:left w:val="single" w:color="000000" w:sz="4" w:space="0"/>
              <w:bottom w:val="single" w:color="000000" w:sz="4" w:space="0"/>
              <w:right w:val="nil"/>
            </w:tcBorders>
          </w:tcPr>
          <w:p>
            <w:pPr>
              <w:spacing w:before="34"/>
              <w:jc w:val="center"/>
              <w:rPr>
                <w:bCs/>
                <w:sz w:val="21"/>
              </w:rPr>
            </w:pPr>
            <w:r>
              <w:rPr>
                <w:rFonts w:hint="eastAsia"/>
                <w:bCs/>
              </w:rPr>
              <w:t>刘高云</w:t>
            </w:r>
          </w:p>
        </w:tc>
      </w:tr>
    </w:tbl>
    <w:p/>
    <w:p>
      <w:pPr>
        <w:pStyle w:val="10"/>
        <w:spacing w:before="3" w:after="1"/>
        <w:rPr>
          <w:b/>
          <w:sz w:val="12"/>
        </w:rPr>
      </w:pPr>
    </w:p>
    <w:p>
      <w:pPr>
        <w:pStyle w:val="6"/>
        <w:numPr>
          <w:ilvl w:val="1"/>
          <w:numId w:val="6"/>
        </w:numPr>
        <w:tabs>
          <w:tab w:val="left" w:pos="766"/>
        </w:tabs>
        <w:spacing w:before="161"/>
      </w:pPr>
      <w:bookmarkStart w:id="203" w:name="_bookmark101"/>
      <w:bookmarkEnd w:id="203"/>
      <w:bookmarkStart w:id="204" w:name="8.4_通信保障_"/>
      <w:bookmarkEnd w:id="204"/>
      <w:r>
        <w:t>通信保障</w:t>
      </w:r>
    </w:p>
    <w:p>
      <w:pPr>
        <w:pStyle w:val="10"/>
        <w:rPr>
          <w:b/>
          <w:sz w:val="28"/>
        </w:rPr>
      </w:pPr>
    </w:p>
    <w:p>
      <w:pPr>
        <w:pStyle w:val="10"/>
        <w:spacing w:before="1" w:line="362" w:lineRule="auto"/>
        <w:ind w:left="720" w:right="145"/>
      </w:pPr>
      <w:r>
        <w:t>当企业发生重大火灾事故需要救援时，立即通过火灾报警电话与消防支队联系请求支援。是否需要请求政府协调应急救援力量由本企业现场值班成员根据事故情况决定。值班成员</w:t>
      </w:r>
    </w:p>
    <w:p>
      <w:pPr>
        <w:pStyle w:val="10"/>
        <w:spacing w:before="2" w:line="364" w:lineRule="auto"/>
        <w:ind w:left="240" w:right="241"/>
        <w:jc w:val="both"/>
      </w:pPr>
      <w:r>
        <w:rPr>
          <w:spacing w:val="-5"/>
        </w:rPr>
        <w:t xml:space="preserve">及应急办公室主任、总指挥 </w:t>
      </w:r>
      <w:r>
        <w:rPr>
          <w:rFonts w:ascii="Times New Roman" w:eastAsia="Times New Roman"/>
        </w:rPr>
        <w:t xml:space="preserve">24 </w:t>
      </w:r>
      <w:r>
        <w:rPr>
          <w:spacing w:val="-1"/>
        </w:rPr>
        <w:t>小时开通个人手机，配备必要的有线、无线通信器材，节假日</w:t>
      </w:r>
      <w:r>
        <w:rPr>
          <w:spacing w:val="-9"/>
        </w:rPr>
        <w:t>安排人员值班。要充分发挥信息网络系统的作用，确保应急时能够统一调动有关人员、物资迅</w:t>
      </w:r>
      <w:r>
        <w:t>速到位。</w:t>
      </w:r>
    </w:p>
    <w:p>
      <w:pPr>
        <w:pStyle w:val="6"/>
        <w:numPr>
          <w:ilvl w:val="1"/>
          <w:numId w:val="6"/>
        </w:numPr>
        <w:tabs>
          <w:tab w:val="left" w:pos="766"/>
        </w:tabs>
        <w:spacing w:before="160"/>
      </w:pPr>
      <w:bookmarkStart w:id="205" w:name="8.5_基本生活保障"/>
      <w:bookmarkEnd w:id="205"/>
      <w:bookmarkStart w:id="206" w:name="_bookmark102"/>
      <w:bookmarkEnd w:id="206"/>
      <w:r>
        <w:t>基本生活保障</w:t>
      </w:r>
    </w:p>
    <w:p>
      <w:pPr>
        <w:sectPr>
          <w:pgSz w:w="11910" w:h="16840"/>
          <w:pgMar w:top="1360" w:right="839" w:bottom="1180" w:left="840" w:header="882" w:footer="993" w:gutter="0"/>
          <w:cols w:space="720" w:num="1"/>
        </w:sectPr>
      </w:pPr>
    </w:p>
    <w:p>
      <w:pPr>
        <w:pStyle w:val="10"/>
        <w:spacing w:before="64"/>
        <w:ind w:left="720"/>
      </w:pPr>
      <w:r>
        <w:t>企业应会同地方政府部门做好受灾员工和公众的基本生活保障工作。</w:t>
      </w:r>
    </w:p>
    <w:p>
      <w:pPr>
        <w:pStyle w:val="10"/>
        <w:spacing w:before="11"/>
      </w:pPr>
    </w:p>
    <w:p>
      <w:pPr>
        <w:pStyle w:val="6"/>
        <w:numPr>
          <w:ilvl w:val="1"/>
          <w:numId w:val="6"/>
        </w:numPr>
        <w:tabs>
          <w:tab w:val="left" w:pos="766"/>
        </w:tabs>
      </w:pPr>
      <w:bookmarkStart w:id="207" w:name="8.6_人员防护"/>
      <w:bookmarkEnd w:id="207"/>
      <w:bookmarkStart w:id="208" w:name="_bookmark103"/>
      <w:bookmarkEnd w:id="208"/>
      <w:r>
        <w:t>人员防护</w:t>
      </w:r>
    </w:p>
    <w:p>
      <w:pPr>
        <w:pStyle w:val="10"/>
        <w:spacing w:before="11"/>
        <w:rPr>
          <w:b/>
          <w:sz w:val="27"/>
        </w:rPr>
      </w:pPr>
    </w:p>
    <w:p>
      <w:pPr>
        <w:pStyle w:val="10"/>
        <w:spacing w:line="364" w:lineRule="auto"/>
        <w:ind w:left="240" w:right="241" w:firstLine="480"/>
        <w:jc w:val="both"/>
      </w:pPr>
      <w:r>
        <w:t>企业要配备符合救援要求的人员安全职业防护装备，严格按照救援程序开展应急救援工</w:t>
      </w:r>
      <w:r>
        <w:rPr>
          <w:spacing w:val="-11"/>
        </w:rPr>
        <w:t>作，确保人员安全。按照国家法律法规、标准、规范的要求在生产区域内建立紧急疏散地或应</w:t>
      </w:r>
      <w:r>
        <w:t>急避难场所。</w:t>
      </w:r>
    </w:p>
    <w:p>
      <w:pPr>
        <w:pStyle w:val="6"/>
        <w:numPr>
          <w:ilvl w:val="1"/>
          <w:numId w:val="6"/>
        </w:numPr>
        <w:tabs>
          <w:tab w:val="left" w:pos="766"/>
        </w:tabs>
        <w:spacing w:before="160"/>
      </w:pPr>
      <w:bookmarkStart w:id="209" w:name="_bookmark104"/>
      <w:bookmarkEnd w:id="209"/>
      <w:bookmarkStart w:id="210" w:name="8.7_医疗急救保障"/>
      <w:bookmarkEnd w:id="210"/>
      <w:r>
        <w:t>医疗急救保障</w:t>
      </w:r>
    </w:p>
    <w:p>
      <w:pPr>
        <w:pStyle w:val="10"/>
        <w:spacing w:before="12"/>
        <w:rPr>
          <w:b/>
          <w:sz w:val="27"/>
        </w:rPr>
      </w:pPr>
    </w:p>
    <w:p>
      <w:pPr>
        <w:pStyle w:val="10"/>
        <w:spacing w:line="362" w:lineRule="auto"/>
        <w:ind w:left="240" w:right="241" w:firstLine="480"/>
      </w:pPr>
      <w:r>
        <w:rPr>
          <w:spacing w:val="-6"/>
        </w:rPr>
        <w:t>医疗后勤组落实厂区专用药品和器材。每月对公司员工进行急救培训及演练。应急处置中</w:t>
      </w:r>
      <w:r>
        <w:t>积极协调相关医疗部门，组织医疗救护队伍实施现场医疗救护。</w:t>
      </w:r>
    </w:p>
    <w:p>
      <w:pPr>
        <w:pStyle w:val="6"/>
        <w:numPr>
          <w:ilvl w:val="1"/>
          <w:numId w:val="6"/>
        </w:numPr>
        <w:tabs>
          <w:tab w:val="left" w:pos="766"/>
        </w:tabs>
        <w:spacing w:before="163"/>
      </w:pPr>
      <w:bookmarkStart w:id="211" w:name="_bookmark105"/>
      <w:bookmarkEnd w:id="211"/>
      <w:bookmarkStart w:id="212" w:name="8.8_交通运输保障"/>
      <w:bookmarkEnd w:id="212"/>
      <w:r>
        <w:t>交通运输保障</w:t>
      </w:r>
    </w:p>
    <w:p>
      <w:pPr>
        <w:pStyle w:val="10"/>
        <w:spacing w:before="1"/>
        <w:rPr>
          <w:b/>
          <w:sz w:val="28"/>
        </w:rPr>
      </w:pPr>
    </w:p>
    <w:p>
      <w:pPr>
        <w:pStyle w:val="10"/>
        <w:spacing w:line="362" w:lineRule="auto"/>
        <w:ind w:left="240" w:right="241" w:firstLine="480"/>
      </w:pPr>
      <w:r>
        <w:rPr>
          <w:spacing w:val="-8"/>
        </w:rPr>
        <w:t>企业一旦发生突发事件，疏散救援组应配合上级管理部门，对现场和相关通道实行交通管</w:t>
      </w:r>
      <w:r>
        <w:t>制，组织开通应急救援</w:t>
      </w:r>
      <w:r>
        <w:rPr>
          <w:rFonts w:ascii="Times New Roman" w:hAnsi="Times New Roman" w:eastAsia="Times New Roman"/>
        </w:rPr>
        <w:t>“</w:t>
      </w:r>
      <w:r>
        <w:t>绿色通道</w:t>
      </w:r>
      <w:r>
        <w:rPr>
          <w:rFonts w:ascii="Times New Roman" w:hAnsi="Times New Roman" w:eastAsia="Times New Roman"/>
        </w:rPr>
        <w:t>”</w:t>
      </w:r>
      <w:r>
        <w:t>，确保救灾物资、器材和人员的紧急输送。</w:t>
      </w:r>
    </w:p>
    <w:p>
      <w:pPr>
        <w:pStyle w:val="6"/>
        <w:numPr>
          <w:ilvl w:val="1"/>
          <w:numId w:val="6"/>
        </w:numPr>
        <w:tabs>
          <w:tab w:val="left" w:pos="766"/>
        </w:tabs>
        <w:spacing w:before="163"/>
      </w:pPr>
      <w:bookmarkStart w:id="213" w:name="8.9_治安维护"/>
      <w:bookmarkEnd w:id="213"/>
      <w:bookmarkStart w:id="214" w:name="_bookmark106"/>
      <w:bookmarkEnd w:id="214"/>
      <w:r>
        <w:t>治安维护</w:t>
      </w:r>
    </w:p>
    <w:p>
      <w:pPr>
        <w:pStyle w:val="10"/>
        <w:spacing w:before="11"/>
        <w:rPr>
          <w:b/>
          <w:sz w:val="27"/>
        </w:rPr>
      </w:pPr>
    </w:p>
    <w:p>
      <w:pPr>
        <w:pStyle w:val="10"/>
        <w:spacing w:before="1" w:line="364" w:lineRule="auto"/>
        <w:ind w:left="240" w:right="121" w:firstLine="480"/>
      </w:pPr>
      <w:r>
        <w:rPr>
          <w:spacing w:val="-9"/>
        </w:rPr>
        <w:t>值班成员、疏散救援组在公安部门到来之前，要组织事故现场治安警戒和治安管理，加强</w:t>
      </w:r>
      <w:r>
        <w:rPr>
          <w:spacing w:val="-17"/>
        </w:rPr>
        <w:t xml:space="preserve">对重点地区、重点场所、重点人群、重要物资设备的防范保护，维持现场秩序，及时疏散群众； </w:t>
      </w:r>
      <w:r>
        <w:t>协助公安部门实施治安保卫工作。</w:t>
      </w:r>
    </w:p>
    <w:p>
      <w:pPr>
        <w:pStyle w:val="6"/>
        <w:numPr>
          <w:ilvl w:val="1"/>
          <w:numId w:val="6"/>
        </w:numPr>
        <w:tabs>
          <w:tab w:val="left" w:pos="915"/>
        </w:tabs>
        <w:spacing w:before="160"/>
        <w:ind w:left="914" w:hanging="675"/>
      </w:pPr>
      <w:bookmarkStart w:id="215" w:name="_bookmark107"/>
      <w:bookmarkEnd w:id="215"/>
      <w:bookmarkStart w:id="216" w:name="8.10_与周边单位及县级别应急预案关系"/>
      <w:bookmarkEnd w:id="216"/>
      <w:r>
        <w:t>与周边单位及县级别应急预案关系</w:t>
      </w:r>
    </w:p>
    <w:p>
      <w:pPr>
        <w:pStyle w:val="10"/>
        <w:spacing w:before="8"/>
        <w:rPr>
          <w:b/>
          <w:sz w:val="27"/>
        </w:rPr>
      </w:pPr>
    </w:p>
    <w:p>
      <w:pPr>
        <w:pStyle w:val="10"/>
        <w:spacing w:before="1" w:line="364" w:lineRule="auto"/>
        <w:ind w:left="240" w:right="145" w:firstLine="480"/>
      </w:pPr>
      <w:r>
        <w:rPr>
          <w:spacing w:val="-1"/>
        </w:rPr>
        <w:t xml:space="preserve">上述应急措施应与周边单位及赤壁市的应急预案紧密的联系起来。一旦发生重大的事件， </w:t>
      </w:r>
      <w:r>
        <w:rPr>
          <w:spacing w:val="-6"/>
        </w:rPr>
        <w:t>应立即启动本企业的应急预案，并在第一时间向赤壁市政府报告，并向可能受影响的周边企业</w:t>
      </w:r>
      <w:r>
        <w:rPr>
          <w:spacing w:val="-7"/>
        </w:rPr>
        <w:t xml:space="preserve">和居民通报。在赤壁市应急预案启动之后，为赤壁市应急预案指挥部门提供信息和现场资源， </w:t>
      </w:r>
      <w:r>
        <w:rPr>
          <w:spacing w:val="-6"/>
        </w:rPr>
        <w:t>并在赤壁市应急指挥部门布置下，统一进行事件处理。根据不同的情况启动应急预案，以确保项目的环境风险降到最低。</w:t>
      </w:r>
    </w:p>
    <w:p>
      <w:pPr>
        <w:pStyle w:val="10"/>
        <w:spacing w:line="306" w:lineRule="exact"/>
        <w:ind w:left="720"/>
      </w:pPr>
      <w:r>
        <w:t>报告和通报的信息内容如下：</w:t>
      </w:r>
    </w:p>
    <w:p>
      <w:pPr>
        <w:pStyle w:val="23"/>
        <w:numPr>
          <w:ilvl w:val="0"/>
          <w:numId w:val="66"/>
        </w:numPr>
        <w:tabs>
          <w:tab w:val="left" w:pos="1321"/>
        </w:tabs>
        <w:spacing w:before="158"/>
        <w:rPr>
          <w:sz w:val="24"/>
        </w:rPr>
      </w:pPr>
      <w:r>
        <w:rPr>
          <w:sz w:val="24"/>
        </w:rPr>
        <w:t>将要发生或已发生事件或泄漏的危险目标名称；</w:t>
      </w:r>
    </w:p>
    <w:p>
      <w:pPr>
        <w:pStyle w:val="23"/>
        <w:numPr>
          <w:ilvl w:val="0"/>
          <w:numId w:val="66"/>
        </w:numPr>
        <w:tabs>
          <w:tab w:val="left" w:pos="1321"/>
        </w:tabs>
        <w:spacing w:before="160"/>
        <w:rPr>
          <w:sz w:val="24"/>
        </w:rPr>
      </w:pPr>
      <w:r>
        <w:rPr>
          <w:sz w:val="24"/>
        </w:rPr>
        <w:t>通报人的姓名和电话号码；</w:t>
      </w:r>
    </w:p>
    <w:p>
      <w:pPr>
        <w:pStyle w:val="23"/>
        <w:numPr>
          <w:ilvl w:val="0"/>
          <w:numId w:val="66"/>
        </w:numPr>
        <w:tabs>
          <w:tab w:val="left" w:pos="1321"/>
        </w:tabs>
        <w:spacing w:before="161"/>
        <w:rPr>
          <w:sz w:val="24"/>
        </w:rPr>
      </w:pPr>
      <w:r>
        <w:rPr>
          <w:sz w:val="24"/>
        </w:rPr>
        <w:t>事件危险物质名称，该物质是否为极危险物质；</w:t>
      </w:r>
    </w:p>
    <w:p>
      <w:pPr>
        <w:rPr>
          <w:sz w:val="24"/>
        </w:rPr>
        <w:sectPr>
          <w:pgSz w:w="11910" w:h="16840"/>
          <w:pgMar w:top="1360" w:right="839" w:bottom="1180" w:left="840" w:header="882" w:footer="993" w:gutter="0"/>
          <w:cols w:space="720" w:num="1"/>
        </w:sectPr>
      </w:pPr>
    </w:p>
    <w:p>
      <w:pPr>
        <w:pStyle w:val="23"/>
        <w:numPr>
          <w:ilvl w:val="0"/>
          <w:numId w:val="66"/>
        </w:numPr>
        <w:tabs>
          <w:tab w:val="left" w:pos="1321"/>
        </w:tabs>
        <w:spacing w:before="64"/>
        <w:rPr>
          <w:sz w:val="24"/>
        </w:rPr>
      </w:pPr>
      <w:r>
        <w:rPr>
          <w:sz w:val="24"/>
        </w:rPr>
        <w:t>事件时间或预期持续时间；</w:t>
      </w:r>
    </w:p>
    <w:p>
      <w:pPr>
        <w:pStyle w:val="23"/>
        <w:numPr>
          <w:ilvl w:val="0"/>
          <w:numId w:val="66"/>
        </w:numPr>
        <w:tabs>
          <w:tab w:val="left" w:pos="1321"/>
        </w:tabs>
        <w:spacing w:before="160"/>
        <w:rPr>
          <w:sz w:val="24"/>
        </w:rPr>
      </w:pPr>
      <w:r>
        <w:rPr>
          <w:sz w:val="24"/>
        </w:rPr>
        <w:t>实际事件损失，是否会产生企业外效应；</w:t>
      </w:r>
    </w:p>
    <w:p>
      <w:pPr>
        <w:pStyle w:val="23"/>
        <w:numPr>
          <w:ilvl w:val="0"/>
          <w:numId w:val="66"/>
        </w:numPr>
        <w:tabs>
          <w:tab w:val="left" w:pos="1321"/>
        </w:tabs>
        <w:spacing w:before="158"/>
        <w:rPr>
          <w:sz w:val="24"/>
        </w:rPr>
      </w:pPr>
      <w:r>
        <w:rPr>
          <w:sz w:val="24"/>
        </w:rPr>
        <w:t>气象条件，包括风向、风速和预期企业外效应；</w:t>
      </w:r>
    </w:p>
    <w:p>
      <w:pPr>
        <w:pStyle w:val="23"/>
        <w:numPr>
          <w:ilvl w:val="0"/>
          <w:numId w:val="66"/>
        </w:numPr>
        <w:tabs>
          <w:tab w:val="left" w:pos="1321"/>
        </w:tabs>
        <w:spacing w:before="161"/>
        <w:rPr>
          <w:sz w:val="24"/>
        </w:rPr>
      </w:pPr>
      <w:r>
        <w:rPr>
          <w:sz w:val="24"/>
        </w:rPr>
        <w:t>应急行动级别。</w:t>
      </w:r>
    </w:p>
    <w:p>
      <w:pPr>
        <w:rPr>
          <w:sz w:val="24"/>
        </w:rPr>
        <w:sectPr>
          <w:footerReference r:id="rId14" w:type="default"/>
          <w:pgSz w:w="11910" w:h="16840"/>
          <w:pgMar w:top="1360" w:right="839" w:bottom="1180" w:left="840" w:header="882" w:footer="993" w:gutter="0"/>
          <w:pgNumType w:start="60"/>
          <w:cols w:space="720" w:num="1"/>
        </w:sectPr>
      </w:pPr>
    </w:p>
    <w:p>
      <w:pPr>
        <w:pStyle w:val="10"/>
        <w:spacing w:before="5"/>
        <w:rPr>
          <w:sz w:val="12"/>
        </w:rPr>
      </w:pPr>
    </w:p>
    <w:p>
      <w:pPr>
        <w:pStyle w:val="5"/>
        <w:numPr>
          <w:ilvl w:val="0"/>
          <w:numId w:val="6"/>
        </w:numPr>
        <w:tabs>
          <w:tab w:val="left" w:pos="560"/>
        </w:tabs>
        <w:spacing w:before="65"/>
        <w:ind w:left="559" w:hanging="320"/>
      </w:pPr>
      <w:bookmarkStart w:id="217" w:name="9_预案管理"/>
      <w:bookmarkEnd w:id="217"/>
      <w:bookmarkStart w:id="218" w:name="_bookmark108"/>
      <w:bookmarkEnd w:id="218"/>
      <w:r>
        <w:t>预案管理</w:t>
      </w:r>
    </w:p>
    <w:p>
      <w:pPr>
        <w:pStyle w:val="10"/>
        <w:spacing w:before="12"/>
        <w:rPr>
          <w:b/>
          <w:sz w:val="28"/>
        </w:rPr>
      </w:pPr>
    </w:p>
    <w:p>
      <w:pPr>
        <w:pStyle w:val="6"/>
        <w:numPr>
          <w:ilvl w:val="1"/>
          <w:numId w:val="6"/>
        </w:numPr>
        <w:tabs>
          <w:tab w:val="left" w:pos="689"/>
        </w:tabs>
        <w:ind w:left="688" w:hanging="449"/>
      </w:pPr>
      <w:bookmarkStart w:id="219" w:name="9.1应急预案演练"/>
      <w:bookmarkEnd w:id="219"/>
      <w:bookmarkStart w:id="220" w:name="_bookmark109"/>
      <w:bookmarkEnd w:id="220"/>
      <w:r>
        <w:t>应急预案演练</w:t>
      </w:r>
    </w:p>
    <w:p>
      <w:pPr>
        <w:pStyle w:val="10"/>
        <w:spacing w:before="1"/>
        <w:rPr>
          <w:b/>
          <w:sz w:val="28"/>
        </w:rPr>
      </w:pPr>
    </w:p>
    <w:p>
      <w:pPr>
        <w:pStyle w:val="23"/>
        <w:numPr>
          <w:ilvl w:val="2"/>
          <w:numId w:val="6"/>
        </w:numPr>
        <w:tabs>
          <w:tab w:val="left" w:pos="869"/>
        </w:tabs>
        <w:spacing w:before="1"/>
        <w:rPr>
          <w:b/>
          <w:sz w:val="28"/>
        </w:rPr>
      </w:pPr>
      <w:bookmarkStart w:id="221" w:name="9.1.1演练分类"/>
      <w:bookmarkEnd w:id="221"/>
      <w:bookmarkStart w:id="222" w:name="_bookmark110"/>
      <w:bookmarkEnd w:id="222"/>
      <w:r>
        <w:rPr>
          <w:b/>
          <w:sz w:val="28"/>
        </w:rPr>
        <w:t>演练分类</w:t>
      </w:r>
    </w:p>
    <w:p>
      <w:pPr>
        <w:pStyle w:val="10"/>
        <w:spacing w:before="10"/>
        <w:rPr>
          <w:b/>
          <w:sz w:val="26"/>
        </w:rPr>
      </w:pPr>
    </w:p>
    <w:p>
      <w:pPr>
        <w:pStyle w:val="10"/>
        <w:spacing w:line="364" w:lineRule="auto"/>
        <w:ind w:left="240" w:right="241" w:firstLine="480"/>
        <w:jc w:val="both"/>
      </w:pPr>
      <w:r>
        <w:rPr>
          <w:spacing w:val="-6"/>
        </w:rPr>
        <w:t xml:space="preserve">针对周围环境保护目标及厂区存在的突发环境污染事故，企业每年组织 </w:t>
      </w:r>
      <w:r>
        <w:rPr>
          <w:rFonts w:ascii="Times New Roman" w:eastAsia="Times New Roman"/>
        </w:rPr>
        <w:t xml:space="preserve">1 </w:t>
      </w:r>
      <w:r>
        <w:rPr>
          <w:spacing w:val="-3"/>
        </w:rPr>
        <w:t>次综合性应急处</w:t>
      </w:r>
      <w:r>
        <w:rPr>
          <w:spacing w:val="-11"/>
        </w:rPr>
        <w:t>置演习，确保一旦发生污染事故，指挥机构能正确指挥，各应急队伍能根据各自任务及时有效</w:t>
      </w:r>
      <w:r>
        <w:t>地排除险情，控制并缓解、处置事故，做好应急处置工作。</w:t>
      </w:r>
    </w:p>
    <w:p>
      <w:pPr>
        <w:pStyle w:val="23"/>
        <w:numPr>
          <w:ilvl w:val="0"/>
          <w:numId w:val="67"/>
        </w:numPr>
        <w:tabs>
          <w:tab w:val="left" w:pos="1321"/>
        </w:tabs>
        <w:spacing w:line="304" w:lineRule="exact"/>
        <w:rPr>
          <w:sz w:val="24"/>
        </w:rPr>
      </w:pPr>
      <w:r>
        <w:rPr>
          <w:sz w:val="24"/>
        </w:rPr>
        <w:t>单项演练：由各小组各自开展的应急救援任务中的单项科目的演练；</w:t>
      </w:r>
    </w:p>
    <w:p>
      <w:pPr>
        <w:pStyle w:val="23"/>
        <w:numPr>
          <w:ilvl w:val="0"/>
          <w:numId w:val="67"/>
        </w:numPr>
        <w:tabs>
          <w:tab w:val="left" w:pos="1321"/>
        </w:tabs>
        <w:spacing w:before="161"/>
        <w:rPr>
          <w:sz w:val="24"/>
        </w:rPr>
      </w:pPr>
      <w:r>
        <w:rPr>
          <w:sz w:val="24"/>
        </w:rPr>
        <w:t>综合演练：由公司应急总指挥陈孔银按应急救援预案要求，开展的全面演练。</w:t>
      </w:r>
    </w:p>
    <w:p>
      <w:pPr>
        <w:pStyle w:val="10"/>
        <w:spacing w:before="12"/>
      </w:pPr>
    </w:p>
    <w:p>
      <w:pPr>
        <w:pStyle w:val="23"/>
        <w:numPr>
          <w:ilvl w:val="2"/>
          <w:numId w:val="6"/>
        </w:numPr>
        <w:tabs>
          <w:tab w:val="left" w:pos="869"/>
        </w:tabs>
        <w:rPr>
          <w:b/>
          <w:sz w:val="28"/>
        </w:rPr>
      </w:pPr>
      <w:bookmarkStart w:id="223" w:name="_bookmark111"/>
      <w:bookmarkEnd w:id="223"/>
      <w:bookmarkStart w:id="224" w:name="9.1.2演练内容"/>
      <w:bookmarkEnd w:id="224"/>
      <w:r>
        <w:rPr>
          <w:b/>
          <w:sz w:val="28"/>
        </w:rPr>
        <w:t>演练内容</w:t>
      </w:r>
    </w:p>
    <w:p>
      <w:pPr>
        <w:pStyle w:val="10"/>
        <w:spacing w:before="10"/>
        <w:rPr>
          <w:b/>
          <w:sz w:val="26"/>
        </w:rPr>
      </w:pPr>
    </w:p>
    <w:p>
      <w:pPr>
        <w:pStyle w:val="23"/>
        <w:numPr>
          <w:ilvl w:val="0"/>
          <w:numId w:val="68"/>
        </w:numPr>
        <w:tabs>
          <w:tab w:val="left" w:pos="1321"/>
        </w:tabs>
        <w:rPr>
          <w:sz w:val="24"/>
        </w:rPr>
      </w:pPr>
      <w:r>
        <w:rPr>
          <w:sz w:val="24"/>
        </w:rPr>
        <w:t>泄漏事故、燃烧事故演练；</w:t>
      </w:r>
    </w:p>
    <w:p>
      <w:pPr>
        <w:pStyle w:val="23"/>
        <w:numPr>
          <w:ilvl w:val="0"/>
          <w:numId w:val="68"/>
        </w:numPr>
        <w:tabs>
          <w:tab w:val="left" w:pos="1321"/>
        </w:tabs>
        <w:spacing w:before="158"/>
        <w:rPr>
          <w:sz w:val="24"/>
        </w:rPr>
      </w:pPr>
      <w:r>
        <w:rPr>
          <w:sz w:val="24"/>
        </w:rPr>
        <w:t>灭火演练；</w:t>
      </w:r>
    </w:p>
    <w:p>
      <w:pPr>
        <w:pStyle w:val="23"/>
        <w:numPr>
          <w:ilvl w:val="0"/>
          <w:numId w:val="68"/>
        </w:numPr>
        <w:tabs>
          <w:tab w:val="left" w:pos="1321"/>
        </w:tabs>
        <w:spacing w:before="161"/>
        <w:rPr>
          <w:sz w:val="24"/>
        </w:rPr>
      </w:pPr>
      <w:r>
        <w:rPr>
          <w:sz w:val="24"/>
        </w:rPr>
        <w:t>报警及通信演练；</w:t>
      </w:r>
    </w:p>
    <w:p>
      <w:pPr>
        <w:pStyle w:val="23"/>
        <w:numPr>
          <w:ilvl w:val="0"/>
          <w:numId w:val="68"/>
        </w:numPr>
        <w:tabs>
          <w:tab w:val="left" w:pos="1321"/>
        </w:tabs>
        <w:spacing w:before="158"/>
        <w:rPr>
          <w:sz w:val="24"/>
        </w:rPr>
      </w:pPr>
      <w:r>
        <w:rPr>
          <w:sz w:val="24"/>
        </w:rPr>
        <w:t>情况通报演练；</w:t>
      </w:r>
    </w:p>
    <w:p>
      <w:pPr>
        <w:pStyle w:val="23"/>
        <w:numPr>
          <w:ilvl w:val="0"/>
          <w:numId w:val="68"/>
        </w:numPr>
        <w:tabs>
          <w:tab w:val="left" w:pos="1321"/>
        </w:tabs>
        <w:spacing w:before="161"/>
        <w:rPr>
          <w:sz w:val="24"/>
        </w:rPr>
      </w:pPr>
      <w:r>
        <w:rPr>
          <w:sz w:val="24"/>
        </w:rPr>
        <w:t>各类应急设施的使用技能演练；</w:t>
      </w:r>
    </w:p>
    <w:p>
      <w:pPr>
        <w:pStyle w:val="23"/>
        <w:numPr>
          <w:ilvl w:val="0"/>
          <w:numId w:val="68"/>
        </w:numPr>
        <w:tabs>
          <w:tab w:val="left" w:pos="1321"/>
        </w:tabs>
        <w:spacing w:before="160"/>
        <w:rPr>
          <w:sz w:val="24"/>
        </w:rPr>
      </w:pPr>
      <w:r>
        <w:rPr>
          <w:sz w:val="24"/>
        </w:rPr>
        <w:t>模拟各类事故的快速反应演练等；</w:t>
      </w:r>
    </w:p>
    <w:p>
      <w:pPr>
        <w:pStyle w:val="23"/>
        <w:numPr>
          <w:ilvl w:val="0"/>
          <w:numId w:val="68"/>
        </w:numPr>
        <w:tabs>
          <w:tab w:val="left" w:pos="1321"/>
        </w:tabs>
        <w:spacing w:before="158"/>
        <w:rPr>
          <w:sz w:val="24"/>
        </w:rPr>
      </w:pPr>
      <w:r>
        <w:rPr>
          <w:sz w:val="24"/>
        </w:rPr>
        <w:t>人员疏散和场内交通管制演练；</w:t>
      </w:r>
    </w:p>
    <w:p>
      <w:pPr>
        <w:pStyle w:val="23"/>
        <w:numPr>
          <w:ilvl w:val="0"/>
          <w:numId w:val="68"/>
        </w:numPr>
        <w:tabs>
          <w:tab w:val="left" w:pos="1321"/>
        </w:tabs>
        <w:spacing w:before="158"/>
        <w:rPr>
          <w:sz w:val="24"/>
        </w:rPr>
      </w:pPr>
      <w:r>
        <w:rPr>
          <w:sz w:val="24"/>
        </w:rPr>
        <w:t>抢救伤员演练。</w:t>
      </w:r>
    </w:p>
    <w:p>
      <w:pPr>
        <w:pStyle w:val="10"/>
        <w:spacing w:before="12"/>
      </w:pPr>
    </w:p>
    <w:p>
      <w:pPr>
        <w:pStyle w:val="23"/>
        <w:numPr>
          <w:ilvl w:val="2"/>
          <w:numId w:val="6"/>
        </w:numPr>
        <w:tabs>
          <w:tab w:val="left" w:pos="869"/>
        </w:tabs>
        <w:rPr>
          <w:b/>
          <w:sz w:val="28"/>
        </w:rPr>
      </w:pPr>
      <w:bookmarkStart w:id="225" w:name="9.1.3演练范围与频次"/>
      <w:bookmarkEnd w:id="225"/>
      <w:bookmarkStart w:id="226" w:name="_bookmark112"/>
      <w:bookmarkEnd w:id="226"/>
      <w:r>
        <w:rPr>
          <w:b/>
          <w:sz w:val="28"/>
        </w:rPr>
        <w:t>演练范围与频次</w:t>
      </w:r>
    </w:p>
    <w:p>
      <w:pPr>
        <w:pStyle w:val="10"/>
        <w:spacing w:before="11"/>
        <w:rPr>
          <w:b/>
          <w:sz w:val="26"/>
        </w:rPr>
      </w:pPr>
    </w:p>
    <w:p>
      <w:pPr>
        <w:pStyle w:val="23"/>
        <w:numPr>
          <w:ilvl w:val="0"/>
          <w:numId w:val="69"/>
        </w:numPr>
        <w:tabs>
          <w:tab w:val="left" w:pos="1321"/>
        </w:tabs>
        <w:rPr>
          <w:sz w:val="24"/>
        </w:rPr>
      </w:pPr>
      <w:r>
        <w:rPr>
          <w:sz w:val="24"/>
        </w:rPr>
        <w:t>单项演练由各小组每半年组织一次；</w:t>
      </w:r>
    </w:p>
    <w:p>
      <w:pPr>
        <w:pStyle w:val="23"/>
        <w:numPr>
          <w:ilvl w:val="0"/>
          <w:numId w:val="69"/>
        </w:numPr>
        <w:tabs>
          <w:tab w:val="left" w:pos="1321"/>
        </w:tabs>
        <w:spacing w:before="160"/>
        <w:rPr>
          <w:sz w:val="24"/>
        </w:rPr>
      </w:pPr>
      <w:r>
        <w:rPr>
          <w:sz w:val="24"/>
        </w:rPr>
        <w:t>综合演练由总指挥陈孔银每年组织一次。</w:t>
      </w:r>
    </w:p>
    <w:p>
      <w:pPr>
        <w:pStyle w:val="10"/>
        <w:spacing w:before="12"/>
      </w:pPr>
    </w:p>
    <w:p>
      <w:pPr>
        <w:pStyle w:val="6"/>
        <w:numPr>
          <w:ilvl w:val="1"/>
          <w:numId w:val="6"/>
        </w:numPr>
        <w:tabs>
          <w:tab w:val="left" w:pos="689"/>
        </w:tabs>
        <w:ind w:left="688" w:hanging="449"/>
      </w:pPr>
      <w:bookmarkStart w:id="227" w:name="_bookmark113"/>
      <w:bookmarkEnd w:id="227"/>
      <w:bookmarkStart w:id="228" w:name="9.2宣教培训"/>
      <w:bookmarkEnd w:id="228"/>
      <w:r>
        <w:t>宣教培训</w:t>
      </w:r>
    </w:p>
    <w:p>
      <w:pPr>
        <w:pStyle w:val="10"/>
        <w:spacing w:before="12"/>
        <w:rPr>
          <w:b/>
          <w:sz w:val="27"/>
        </w:rPr>
      </w:pPr>
    </w:p>
    <w:p>
      <w:pPr>
        <w:pStyle w:val="23"/>
        <w:numPr>
          <w:ilvl w:val="2"/>
          <w:numId w:val="6"/>
        </w:numPr>
        <w:tabs>
          <w:tab w:val="left" w:pos="869"/>
        </w:tabs>
        <w:rPr>
          <w:b/>
          <w:sz w:val="28"/>
        </w:rPr>
      </w:pPr>
      <w:bookmarkStart w:id="229" w:name="9.2.1应急组织机构的培训"/>
      <w:bookmarkEnd w:id="229"/>
      <w:bookmarkStart w:id="230" w:name="_bookmark114"/>
      <w:bookmarkEnd w:id="230"/>
      <w:r>
        <w:rPr>
          <w:b/>
          <w:sz w:val="28"/>
        </w:rPr>
        <w:t>应急组织机构的培训</w:t>
      </w:r>
    </w:p>
    <w:p>
      <w:pPr>
        <w:pStyle w:val="10"/>
        <w:spacing w:before="10"/>
        <w:rPr>
          <w:b/>
          <w:sz w:val="26"/>
        </w:rPr>
      </w:pPr>
    </w:p>
    <w:p>
      <w:pPr>
        <w:pStyle w:val="10"/>
        <w:spacing w:line="364" w:lineRule="auto"/>
        <w:ind w:left="240" w:right="241" w:firstLine="480"/>
      </w:pPr>
      <w:r>
        <w:rPr>
          <w:spacing w:val="-7"/>
        </w:rPr>
        <w:t>邀请省内外应急救援专家，就企业危险化学品事故的指挥、决策、各部门配合等内容进行</w:t>
      </w:r>
      <w:r>
        <w:t>培训。</w:t>
      </w:r>
    </w:p>
    <w:p>
      <w:pPr>
        <w:spacing w:line="364" w:lineRule="auto"/>
        <w:sectPr>
          <w:pgSz w:w="11910" w:h="16840"/>
          <w:pgMar w:top="1360" w:right="839" w:bottom="1180" w:left="840" w:header="882" w:footer="993" w:gutter="0"/>
          <w:cols w:space="720" w:num="1"/>
        </w:sectPr>
      </w:pPr>
    </w:p>
    <w:p>
      <w:pPr>
        <w:pStyle w:val="10"/>
        <w:spacing w:before="64" w:line="364" w:lineRule="auto"/>
        <w:ind w:left="720" w:right="5425"/>
      </w:pPr>
      <w:r>
        <w:t xml:space="preserve">采取的方式：综合讨论、专家讲座等。培训时间：每年 </w:t>
      </w:r>
      <w:r>
        <w:rPr>
          <w:rFonts w:ascii="Times New Roman" w:eastAsia="Times New Roman"/>
        </w:rPr>
        <w:t>1</w:t>
      </w:r>
      <w:r>
        <w:t>～</w:t>
      </w:r>
      <w:r>
        <w:rPr>
          <w:rFonts w:ascii="Times New Roman" w:eastAsia="Times New Roman"/>
        </w:rPr>
        <w:t xml:space="preserve">2 </w:t>
      </w:r>
      <w:r>
        <w:t>次。</w:t>
      </w:r>
    </w:p>
    <w:p>
      <w:pPr>
        <w:pStyle w:val="23"/>
        <w:numPr>
          <w:ilvl w:val="2"/>
          <w:numId w:val="6"/>
        </w:numPr>
        <w:tabs>
          <w:tab w:val="left" w:pos="869"/>
        </w:tabs>
        <w:spacing w:before="158"/>
        <w:rPr>
          <w:b/>
          <w:sz w:val="28"/>
        </w:rPr>
      </w:pPr>
      <w:bookmarkStart w:id="231" w:name="9.2.2应急救援队伍的培训"/>
      <w:bookmarkEnd w:id="231"/>
      <w:bookmarkStart w:id="232" w:name="_bookmark115"/>
      <w:bookmarkEnd w:id="232"/>
      <w:r>
        <w:rPr>
          <w:b/>
          <w:sz w:val="28"/>
        </w:rPr>
        <w:t>应急救援队伍的培训</w:t>
      </w:r>
    </w:p>
    <w:p>
      <w:pPr>
        <w:pStyle w:val="10"/>
        <w:spacing w:before="12"/>
        <w:rPr>
          <w:b/>
          <w:sz w:val="26"/>
        </w:rPr>
      </w:pPr>
    </w:p>
    <w:p>
      <w:pPr>
        <w:pStyle w:val="10"/>
        <w:ind w:left="720"/>
      </w:pPr>
      <w:r>
        <w:t>对企业全体成员进行应急救援专业培训。</w:t>
      </w:r>
    </w:p>
    <w:p>
      <w:pPr>
        <w:pStyle w:val="23"/>
        <w:numPr>
          <w:ilvl w:val="0"/>
          <w:numId w:val="70"/>
        </w:numPr>
        <w:tabs>
          <w:tab w:val="left" w:pos="1321"/>
        </w:tabs>
        <w:spacing w:before="159"/>
        <w:rPr>
          <w:sz w:val="24"/>
        </w:rPr>
      </w:pPr>
      <w:r>
        <w:rPr>
          <w:sz w:val="24"/>
        </w:rPr>
        <w:t>培训主要内容</w:t>
      </w:r>
    </w:p>
    <w:p>
      <w:pPr>
        <w:pStyle w:val="10"/>
        <w:spacing w:before="160"/>
        <w:ind w:left="720"/>
      </w:pPr>
      <w:r>
        <w:rPr>
          <w:rFonts w:hint="eastAsia" w:ascii="宋体" w:hAnsi="宋体" w:eastAsia="宋体"/>
        </w:rPr>
        <w:t>①</w:t>
      </w:r>
      <w:r>
        <w:t>了解、掌握事故应急救援预案内容；</w:t>
      </w:r>
    </w:p>
    <w:p>
      <w:pPr>
        <w:pStyle w:val="10"/>
        <w:spacing w:before="158"/>
        <w:ind w:left="720"/>
      </w:pPr>
      <w:r>
        <w:rPr>
          <w:rFonts w:hint="eastAsia" w:ascii="宋体" w:hAnsi="宋体" w:eastAsia="宋体"/>
        </w:rPr>
        <w:t>②</w:t>
      </w:r>
      <w:r>
        <w:t>熟悉使用各类防护器具；</w:t>
      </w:r>
    </w:p>
    <w:p>
      <w:pPr>
        <w:pStyle w:val="10"/>
        <w:spacing w:before="161"/>
        <w:ind w:left="720"/>
      </w:pPr>
      <w:r>
        <w:rPr>
          <w:rFonts w:hint="eastAsia" w:ascii="宋体" w:hAnsi="宋体" w:eastAsia="宋体"/>
        </w:rPr>
        <w:t>③</w:t>
      </w:r>
      <w:r>
        <w:t>如何展开事故现场抢救、救援及事故处置；</w:t>
      </w:r>
    </w:p>
    <w:p>
      <w:pPr>
        <w:pStyle w:val="10"/>
        <w:spacing w:before="158"/>
        <w:ind w:left="720"/>
      </w:pPr>
      <w:r>
        <w:rPr>
          <w:rFonts w:hint="eastAsia" w:ascii="宋体" w:hAnsi="宋体" w:eastAsia="宋体"/>
        </w:rPr>
        <w:t>④</w:t>
      </w:r>
      <w:r>
        <w:t>事故现场自我防护及监护措施。</w:t>
      </w:r>
    </w:p>
    <w:p>
      <w:pPr>
        <w:pStyle w:val="23"/>
        <w:numPr>
          <w:ilvl w:val="0"/>
          <w:numId w:val="70"/>
        </w:numPr>
        <w:tabs>
          <w:tab w:val="left" w:pos="1321"/>
        </w:tabs>
        <w:spacing w:before="160"/>
        <w:rPr>
          <w:sz w:val="24"/>
        </w:rPr>
      </w:pPr>
      <w:r>
        <w:rPr>
          <w:sz w:val="24"/>
        </w:rPr>
        <w:t>采取的方式</w:t>
      </w:r>
    </w:p>
    <w:p>
      <w:pPr>
        <w:pStyle w:val="10"/>
        <w:spacing w:before="158"/>
        <w:ind w:left="720"/>
      </w:pPr>
      <w:r>
        <w:t>课堂教学、综合讨论、现场讲解、模拟事故发生等。</w:t>
      </w:r>
    </w:p>
    <w:p>
      <w:pPr>
        <w:pStyle w:val="23"/>
        <w:numPr>
          <w:ilvl w:val="0"/>
          <w:numId w:val="70"/>
        </w:numPr>
        <w:tabs>
          <w:tab w:val="left" w:pos="1321"/>
        </w:tabs>
        <w:spacing w:before="161"/>
        <w:rPr>
          <w:sz w:val="24"/>
        </w:rPr>
      </w:pPr>
      <w:r>
        <w:rPr>
          <w:sz w:val="24"/>
        </w:rPr>
        <w:t>培训时间</w:t>
      </w:r>
    </w:p>
    <w:p>
      <w:pPr>
        <w:pStyle w:val="10"/>
        <w:spacing w:before="160"/>
        <w:ind w:left="720"/>
      </w:pPr>
      <w:r>
        <w:t xml:space="preserve">每月不少于 </w:t>
      </w:r>
      <w:r>
        <w:rPr>
          <w:rFonts w:ascii="Times New Roman" w:eastAsia="Times New Roman"/>
        </w:rPr>
        <w:t xml:space="preserve">6 </w:t>
      </w:r>
      <w:r>
        <w:t>小时。</w:t>
      </w:r>
    </w:p>
    <w:p>
      <w:pPr>
        <w:pStyle w:val="10"/>
        <w:spacing w:before="10"/>
      </w:pPr>
    </w:p>
    <w:p>
      <w:pPr>
        <w:pStyle w:val="23"/>
        <w:numPr>
          <w:ilvl w:val="2"/>
          <w:numId w:val="6"/>
        </w:numPr>
        <w:tabs>
          <w:tab w:val="left" w:pos="869"/>
        </w:tabs>
        <w:rPr>
          <w:b/>
          <w:sz w:val="28"/>
        </w:rPr>
      </w:pPr>
      <w:bookmarkStart w:id="233" w:name="_bookmark116"/>
      <w:bookmarkEnd w:id="233"/>
      <w:bookmarkStart w:id="234" w:name="9.2.3操作人员的培训"/>
      <w:bookmarkEnd w:id="234"/>
      <w:r>
        <w:rPr>
          <w:b/>
          <w:sz w:val="28"/>
        </w:rPr>
        <w:t>操作人员的培训</w:t>
      </w:r>
    </w:p>
    <w:p>
      <w:pPr>
        <w:pStyle w:val="10"/>
        <w:spacing w:before="11"/>
        <w:rPr>
          <w:b/>
          <w:sz w:val="26"/>
        </w:rPr>
      </w:pPr>
    </w:p>
    <w:p>
      <w:pPr>
        <w:pStyle w:val="10"/>
        <w:spacing w:line="364" w:lineRule="auto"/>
        <w:ind w:left="240" w:right="237" w:firstLine="480"/>
      </w:pPr>
      <w:r>
        <w:rPr>
          <w:spacing w:val="-7"/>
        </w:rPr>
        <w:t>针对应急救援的基本要求，系统培训企业操作人员，发生各级危险化学品事故时报警、紧</w:t>
      </w:r>
      <w:r>
        <w:t>急处置、逃生、个体防护、急救、紧急疏散等程序的基本要求。</w:t>
      </w:r>
    </w:p>
    <w:p>
      <w:pPr>
        <w:pStyle w:val="23"/>
        <w:numPr>
          <w:ilvl w:val="0"/>
          <w:numId w:val="71"/>
        </w:numPr>
        <w:tabs>
          <w:tab w:val="left" w:pos="1321"/>
        </w:tabs>
        <w:spacing w:line="306" w:lineRule="exact"/>
        <w:rPr>
          <w:sz w:val="24"/>
        </w:rPr>
      </w:pPr>
      <w:r>
        <w:rPr>
          <w:sz w:val="24"/>
        </w:rPr>
        <w:t>培训主要内容</w:t>
      </w:r>
    </w:p>
    <w:p>
      <w:pPr>
        <w:pStyle w:val="10"/>
        <w:spacing w:before="160"/>
        <w:ind w:left="720"/>
      </w:pPr>
      <w:r>
        <w:rPr>
          <w:rFonts w:hint="eastAsia" w:ascii="宋体" w:hAnsi="宋体" w:eastAsia="宋体"/>
        </w:rPr>
        <w:t>①</w:t>
      </w:r>
      <w:r>
        <w:t>公司安全生产规章制度、安全操作规程；</w:t>
      </w:r>
    </w:p>
    <w:p>
      <w:pPr>
        <w:pStyle w:val="10"/>
        <w:spacing w:before="161"/>
        <w:ind w:left="720"/>
      </w:pPr>
      <w:r>
        <w:rPr>
          <w:rFonts w:hint="eastAsia" w:ascii="宋体" w:hAnsi="宋体" w:eastAsia="宋体"/>
        </w:rPr>
        <w:t>②</w:t>
      </w:r>
      <w:r>
        <w:t>防火、防爆、防毒的基本知识；</w:t>
      </w:r>
    </w:p>
    <w:p>
      <w:pPr>
        <w:pStyle w:val="10"/>
        <w:spacing w:before="158"/>
        <w:ind w:left="720"/>
      </w:pPr>
      <w:r>
        <w:rPr>
          <w:rFonts w:hint="eastAsia" w:ascii="宋体" w:hAnsi="宋体" w:eastAsia="宋体"/>
        </w:rPr>
        <w:t>③</w:t>
      </w:r>
      <w:r>
        <w:t>厂区异常情况的排除、处理方法；</w:t>
      </w:r>
    </w:p>
    <w:p>
      <w:pPr>
        <w:pStyle w:val="10"/>
        <w:spacing w:before="160"/>
        <w:ind w:left="720"/>
      </w:pPr>
      <w:r>
        <w:rPr>
          <w:rFonts w:hint="eastAsia" w:ascii="宋体" w:hAnsi="宋体" w:eastAsia="宋体"/>
        </w:rPr>
        <w:t>④</w:t>
      </w:r>
      <w:r>
        <w:t>事故发生后如何开展自救和互救；</w:t>
      </w:r>
    </w:p>
    <w:p>
      <w:pPr>
        <w:pStyle w:val="10"/>
        <w:spacing w:before="158"/>
        <w:ind w:left="720"/>
      </w:pPr>
      <w:r>
        <w:rPr>
          <w:rFonts w:hint="eastAsia" w:ascii="宋体" w:hAnsi="宋体" w:eastAsia="宋体"/>
        </w:rPr>
        <w:t>⑤</w:t>
      </w:r>
      <w:r>
        <w:t>事故发生后的撤离和疏散方法。</w:t>
      </w:r>
    </w:p>
    <w:p>
      <w:pPr>
        <w:pStyle w:val="23"/>
        <w:numPr>
          <w:ilvl w:val="0"/>
          <w:numId w:val="71"/>
        </w:numPr>
        <w:tabs>
          <w:tab w:val="left" w:pos="1321"/>
        </w:tabs>
        <w:spacing w:before="161"/>
        <w:rPr>
          <w:sz w:val="24"/>
        </w:rPr>
      </w:pPr>
      <w:r>
        <w:rPr>
          <w:sz w:val="24"/>
        </w:rPr>
        <w:t>采取的方式</w:t>
      </w:r>
    </w:p>
    <w:p>
      <w:pPr>
        <w:pStyle w:val="10"/>
        <w:spacing w:before="158"/>
        <w:ind w:left="720"/>
      </w:pPr>
      <w:r>
        <w:t>课堂教学、综合讨论、现场讲解等。</w:t>
      </w:r>
    </w:p>
    <w:p>
      <w:pPr>
        <w:pStyle w:val="23"/>
        <w:numPr>
          <w:ilvl w:val="0"/>
          <w:numId w:val="71"/>
        </w:numPr>
        <w:tabs>
          <w:tab w:val="left" w:pos="1321"/>
        </w:tabs>
        <w:spacing w:before="160"/>
        <w:rPr>
          <w:sz w:val="24"/>
        </w:rPr>
      </w:pPr>
      <w:r>
        <w:rPr>
          <w:sz w:val="24"/>
        </w:rPr>
        <w:t>培训时间</w:t>
      </w:r>
    </w:p>
    <w:p>
      <w:pPr>
        <w:pStyle w:val="10"/>
        <w:spacing w:before="159"/>
        <w:ind w:left="720"/>
      </w:pPr>
      <w:r>
        <w:t xml:space="preserve">每季度不少于 </w:t>
      </w:r>
      <w:r>
        <w:rPr>
          <w:rFonts w:ascii="Times New Roman" w:eastAsia="Times New Roman"/>
        </w:rPr>
        <w:t xml:space="preserve">4 </w:t>
      </w:r>
      <w:r>
        <w:t>小时。</w:t>
      </w:r>
    </w:p>
    <w:p>
      <w:pPr>
        <w:pStyle w:val="10"/>
        <w:spacing w:before="12"/>
      </w:pPr>
    </w:p>
    <w:p>
      <w:pPr>
        <w:pStyle w:val="23"/>
        <w:numPr>
          <w:ilvl w:val="2"/>
          <w:numId w:val="6"/>
        </w:numPr>
        <w:tabs>
          <w:tab w:val="left" w:pos="869"/>
        </w:tabs>
        <w:rPr>
          <w:b/>
          <w:sz w:val="28"/>
        </w:rPr>
      </w:pPr>
      <w:bookmarkStart w:id="235" w:name="9.2.4公众教育"/>
      <w:bookmarkEnd w:id="235"/>
      <w:bookmarkStart w:id="236" w:name="_bookmark117"/>
      <w:bookmarkEnd w:id="236"/>
      <w:r>
        <w:rPr>
          <w:b/>
          <w:sz w:val="28"/>
        </w:rPr>
        <w:t>公众教育</w:t>
      </w:r>
    </w:p>
    <w:p>
      <w:pPr>
        <w:rPr>
          <w:sz w:val="28"/>
        </w:rPr>
        <w:sectPr>
          <w:pgSz w:w="11910" w:h="16840"/>
          <w:pgMar w:top="1360" w:right="839" w:bottom="1180" w:left="840" w:header="882" w:footer="993" w:gutter="0"/>
          <w:cols w:space="720" w:num="1"/>
        </w:sectPr>
      </w:pPr>
    </w:p>
    <w:p>
      <w:pPr>
        <w:pStyle w:val="10"/>
        <w:spacing w:before="64" w:line="364" w:lineRule="auto"/>
        <w:ind w:left="240" w:right="241" w:firstLine="480"/>
        <w:jc w:val="both"/>
      </w:pPr>
      <w:r>
        <w:rPr>
          <w:spacing w:val="-7"/>
        </w:rPr>
        <w:t>对企业邻近村镇开展公众教育、培训和发布公司有关安全生产的基本信息，加强与周边公</w:t>
      </w:r>
      <w:r>
        <w:rPr>
          <w:spacing w:val="-10"/>
        </w:rPr>
        <w:t>众的交流，如发生事故，可以更好的疏散、防护污染。针对疏散、个体防护等内容，向周边群众进行宣传，使事故波及到的区域都能对危险化学品事故应急救援的基本程序、应该采取的措</w:t>
      </w:r>
      <w:r>
        <w:t>施等内容有全面了解。</w:t>
      </w:r>
    </w:p>
    <w:p>
      <w:pPr>
        <w:pStyle w:val="10"/>
        <w:spacing w:line="364" w:lineRule="auto"/>
        <w:ind w:left="720" w:right="4465"/>
        <w:jc w:val="both"/>
      </w:pPr>
      <w:r>
        <w:t xml:space="preserve">采取的方式：口头宣传、应急救援知识讲座等。时间：每年不少于 </w:t>
      </w:r>
      <w:r>
        <w:rPr>
          <w:rFonts w:ascii="Times New Roman" w:eastAsia="Times New Roman"/>
        </w:rPr>
        <w:t xml:space="preserve">1 </w:t>
      </w:r>
      <w:r>
        <w:t>次。</w:t>
      </w:r>
    </w:p>
    <w:p>
      <w:pPr>
        <w:pStyle w:val="6"/>
        <w:numPr>
          <w:ilvl w:val="1"/>
          <w:numId w:val="6"/>
        </w:numPr>
        <w:tabs>
          <w:tab w:val="left" w:pos="689"/>
        </w:tabs>
        <w:spacing w:before="157"/>
        <w:ind w:left="688" w:hanging="449"/>
      </w:pPr>
      <w:bookmarkStart w:id="237" w:name="_bookmark118"/>
      <w:bookmarkEnd w:id="237"/>
      <w:bookmarkStart w:id="238" w:name="9.3责任与奖惩"/>
      <w:bookmarkEnd w:id="238"/>
      <w:r>
        <w:t>责任与奖惩</w:t>
      </w:r>
    </w:p>
    <w:p>
      <w:pPr>
        <w:pStyle w:val="10"/>
        <w:spacing w:before="11"/>
        <w:rPr>
          <w:b/>
          <w:sz w:val="27"/>
        </w:rPr>
      </w:pPr>
    </w:p>
    <w:p>
      <w:pPr>
        <w:pStyle w:val="23"/>
        <w:numPr>
          <w:ilvl w:val="0"/>
          <w:numId w:val="72"/>
        </w:numPr>
        <w:tabs>
          <w:tab w:val="left" w:pos="1321"/>
        </w:tabs>
        <w:rPr>
          <w:sz w:val="24"/>
        </w:rPr>
      </w:pPr>
      <w:r>
        <w:rPr>
          <w:sz w:val="24"/>
        </w:rPr>
        <w:t>总指挥陈孔银对在应急管理工作中做出突出贡献的先进个人给予表彰和奖励。</w:t>
      </w:r>
    </w:p>
    <w:p>
      <w:pPr>
        <w:pStyle w:val="23"/>
        <w:numPr>
          <w:ilvl w:val="0"/>
          <w:numId w:val="72"/>
        </w:numPr>
        <w:tabs>
          <w:tab w:val="left" w:pos="1321"/>
        </w:tabs>
        <w:spacing w:before="158" w:line="364" w:lineRule="auto"/>
        <w:ind w:left="240" w:right="121" w:firstLine="480"/>
        <w:rPr>
          <w:sz w:val="24"/>
        </w:rPr>
      </w:pPr>
      <w:r>
        <w:rPr>
          <w:spacing w:val="-9"/>
          <w:sz w:val="24"/>
        </w:rPr>
        <w:t>对迟报、谎报、瞒报和漏报重特大突发事件或应急工作中有其他失职、渎职行为的，</w:t>
      </w:r>
      <w:r>
        <w:rPr>
          <w:sz w:val="24"/>
        </w:rPr>
        <w:t>按照相关法规和企业有关规定处理。</w:t>
      </w:r>
    </w:p>
    <w:p>
      <w:pPr>
        <w:pStyle w:val="23"/>
        <w:numPr>
          <w:ilvl w:val="0"/>
          <w:numId w:val="72"/>
        </w:numPr>
        <w:tabs>
          <w:tab w:val="left" w:pos="1321"/>
        </w:tabs>
        <w:spacing w:before="1"/>
        <w:rPr>
          <w:sz w:val="24"/>
        </w:rPr>
      </w:pPr>
      <w:r>
        <w:rPr>
          <w:sz w:val="24"/>
        </w:rPr>
        <w:t>应急处置工作实行责任追究制。</w:t>
      </w:r>
    </w:p>
    <w:p>
      <w:pPr>
        <w:rPr>
          <w:sz w:val="24"/>
        </w:rPr>
        <w:sectPr>
          <w:pgSz w:w="11910" w:h="16840"/>
          <w:pgMar w:top="1360" w:right="839" w:bottom="1180" w:left="840" w:header="882" w:footer="993" w:gutter="0"/>
          <w:cols w:space="720" w:num="1"/>
        </w:sectPr>
      </w:pPr>
    </w:p>
    <w:p>
      <w:pPr>
        <w:pStyle w:val="10"/>
        <w:spacing w:before="3"/>
        <w:rPr>
          <w:sz w:val="12"/>
        </w:rPr>
      </w:pPr>
    </w:p>
    <w:p>
      <w:pPr>
        <w:pStyle w:val="5"/>
        <w:numPr>
          <w:ilvl w:val="0"/>
          <w:numId w:val="6"/>
        </w:numPr>
        <w:tabs>
          <w:tab w:val="left" w:pos="720"/>
        </w:tabs>
        <w:ind w:left="720" w:hanging="480"/>
      </w:pPr>
      <w:bookmarkStart w:id="239" w:name="10_附则"/>
      <w:bookmarkEnd w:id="239"/>
      <w:bookmarkStart w:id="240" w:name="_bookmark119"/>
      <w:bookmarkEnd w:id="240"/>
      <w:r>
        <w:t>附则</w:t>
      </w:r>
    </w:p>
    <w:p>
      <w:pPr>
        <w:pStyle w:val="10"/>
        <w:spacing w:before="10"/>
        <w:rPr>
          <w:b/>
          <w:sz w:val="28"/>
        </w:rPr>
      </w:pPr>
    </w:p>
    <w:p>
      <w:pPr>
        <w:pStyle w:val="6"/>
        <w:numPr>
          <w:ilvl w:val="1"/>
          <w:numId w:val="6"/>
        </w:numPr>
        <w:tabs>
          <w:tab w:val="left" w:pos="915"/>
        </w:tabs>
        <w:ind w:left="914" w:hanging="675"/>
      </w:pPr>
      <w:bookmarkStart w:id="241" w:name="_bookmark120"/>
      <w:bookmarkEnd w:id="241"/>
      <w:bookmarkStart w:id="242" w:name="10.1_术语和定义"/>
      <w:bookmarkEnd w:id="242"/>
      <w:r>
        <w:t>术语和定义</w:t>
      </w:r>
    </w:p>
    <w:p>
      <w:pPr>
        <w:pStyle w:val="10"/>
        <w:spacing w:before="9"/>
        <w:rPr>
          <w:b/>
          <w:sz w:val="27"/>
        </w:rPr>
      </w:pPr>
    </w:p>
    <w:p>
      <w:pPr>
        <w:pStyle w:val="10"/>
        <w:ind w:left="720"/>
      </w:pPr>
      <w:r>
        <w:rPr>
          <w:rFonts w:ascii="Times New Roman" w:eastAsia="Times New Roman"/>
        </w:rPr>
        <w:t>1</w:t>
      </w:r>
      <w:r>
        <w:t>、危险物质</w:t>
      </w:r>
    </w:p>
    <w:p>
      <w:pPr>
        <w:pStyle w:val="10"/>
        <w:spacing w:before="158"/>
        <w:ind w:left="720"/>
      </w:pPr>
      <w:r>
        <w:t>指《危险化学品名录》和《剧毒化学品名录》中的物质和易燃易爆物品。</w:t>
      </w:r>
    </w:p>
    <w:p>
      <w:pPr>
        <w:pStyle w:val="10"/>
        <w:spacing w:before="161"/>
        <w:ind w:left="720"/>
      </w:pPr>
      <w:r>
        <w:rPr>
          <w:rFonts w:ascii="Times New Roman" w:eastAsia="Times New Roman"/>
        </w:rPr>
        <w:t>2</w:t>
      </w:r>
      <w:r>
        <w:t>、危险废物</w:t>
      </w:r>
    </w:p>
    <w:p>
      <w:pPr>
        <w:pStyle w:val="10"/>
        <w:spacing w:before="158"/>
        <w:ind w:left="720"/>
      </w:pPr>
      <w:r>
        <w:t>指列入《国家危险废物名录》或者根据危险废物鉴别标准和危险废物鉴别技术规范</w:t>
      </w:r>
    </w:p>
    <w:p>
      <w:pPr>
        <w:pStyle w:val="10"/>
        <w:spacing w:before="160"/>
        <w:ind w:left="240"/>
      </w:pPr>
      <w:r>
        <w:t>（</w:t>
      </w:r>
      <w:r>
        <w:rPr>
          <w:rFonts w:ascii="Times New Roman" w:eastAsia="Times New Roman"/>
        </w:rPr>
        <w:t>HJ/T298</w:t>
      </w:r>
      <w:r>
        <w:t>）认定的具有危险特性的固体废物。</w:t>
      </w:r>
    </w:p>
    <w:p>
      <w:pPr>
        <w:pStyle w:val="10"/>
        <w:spacing w:before="158"/>
        <w:ind w:left="720"/>
      </w:pPr>
      <w:r>
        <w:rPr>
          <w:rFonts w:ascii="Times New Roman" w:eastAsia="Times New Roman"/>
        </w:rPr>
        <w:t>3</w:t>
      </w:r>
      <w:r>
        <w:t>、环境风险源</w:t>
      </w:r>
    </w:p>
    <w:p>
      <w:pPr>
        <w:pStyle w:val="10"/>
        <w:spacing w:before="161" w:line="364" w:lineRule="auto"/>
        <w:ind w:left="240" w:right="117" w:firstLine="480"/>
      </w:pPr>
      <w:r>
        <w:rPr>
          <w:spacing w:val="-12"/>
        </w:rPr>
        <w:t>指可能导致突发环境事件的污染源，以及生产、贮存、经营、使用、运输危险物质或产生、</w:t>
      </w:r>
      <w:r>
        <w:t>收集、利用、处置危险废物的场所、设备和装置。</w:t>
      </w:r>
    </w:p>
    <w:p>
      <w:pPr>
        <w:pStyle w:val="10"/>
        <w:spacing w:line="306" w:lineRule="exact"/>
        <w:ind w:left="720"/>
      </w:pPr>
      <w:r>
        <w:rPr>
          <w:rFonts w:ascii="Times New Roman" w:eastAsia="Times New Roman"/>
        </w:rPr>
        <w:t>4</w:t>
      </w:r>
      <w:r>
        <w:t>、环境敏感区</w:t>
      </w:r>
    </w:p>
    <w:p>
      <w:pPr>
        <w:pStyle w:val="10"/>
        <w:spacing w:before="158" w:line="364" w:lineRule="auto"/>
        <w:ind w:left="240" w:right="237" w:firstLine="480"/>
      </w:pPr>
      <w:r>
        <w:rPr>
          <w:spacing w:val="-9"/>
        </w:rPr>
        <w:t>根据《建设项目环境影响评价分类管理名录》规定，指依法设立的各级各类自然、文化保</w:t>
      </w:r>
      <w:r>
        <w:t>护地，以及对建设项目的某类污染因子或者生态影响因子特别敏感的区域。</w:t>
      </w:r>
    </w:p>
    <w:p>
      <w:pPr>
        <w:pStyle w:val="10"/>
        <w:spacing w:line="306" w:lineRule="exact"/>
        <w:ind w:left="720"/>
      </w:pPr>
      <w:r>
        <w:rPr>
          <w:rFonts w:ascii="Times New Roman" w:eastAsia="Times New Roman"/>
        </w:rPr>
        <w:t>5</w:t>
      </w:r>
      <w:r>
        <w:t>、环境保护目标</w:t>
      </w:r>
    </w:p>
    <w:p>
      <w:pPr>
        <w:pStyle w:val="10"/>
        <w:spacing w:before="160"/>
        <w:ind w:left="720"/>
      </w:pPr>
      <w:r>
        <w:t>指在突发环境事件应急中，需要保护的环境敏感区域中可能受到影响的对象。</w:t>
      </w:r>
    </w:p>
    <w:p>
      <w:pPr>
        <w:pStyle w:val="10"/>
        <w:spacing w:before="161"/>
        <w:ind w:left="720"/>
      </w:pPr>
      <w:r>
        <w:rPr>
          <w:rFonts w:ascii="Times New Roman" w:eastAsia="Times New Roman"/>
        </w:rPr>
        <w:t>6</w:t>
      </w:r>
      <w:r>
        <w:t>、环境事件</w:t>
      </w:r>
    </w:p>
    <w:p>
      <w:pPr>
        <w:pStyle w:val="10"/>
        <w:spacing w:before="158" w:line="364" w:lineRule="auto"/>
        <w:ind w:left="240" w:right="237" w:firstLine="480"/>
        <w:jc w:val="both"/>
      </w:pPr>
      <w:r>
        <w:rPr>
          <w:spacing w:val="-6"/>
        </w:rPr>
        <w:t>指由于违反环境保护法律法规的经济、社会活动与行为，以及由于意外因素的影响或不可抗拒的自然灾害等原因致使环境受到污染，生态系统受到干扰，人体健康受到危害，社会财富</w:t>
      </w:r>
      <w:r>
        <w:t>受到损失，造成不良社会影响的事件。</w:t>
      </w:r>
    </w:p>
    <w:p>
      <w:pPr>
        <w:pStyle w:val="10"/>
        <w:spacing w:line="307" w:lineRule="exact"/>
        <w:ind w:left="720"/>
      </w:pPr>
      <w:r>
        <w:rPr>
          <w:rFonts w:ascii="Times New Roman" w:eastAsia="Times New Roman"/>
        </w:rPr>
        <w:t>7</w:t>
      </w:r>
      <w:r>
        <w:t>、次生衍生事件</w:t>
      </w:r>
    </w:p>
    <w:p>
      <w:pPr>
        <w:pStyle w:val="10"/>
        <w:spacing w:before="158"/>
        <w:ind w:left="720"/>
      </w:pPr>
      <w:r>
        <w:t>某一突发公共事件所派生或者因处置不当而引发的环境事件。</w:t>
      </w:r>
    </w:p>
    <w:p>
      <w:pPr>
        <w:pStyle w:val="10"/>
        <w:spacing w:before="161"/>
        <w:ind w:left="720"/>
      </w:pPr>
      <w:r>
        <w:rPr>
          <w:rFonts w:ascii="Times New Roman" w:eastAsia="Times New Roman"/>
        </w:rPr>
        <w:t>8</w:t>
      </w:r>
      <w:r>
        <w:t>、突发环境事件</w:t>
      </w:r>
    </w:p>
    <w:p>
      <w:pPr>
        <w:pStyle w:val="10"/>
        <w:spacing w:before="158" w:line="364" w:lineRule="auto"/>
        <w:ind w:left="240" w:right="237" w:firstLine="480"/>
      </w:pPr>
      <w:r>
        <w:rPr>
          <w:spacing w:val="-10"/>
        </w:rPr>
        <w:t>指突然发生，造成或者可能造成重大人员伤亡、重大财产损失和对全国或者某一地区的经</w:t>
      </w:r>
      <w:r>
        <w:t>济社会稳定、政治安定构成重大威胁和损害，有重大社会影响的涉及公共安全的环境事件。</w:t>
      </w:r>
    </w:p>
    <w:p>
      <w:pPr>
        <w:pStyle w:val="10"/>
        <w:spacing w:line="306" w:lineRule="exact"/>
        <w:ind w:left="720"/>
      </w:pPr>
      <w:r>
        <w:rPr>
          <w:rFonts w:ascii="Times New Roman" w:eastAsia="Times New Roman"/>
        </w:rPr>
        <w:t>9</w:t>
      </w:r>
      <w:r>
        <w:t>、应急救援</w:t>
      </w:r>
    </w:p>
    <w:p>
      <w:pPr>
        <w:pStyle w:val="10"/>
        <w:spacing w:before="160" w:line="364" w:lineRule="auto"/>
        <w:ind w:left="240" w:right="237" w:firstLine="480"/>
      </w:pPr>
      <w:r>
        <w:rPr>
          <w:spacing w:val="-7"/>
        </w:rPr>
        <w:t>指突发环境事件发生时，采取的消除、减少事件危害和防止事件恶化，最大限度降低事件</w:t>
      </w:r>
      <w:r>
        <w:t>损失的措施。</w:t>
      </w:r>
    </w:p>
    <w:p>
      <w:pPr>
        <w:pStyle w:val="10"/>
        <w:spacing w:line="306" w:lineRule="exact"/>
        <w:ind w:left="720"/>
      </w:pPr>
      <w:r>
        <w:rPr>
          <w:rFonts w:ascii="Times New Roman" w:eastAsia="Times New Roman"/>
        </w:rPr>
        <w:t>10</w:t>
      </w:r>
      <w:r>
        <w:t>、应急监测</w:t>
      </w:r>
    </w:p>
    <w:p>
      <w:pPr>
        <w:spacing w:line="306" w:lineRule="exact"/>
        <w:sectPr>
          <w:pgSz w:w="11910" w:h="16840"/>
          <w:pgMar w:top="1360" w:right="840" w:bottom="1180" w:left="840" w:header="882" w:footer="993" w:gutter="0"/>
          <w:cols w:space="720" w:num="1"/>
        </w:sectPr>
      </w:pPr>
    </w:p>
    <w:p>
      <w:pPr>
        <w:pStyle w:val="10"/>
        <w:spacing w:before="64" w:line="364" w:lineRule="auto"/>
        <w:ind w:left="240" w:right="237" w:firstLine="480"/>
      </w:pPr>
      <w:r>
        <w:rPr>
          <w:spacing w:val="-8"/>
        </w:rPr>
        <w:t>指在环境应急情况下，为发现和查明环境污染情况和污染范围而进行的环境监测，包括定</w:t>
      </w:r>
      <w:r>
        <w:t>点监测和动态监测。</w:t>
      </w:r>
    </w:p>
    <w:p>
      <w:pPr>
        <w:pStyle w:val="10"/>
        <w:spacing w:line="306" w:lineRule="exact"/>
        <w:ind w:left="720"/>
      </w:pPr>
      <w:r>
        <w:rPr>
          <w:rFonts w:ascii="Times New Roman" w:eastAsia="Times New Roman"/>
        </w:rPr>
        <w:t>11</w:t>
      </w:r>
      <w:r>
        <w:t>、恢复</w:t>
      </w:r>
    </w:p>
    <w:p>
      <w:pPr>
        <w:pStyle w:val="10"/>
        <w:spacing w:before="160" w:line="362" w:lineRule="auto"/>
        <w:ind w:left="240" w:right="237" w:firstLine="480"/>
      </w:pPr>
      <w:r>
        <w:rPr>
          <w:spacing w:val="-6"/>
        </w:rPr>
        <w:t>指在突发环境事件的影响得到初步控制后，为使生产、生活和生态环境尽快恢复到正常状</w:t>
      </w:r>
      <w:r>
        <w:t>态而采取的措施或行动。</w:t>
      </w:r>
    </w:p>
    <w:p>
      <w:pPr>
        <w:pStyle w:val="10"/>
        <w:spacing w:before="5"/>
        <w:ind w:left="720"/>
      </w:pPr>
      <w:r>
        <w:rPr>
          <w:rFonts w:ascii="Times New Roman" w:eastAsia="Times New Roman"/>
        </w:rPr>
        <w:t>12</w:t>
      </w:r>
      <w:r>
        <w:t>、应急预案</w:t>
      </w:r>
    </w:p>
    <w:p>
      <w:pPr>
        <w:pStyle w:val="10"/>
        <w:spacing w:before="158" w:line="364" w:lineRule="auto"/>
        <w:ind w:left="240" w:right="237" w:firstLine="480"/>
        <w:jc w:val="both"/>
      </w:pPr>
      <w:r>
        <w:rPr>
          <w:spacing w:val="-6"/>
        </w:rPr>
        <w:t>指根据对可能发生的环境事件的类别、危害程度的预测，而制定的突发环境事件应急救援</w:t>
      </w:r>
      <w:r>
        <w:rPr>
          <w:spacing w:val="-10"/>
        </w:rPr>
        <w:t>方案。要充分考虑现有物质、人员及环境风险源的具体条件，能及时、有效地统筹指导突发环</w:t>
      </w:r>
      <w:r>
        <w:t>境事件应急救援行动。</w:t>
      </w:r>
    </w:p>
    <w:p>
      <w:pPr>
        <w:pStyle w:val="10"/>
        <w:spacing w:line="307" w:lineRule="exact"/>
        <w:ind w:left="720"/>
      </w:pPr>
      <w:r>
        <w:rPr>
          <w:rFonts w:ascii="Times New Roman" w:eastAsia="Times New Roman"/>
        </w:rPr>
        <w:t>13</w:t>
      </w:r>
      <w:r>
        <w:t>、分类</w:t>
      </w:r>
    </w:p>
    <w:p>
      <w:pPr>
        <w:pStyle w:val="10"/>
        <w:spacing w:before="158"/>
        <w:ind w:left="720"/>
      </w:pPr>
      <w:r>
        <w:t>指根据突发环境事件的发生过程、性质和机理，对不同环境事件划分的类别。</w:t>
      </w:r>
    </w:p>
    <w:p>
      <w:pPr>
        <w:pStyle w:val="10"/>
        <w:spacing w:before="161"/>
        <w:ind w:left="720"/>
      </w:pPr>
      <w:r>
        <w:rPr>
          <w:rFonts w:ascii="Times New Roman" w:eastAsia="Times New Roman"/>
        </w:rPr>
        <w:t>14</w:t>
      </w:r>
      <w:r>
        <w:t>、分级</w:t>
      </w:r>
    </w:p>
    <w:p>
      <w:pPr>
        <w:pStyle w:val="10"/>
        <w:spacing w:before="160"/>
        <w:ind w:left="720"/>
      </w:pPr>
      <w:r>
        <w:t>分级指按照突发环境事件严重性、紧急程度及危害程度，对不同环境事件划分的级别。</w:t>
      </w:r>
    </w:p>
    <w:p>
      <w:pPr>
        <w:pStyle w:val="10"/>
        <w:spacing w:before="158"/>
        <w:ind w:left="720"/>
      </w:pPr>
      <w:r>
        <w:rPr>
          <w:rFonts w:ascii="Times New Roman" w:eastAsia="Times New Roman"/>
        </w:rPr>
        <w:t>15</w:t>
      </w:r>
      <w:r>
        <w:t>、应急演练</w:t>
      </w:r>
    </w:p>
    <w:p>
      <w:pPr>
        <w:pStyle w:val="10"/>
        <w:spacing w:before="161" w:line="364" w:lineRule="auto"/>
        <w:ind w:left="240" w:right="117" w:firstLine="480"/>
      </w:pPr>
      <w:r>
        <w:rPr>
          <w:spacing w:val="-6"/>
        </w:rPr>
        <w:t>为检验应急预案的有效性、应急准备的完善性、应急响应能力的适应性和应急人员的协同</w:t>
      </w:r>
      <w:r>
        <w:rPr>
          <w:spacing w:val="-16"/>
        </w:rPr>
        <w:t>性而进行的一种模拟应急响应的实践活动。根据所涉及的内容和范围的不同，可分为单项演练、</w:t>
      </w:r>
      <w:r>
        <w:t>综合演练和指挥中心、现场应急组织联合进行的联合演练。</w:t>
      </w:r>
    </w:p>
    <w:p>
      <w:pPr>
        <w:pStyle w:val="6"/>
        <w:numPr>
          <w:ilvl w:val="1"/>
          <w:numId w:val="6"/>
        </w:numPr>
        <w:tabs>
          <w:tab w:val="left" w:pos="915"/>
        </w:tabs>
        <w:spacing w:before="153"/>
        <w:ind w:left="914" w:hanging="675"/>
      </w:pPr>
      <w:bookmarkStart w:id="243" w:name="_bookmark121"/>
      <w:bookmarkEnd w:id="243"/>
      <w:bookmarkStart w:id="244" w:name="10.2_预案解释"/>
      <w:bookmarkEnd w:id="244"/>
      <w:r>
        <w:t>预案解释</w:t>
      </w:r>
    </w:p>
    <w:p>
      <w:pPr>
        <w:pStyle w:val="10"/>
        <w:spacing w:before="9"/>
        <w:rPr>
          <w:b/>
          <w:sz w:val="27"/>
        </w:rPr>
      </w:pPr>
    </w:p>
    <w:p>
      <w:pPr>
        <w:pStyle w:val="10"/>
        <w:ind w:left="720"/>
      </w:pPr>
      <w:r>
        <w:t>本预案由</w:t>
      </w:r>
      <w:r>
        <w:rPr>
          <w:rFonts w:hint="eastAsia"/>
        </w:rPr>
        <w:t>赤壁市泰博服饰股份有限公</w:t>
      </w:r>
      <w:r>
        <w:t>负责制定与解释。</w:t>
      </w:r>
    </w:p>
    <w:p>
      <w:pPr>
        <w:pStyle w:val="10"/>
        <w:spacing w:before="9"/>
      </w:pPr>
    </w:p>
    <w:p>
      <w:pPr>
        <w:pStyle w:val="6"/>
        <w:numPr>
          <w:ilvl w:val="1"/>
          <w:numId w:val="6"/>
        </w:numPr>
        <w:tabs>
          <w:tab w:val="left" w:pos="915"/>
        </w:tabs>
        <w:ind w:left="914" w:hanging="675"/>
      </w:pPr>
      <w:bookmarkStart w:id="245" w:name="_bookmark122"/>
      <w:bookmarkEnd w:id="245"/>
      <w:bookmarkStart w:id="246" w:name="10.3_应急预案的修订"/>
      <w:bookmarkEnd w:id="246"/>
      <w:r>
        <w:t>应急预案的修订</w:t>
      </w:r>
    </w:p>
    <w:p>
      <w:pPr>
        <w:pStyle w:val="10"/>
        <w:spacing w:before="8"/>
        <w:rPr>
          <w:b/>
          <w:sz w:val="27"/>
        </w:rPr>
      </w:pPr>
    </w:p>
    <w:p>
      <w:pPr>
        <w:pStyle w:val="10"/>
        <w:spacing w:before="1" w:line="362" w:lineRule="auto"/>
        <w:ind w:left="240" w:right="237" w:firstLine="480"/>
      </w:pPr>
      <w:r>
        <w:rPr>
          <w:spacing w:val="-6"/>
        </w:rPr>
        <w:t>突发环境事件应急预案原则上每三年组织一次修订。以下原因出现不符合项，应及时修订</w:t>
      </w:r>
      <w:r>
        <w:t>预案：</w:t>
      </w:r>
    </w:p>
    <w:p>
      <w:pPr>
        <w:pStyle w:val="23"/>
        <w:numPr>
          <w:ilvl w:val="0"/>
          <w:numId w:val="73"/>
        </w:numPr>
        <w:tabs>
          <w:tab w:val="left" w:pos="1321"/>
        </w:tabs>
        <w:spacing w:before="5"/>
        <w:rPr>
          <w:sz w:val="24"/>
        </w:rPr>
      </w:pPr>
      <w:r>
        <w:rPr>
          <w:sz w:val="24"/>
        </w:rPr>
        <w:t>面临的环境风险发生重大变化，需要重新进行环境风险评估的；</w:t>
      </w:r>
    </w:p>
    <w:p>
      <w:pPr>
        <w:pStyle w:val="23"/>
        <w:numPr>
          <w:ilvl w:val="0"/>
          <w:numId w:val="73"/>
        </w:numPr>
        <w:tabs>
          <w:tab w:val="left" w:pos="1321"/>
        </w:tabs>
        <w:spacing w:before="160"/>
        <w:rPr>
          <w:sz w:val="24"/>
        </w:rPr>
      </w:pPr>
      <w:r>
        <w:rPr>
          <w:sz w:val="24"/>
        </w:rPr>
        <w:t>应急管理组织指挥体系与职责发生重大变化的；</w:t>
      </w:r>
    </w:p>
    <w:p>
      <w:pPr>
        <w:pStyle w:val="23"/>
        <w:numPr>
          <w:ilvl w:val="0"/>
          <w:numId w:val="73"/>
        </w:numPr>
        <w:tabs>
          <w:tab w:val="left" w:pos="1321"/>
        </w:tabs>
        <w:spacing w:before="158"/>
        <w:rPr>
          <w:sz w:val="24"/>
        </w:rPr>
      </w:pPr>
      <w:r>
        <w:rPr>
          <w:sz w:val="24"/>
        </w:rPr>
        <w:t>环境应急监测预警及报告机制、应对流程和措施、应急保障措施发生重大变化的；</w:t>
      </w:r>
    </w:p>
    <w:p>
      <w:pPr>
        <w:pStyle w:val="23"/>
        <w:numPr>
          <w:ilvl w:val="0"/>
          <w:numId w:val="73"/>
        </w:numPr>
        <w:tabs>
          <w:tab w:val="left" w:pos="1321"/>
        </w:tabs>
        <w:spacing w:before="161"/>
        <w:rPr>
          <w:sz w:val="24"/>
        </w:rPr>
      </w:pPr>
      <w:r>
        <w:rPr>
          <w:sz w:val="24"/>
        </w:rPr>
        <w:t>重要应急资源发生重大变化的；</w:t>
      </w:r>
    </w:p>
    <w:p>
      <w:pPr>
        <w:pStyle w:val="23"/>
        <w:numPr>
          <w:ilvl w:val="0"/>
          <w:numId w:val="73"/>
        </w:numPr>
        <w:tabs>
          <w:tab w:val="left" w:pos="1321"/>
        </w:tabs>
        <w:spacing w:before="158"/>
        <w:rPr>
          <w:sz w:val="24"/>
        </w:rPr>
      </w:pPr>
      <w:r>
        <w:rPr>
          <w:spacing w:val="-3"/>
          <w:sz w:val="24"/>
        </w:rPr>
        <w:t>在突发时间实际应对和应急演练中发现问题，需要对环境应急预案作出重大调整的；</w:t>
      </w:r>
    </w:p>
    <w:p>
      <w:pPr>
        <w:pStyle w:val="23"/>
        <w:numPr>
          <w:ilvl w:val="0"/>
          <w:numId w:val="73"/>
        </w:numPr>
        <w:tabs>
          <w:tab w:val="left" w:pos="1321"/>
        </w:tabs>
        <w:spacing w:before="160"/>
        <w:rPr>
          <w:sz w:val="24"/>
        </w:rPr>
      </w:pPr>
      <w:r>
        <w:rPr>
          <w:spacing w:val="-5"/>
          <w:sz w:val="24"/>
        </w:rPr>
        <w:t>其他需要修订的情况，如生产工艺和技术、危险源发生变化；生产规模、原辅材料、</w:t>
      </w:r>
    </w:p>
    <w:p>
      <w:pPr>
        <w:rPr>
          <w:sz w:val="24"/>
        </w:rPr>
        <w:sectPr>
          <w:pgSz w:w="11910" w:h="16840"/>
          <w:pgMar w:top="1360" w:right="840" w:bottom="1180" w:left="840" w:header="882" w:footer="993" w:gutter="0"/>
          <w:cols w:space="720" w:num="1"/>
        </w:sectPr>
      </w:pPr>
    </w:p>
    <w:p>
      <w:pPr>
        <w:pStyle w:val="10"/>
        <w:spacing w:before="64"/>
        <w:ind w:left="240"/>
      </w:pPr>
      <w:r>
        <w:t>中间体、工艺流程等变更；周围环境或环境敏感点发生变化等情况。</w:t>
      </w:r>
    </w:p>
    <w:p>
      <w:pPr>
        <w:pStyle w:val="10"/>
        <w:spacing w:before="8"/>
      </w:pPr>
    </w:p>
    <w:p>
      <w:pPr>
        <w:pStyle w:val="6"/>
        <w:numPr>
          <w:ilvl w:val="1"/>
          <w:numId w:val="6"/>
        </w:numPr>
        <w:tabs>
          <w:tab w:val="left" w:pos="915"/>
        </w:tabs>
        <w:spacing w:before="1"/>
        <w:ind w:left="914" w:hanging="675"/>
      </w:pPr>
      <w:bookmarkStart w:id="247" w:name="_bookmark123"/>
      <w:bookmarkEnd w:id="247"/>
      <w:bookmarkStart w:id="248" w:name="10.4_应急预案的备案"/>
      <w:bookmarkEnd w:id="248"/>
      <w:r>
        <w:t>应急预案的备案</w:t>
      </w:r>
    </w:p>
    <w:p>
      <w:pPr>
        <w:pStyle w:val="10"/>
        <w:spacing w:before="8"/>
        <w:rPr>
          <w:b/>
          <w:sz w:val="27"/>
        </w:rPr>
      </w:pPr>
    </w:p>
    <w:p>
      <w:pPr>
        <w:pStyle w:val="10"/>
        <w:spacing w:line="364" w:lineRule="auto"/>
        <w:ind w:left="240" w:right="235" w:firstLine="480"/>
        <w:jc w:val="both"/>
      </w:pPr>
      <w:r>
        <w:t>本预案由应急领导小组编制，按照环境保护部文件《关于印发</w:t>
      </w:r>
      <w:r>
        <w:rPr>
          <w:rFonts w:ascii="Times New Roman" w:eastAsia="Times New Roman"/>
        </w:rPr>
        <w:t>&lt;</w:t>
      </w:r>
      <w:r>
        <w:rPr>
          <w:spacing w:val="-2"/>
        </w:rPr>
        <w:t>企业事业单位突发环境事件应急预案备案管理办法</w:t>
      </w:r>
      <w:r>
        <w:t>（试行</w:t>
      </w:r>
      <w:r>
        <w:rPr>
          <w:spacing w:val="-8"/>
        </w:rPr>
        <w:t>）</w:t>
      </w:r>
      <w:r>
        <w:rPr>
          <w:rFonts w:ascii="Times New Roman" w:eastAsia="Times New Roman"/>
          <w:spacing w:val="-8"/>
        </w:rPr>
        <w:t>&gt;</w:t>
      </w:r>
      <w:r>
        <w:rPr>
          <w:spacing w:val="-8"/>
        </w:rPr>
        <w:t>的通知》</w:t>
      </w:r>
      <w:r>
        <w:t>（环发</w:t>
      </w:r>
      <w:r>
        <w:rPr>
          <w:rFonts w:ascii="Times New Roman" w:eastAsia="Times New Roman"/>
        </w:rPr>
        <w:t xml:space="preserve">[2015]4 </w:t>
      </w:r>
      <w:r>
        <w:t>号</w:t>
      </w:r>
      <w:r>
        <w:rPr>
          <w:spacing w:val="-17"/>
        </w:rPr>
        <w:t>）</w:t>
      </w:r>
      <w:r>
        <w:rPr>
          <w:spacing w:val="-5"/>
        </w:rPr>
        <w:t>要求，向咸宁市生态环境局赤</w:t>
      </w:r>
      <w:r>
        <w:t>壁市分局备案。</w:t>
      </w:r>
    </w:p>
    <w:p>
      <w:pPr>
        <w:pStyle w:val="6"/>
        <w:numPr>
          <w:ilvl w:val="1"/>
          <w:numId w:val="6"/>
        </w:numPr>
        <w:tabs>
          <w:tab w:val="left" w:pos="915"/>
        </w:tabs>
        <w:spacing w:before="156"/>
        <w:ind w:left="914" w:hanging="675"/>
      </w:pPr>
      <w:bookmarkStart w:id="249" w:name="_bookmark124"/>
      <w:bookmarkEnd w:id="249"/>
      <w:bookmarkStart w:id="250" w:name="10.5_预案的实施与生效时间"/>
      <w:bookmarkEnd w:id="250"/>
      <w:r>
        <w:t>预案的实施与生效时间</w:t>
      </w:r>
    </w:p>
    <w:p>
      <w:pPr>
        <w:pStyle w:val="10"/>
        <w:spacing w:before="9"/>
        <w:rPr>
          <w:b/>
          <w:sz w:val="27"/>
        </w:rPr>
      </w:pPr>
    </w:p>
    <w:p>
      <w:pPr>
        <w:pStyle w:val="10"/>
        <w:ind w:left="720"/>
      </w:pPr>
      <w:r>
        <w:t>本预案经企业应急指挥部讨论通过后，经企业负责人批准颁布之日起实施。</w:t>
      </w:r>
    </w:p>
    <w:p>
      <w:pPr>
        <w:pStyle w:val="10"/>
        <w:spacing w:before="158" w:line="364" w:lineRule="auto"/>
        <w:ind w:left="240" w:right="237" w:firstLine="480"/>
        <w:jc w:val="both"/>
      </w:pPr>
      <w:r>
        <w:rPr>
          <w:spacing w:val="-7"/>
        </w:rPr>
        <w:t>本预案经正式发布和备案后，就将作为公司管理文件纳入日常生产管理程序中，通过落实预案中的各项工作及设施的建设，明确各项职责和任务分工，加强应急知识的宣传、教育和培</w:t>
      </w:r>
      <w:r>
        <w:t>训，定期组织应急预案演练，实现应急预案持续改进。</w:t>
      </w:r>
    </w:p>
    <w:p>
      <w:pPr>
        <w:spacing w:line="364" w:lineRule="auto"/>
        <w:jc w:val="both"/>
        <w:sectPr>
          <w:pgSz w:w="11910" w:h="16840"/>
          <w:pgMar w:top="1360" w:right="840" w:bottom="1180" w:left="840" w:header="882" w:footer="993" w:gutter="0"/>
          <w:cols w:space="720" w:num="1"/>
        </w:sectPr>
      </w:pPr>
    </w:p>
    <w:p>
      <w:pPr>
        <w:pStyle w:val="10"/>
        <w:spacing w:before="9"/>
        <w:rPr>
          <w:sz w:val="11"/>
        </w:rPr>
      </w:pPr>
    </w:p>
    <w:p>
      <w:pPr>
        <w:pStyle w:val="7"/>
        <w:spacing w:before="70"/>
        <w:ind w:left="240" w:firstLine="0"/>
      </w:pPr>
      <w:r>
        <w:t xml:space="preserve">附件 </w:t>
      </w:r>
      <w:r>
        <w:rPr>
          <w:rFonts w:ascii="Times New Roman" w:eastAsia="Times New Roman"/>
        </w:rPr>
        <w:t xml:space="preserve">1  </w:t>
      </w:r>
      <w:r>
        <w:t>内部应急相关方联系电话</w:t>
      </w:r>
    </w:p>
    <w:p>
      <w:pPr>
        <w:pStyle w:val="10"/>
        <w:spacing w:before="8"/>
        <w:rPr>
          <w:b/>
          <w:sz w:val="26"/>
        </w:rPr>
      </w:pPr>
    </w:p>
    <w:tbl>
      <w:tblPr>
        <w:tblStyle w:val="15"/>
        <w:tblW w:w="0" w:type="auto"/>
        <w:tblInd w:w="12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180"/>
        <w:gridCol w:w="1595"/>
        <w:gridCol w:w="3181"/>
        <w:gridCol w:w="200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180" w:type="dxa"/>
            <w:tcBorders>
              <w:left w:val="nil"/>
              <w:bottom w:val="single" w:color="000000" w:sz="4" w:space="0"/>
              <w:right w:val="single" w:color="000000" w:sz="4" w:space="0"/>
            </w:tcBorders>
          </w:tcPr>
          <w:p>
            <w:pPr>
              <w:pStyle w:val="24"/>
              <w:spacing w:before="20"/>
              <w:ind w:left="1162" w:right="1129"/>
              <w:jc w:val="center"/>
              <w:rPr>
                <w:b/>
                <w:sz w:val="21"/>
              </w:rPr>
            </w:pPr>
            <w:r>
              <w:rPr>
                <w:b/>
                <w:sz w:val="21"/>
              </w:rPr>
              <w:t>应急机构</w:t>
            </w:r>
          </w:p>
        </w:tc>
        <w:tc>
          <w:tcPr>
            <w:tcW w:w="1595" w:type="dxa"/>
            <w:tcBorders>
              <w:left w:val="single" w:color="000000" w:sz="4" w:space="0"/>
              <w:bottom w:val="single" w:color="000000" w:sz="4" w:space="0"/>
              <w:right w:val="single" w:color="000000" w:sz="4" w:space="0"/>
            </w:tcBorders>
          </w:tcPr>
          <w:p>
            <w:pPr>
              <w:pStyle w:val="24"/>
              <w:spacing w:before="20"/>
              <w:ind w:left="471" w:right="442"/>
              <w:jc w:val="center"/>
              <w:rPr>
                <w:b/>
                <w:sz w:val="21"/>
              </w:rPr>
            </w:pPr>
            <w:r>
              <w:rPr>
                <w:b/>
                <w:sz w:val="21"/>
              </w:rPr>
              <w:t>姓名</w:t>
            </w:r>
          </w:p>
        </w:tc>
        <w:tc>
          <w:tcPr>
            <w:tcW w:w="3181" w:type="dxa"/>
            <w:tcBorders>
              <w:left w:val="single" w:color="000000" w:sz="4" w:space="0"/>
              <w:bottom w:val="single" w:color="000000" w:sz="4" w:space="0"/>
              <w:right w:val="single" w:color="000000" w:sz="4" w:space="0"/>
            </w:tcBorders>
          </w:tcPr>
          <w:p>
            <w:pPr>
              <w:pStyle w:val="24"/>
              <w:spacing w:before="20"/>
              <w:ind w:left="424" w:right="395"/>
              <w:jc w:val="center"/>
              <w:rPr>
                <w:b/>
                <w:sz w:val="21"/>
              </w:rPr>
            </w:pPr>
            <w:r>
              <w:rPr>
                <w:b/>
                <w:sz w:val="21"/>
              </w:rPr>
              <w:t>应急职务</w:t>
            </w:r>
          </w:p>
        </w:tc>
        <w:tc>
          <w:tcPr>
            <w:tcW w:w="2000" w:type="dxa"/>
            <w:tcBorders>
              <w:left w:val="single" w:color="000000" w:sz="4" w:space="0"/>
              <w:bottom w:val="single" w:color="000000" w:sz="4" w:space="0"/>
              <w:right w:val="nil"/>
            </w:tcBorders>
          </w:tcPr>
          <w:p>
            <w:pPr>
              <w:pStyle w:val="24"/>
              <w:spacing w:before="20"/>
              <w:ind w:left="410" w:right="383"/>
              <w:jc w:val="center"/>
              <w:rPr>
                <w:b/>
                <w:sz w:val="21"/>
              </w:rPr>
            </w:pPr>
            <w:r>
              <w:rPr>
                <w:b/>
                <w:sz w:val="21"/>
              </w:rPr>
              <w:t>联系方式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180" w:type="dxa"/>
            <w:vMerge w:val="restart"/>
            <w:tcBorders>
              <w:top w:val="single" w:color="000000" w:sz="4" w:space="0"/>
              <w:left w:val="nil"/>
              <w:bottom w:val="single" w:color="000000" w:sz="4" w:space="0"/>
              <w:right w:val="single" w:color="000000" w:sz="4" w:space="0"/>
            </w:tcBorders>
          </w:tcPr>
          <w:p>
            <w:pPr>
              <w:jc w:val="center"/>
              <w:rPr>
                <w:szCs w:val="21"/>
              </w:rPr>
            </w:pPr>
          </w:p>
          <w:p>
            <w:pPr>
              <w:jc w:val="center"/>
              <w:rPr>
                <w:sz w:val="21"/>
              </w:rPr>
            </w:pPr>
            <w:r>
              <w:rPr>
                <w:rFonts w:hint="eastAsia"/>
                <w:szCs w:val="21"/>
              </w:rPr>
              <w:t>应急救援指挥部</w:t>
            </w: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刘智东</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总指挥</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13907246986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180" w:type="dxa"/>
            <w:vMerge w:val="continue"/>
            <w:tcBorders>
              <w:top w:val="nil"/>
              <w:left w:val="nil"/>
              <w:bottom w:val="single" w:color="000000" w:sz="4" w:space="0"/>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马奇</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副总指挥（办公室主任）</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15327822228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180" w:type="dxa"/>
            <w:vMerge w:val="restart"/>
            <w:tcBorders>
              <w:top w:val="single" w:color="000000" w:sz="4" w:space="0"/>
              <w:left w:val="nil"/>
              <w:bottom w:val="single" w:color="000000" w:sz="4" w:space="0"/>
              <w:right w:val="single" w:color="000000" w:sz="4" w:space="0"/>
            </w:tcBorders>
          </w:tcPr>
          <w:p>
            <w:pPr>
              <w:jc w:val="center"/>
              <w:rPr>
                <w:szCs w:val="21"/>
              </w:rPr>
            </w:pPr>
          </w:p>
          <w:p>
            <w:pPr>
              <w:jc w:val="center"/>
              <w:rPr>
                <w:szCs w:val="21"/>
              </w:rPr>
            </w:pPr>
          </w:p>
          <w:p>
            <w:pPr>
              <w:jc w:val="center"/>
              <w:rPr>
                <w:sz w:val="21"/>
              </w:rPr>
            </w:pPr>
            <w:r>
              <w:rPr>
                <w:rFonts w:hint="eastAsia"/>
                <w:szCs w:val="21"/>
              </w:rPr>
              <w:t>疏散救援组</w:t>
            </w: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童漫</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组长</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13339870717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180" w:type="dxa"/>
            <w:vMerge w:val="continue"/>
            <w:tcBorders>
              <w:top w:val="nil"/>
              <w:left w:val="nil"/>
              <w:bottom w:val="single" w:color="000000" w:sz="4" w:space="0"/>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周海平</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13135961176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180" w:type="dxa"/>
            <w:vMerge w:val="continue"/>
            <w:tcBorders>
              <w:top w:val="nil"/>
              <w:left w:val="nil"/>
              <w:bottom w:val="single" w:color="000000" w:sz="4" w:space="0"/>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刘亚美</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15871946633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180" w:type="dxa"/>
            <w:vMerge w:val="continue"/>
            <w:tcBorders>
              <w:top w:val="nil"/>
              <w:left w:val="nil"/>
              <w:bottom w:val="single" w:color="000000" w:sz="4" w:space="0"/>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柒楚英</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18971815337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180" w:type="dxa"/>
            <w:vMerge w:val="restart"/>
            <w:tcBorders>
              <w:top w:val="single" w:color="000000" w:sz="4" w:space="0"/>
              <w:left w:val="nil"/>
              <w:bottom w:val="single" w:color="000000" w:sz="4" w:space="0"/>
              <w:right w:val="single" w:color="000000" w:sz="4" w:space="0"/>
            </w:tcBorders>
          </w:tcPr>
          <w:p>
            <w:pPr>
              <w:jc w:val="center"/>
              <w:rPr>
                <w:szCs w:val="21"/>
              </w:rPr>
            </w:pPr>
          </w:p>
          <w:p>
            <w:pPr>
              <w:ind w:firstLine="1100" w:firstLineChars="500"/>
              <w:jc w:val="both"/>
              <w:rPr>
                <w:sz w:val="21"/>
              </w:rPr>
            </w:pPr>
            <w:r>
              <w:rPr>
                <w:rFonts w:hint="eastAsia"/>
              </w:rPr>
              <w:t>环境监测组</w:t>
            </w: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徐萍</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组长</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15586785968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180" w:type="dxa"/>
            <w:vMerge w:val="continue"/>
            <w:tcBorders>
              <w:top w:val="nil"/>
              <w:left w:val="nil"/>
              <w:bottom w:val="single" w:color="000000" w:sz="4" w:space="0"/>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马景新</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13367152491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180" w:type="dxa"/>
            <w:vMerge w:val="continue"/>
            <w:tcBorders>
              <w:top w:val="nil"/>
              <w:left w:val="nil"/>
              <w:bottom w:val="single" w:color="000000" w:sz="4" w:space="0"/>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刘亚美</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15871946633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trPr>
        <w:tc>
          <w:tcPr>
            <w:tcW w:w="3180" w:type="dxa"/>
            <w:vMerge w:val="restart"/>
            <w:tcBorders>
              <w:top w:val="single" w:color="000000" w:sz="4" w:space="0"/>
              <w:left w:val="nil"/>
              <w:right w:val="single" w:color="000000" w:sz="4" w:space="0"/>
            </w:tcBorders>
          </w:tcPr>
          <w:p>
            <w:pPr>
              <w:jc w:val="center"/>
              <w:rPr>
                <w:szCs w:val="21"/>
              </w:rPr>
            </w:pPr>
          </w:p>
          <w:p>
            <w:pPr>
              <w:ind w:firstLine="1100" w:firstLineChars="500"/>
              <w:jc w:val="both"/>
              <w:rPr>
                <w:sz w:val="21"/>
              </w:rPr>
            </w:pPr>
            <w:r>
              <w:rPr>
                <w:rFonts w:hint="eastAsia"/>
                <w:szCs w:val="21"/>
              </w:rPr>
              <w:t>后勤医疗组</w:t>
            </w: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刘佳</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组长</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17720331617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3180" w:type="dxa"/>
            <w:vMerge w:val="continue"/>
            <w:tcBorders>
              <w:top w:val="nil"/>
              <w:left w:val="nil"/>
              <w:right w:val="single" w:color="000000" w:sz="4" w:space="0"/>
            </w:tcBorders>
          </w:tcPr>
          <w:p>
            <w:pPr>
              <w:jc w:val="center"/>
              <w:rPr>
                <w:sz w:val="2"/>
                <w:szCs w:val="2"/>
              </w:rPr>
            </w:pPr>
          </w:p>
        </w:tc>
        <w:tc>
          <w:tcPr>
            <w:tcW w:w="1595"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刘高云</w:t>
            </w:r>
          </w:p>
        </w:tc>
        <w:tc>
          <w:tcPr>
            <w:tcW w:w="3181" w:type="dxa"/>
            <w:tcBorders>
              <w:top w:val="single" w:color="000000" w:sz="4" w:space="0"/>
              <w:left w:val="single" w:color="000000" w:sz="4" w:space="0"/>
              <w:bottom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bottom w:val="single" w:color="000000" w:sz="4" w:space="0"/>
              <w:right w:val="nil"/>
            </w:tcBorders>
          </w:tcPr>
          <w:p>
            <w:pPr>
              <w:jc w:val="center"/>
              <w:rPr>
                <w:rFonts w:ascii="Times New Roman"/>
                <w:sz w:val="21"/>
              </w:rPr>
            </w:pPr>
            <w:r>
              <w:rPr>
                <w:rFonts w:hint="eastAsia"/>
                <w:szCs w:val="21"/>
              </w:rPr>
              <w:t>13972856366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trPr>
        <w:tc>
          <w:tcPr>
            <w:tcW w:w="3180" w:type="dxa"/>
            <w:tcBorders>
              <w:top w:val="nil"/>
              <w:left w:val="nil"/>
              <w:right w:val="single" w:color="000000" w:sz="4" w:space="0"/>
            </w:tcBorders>
          </w:tcPr>
          <w:p>
            <w:pPr>
              <w:jc w:val="center"/>
              <w:rPr>
                <w:sz w:val="2"/>
                <w:szCs w:val="2"/>
              </w:rPr>
            </w:pPr>
          </w:p>
        </w:tc>
        <w:tc>
          <w:tcPr>
            <w:tcW w:w="1595" w:type="dxa"/>
            <w:tcBorders>
              <w:top w:val="single" w:color="000000" w:sz="4" w:space="0"/>
              <w:left w:val="single" w:color="000000" w:sz="4" w:space="0"/>
              <w:right w:val="single" w:color="000000" w:sz="4" w:space="0"/>
            </w:tcBorders>
          </w:tcPr>
          <w:p>
            <w:pPr>
              <w:jc w:val="center"/>
              <w:rPr>
                <w:sz w:val="21"/>
              </w:rPr>
            </w:pPr>
            <w:r>
              <w:rPr>
                <w:rFonts w:hint="eastAsia"/>
                <w:szCs w:val="21"/>
              </w:rPr>
              <w:t>马景新</w:t>
            </w:r>
          </w:p>
        </w:tc>
        <w:tc>
          <w:tcPr>
            <w:tcW w:w="3181" w:type="dxa"/>
            <w:tcBorders>
              <w:top w:val="single" w:color="000000" w:sz="4" w:space="0"/>
              <w:left w:val="single" w:color="000000" w:sz="4" w:space="0"/>
              <w:right w:val="single" w:color="000000" w:sz="4" w:space="0"/>
            </w:tcBorders>
          </w:tcPr>
          <w:p>
            <w:pPr>
              <w:jc w:val="center"/>
              <w:rPr>
                <w:sz w:val="21"/>
              </w:rPr>
            </w:pPr>
            <w:r>
              <w:rPr>
                <w:rFonts w:hint="eastAsia"/>
                <w:szCs w:val="21"/>
              </w:rPr>
              <w:t>组员</w:t>
            </w:r>
          </w:p>
        </w:tc>
        <w:tc>
          <w:tcPr>
            <w:tcW w:w="2000" w:type="dxa"/>
            <w:tcBorders>
              <w:top w:val="single" w:color="000000" w:sz="4" w:space="0"/>
              <w:left w:val="single" w:color="000000" w:sz="4" w:space="0"/>
              <w:right w:val="nil"/>
            </w:tcBorders>
          </w:tcPr>
          <w:p>
            <w:pPr>
              <w:jc w:val="center"/>
              <w:rPr>
                <w:rFonts w:ascii="Times New Roman"/>
                <w:sz w:val="21"/>
              </w:rPr>
            </w:pPr>
            <w:r>
              <w:rPr>
                <w:rFonts w:hint="eastAsia"/>
                <w:szCs w:val="21"/>
              </w:rPr>
              <w:t>13367152491</w:t>
            </w:r>
          </w:p>
        </w:tc>
      </w:tr>
    </w:tbl>
    <w:p>
      <w:pPr>
        <w:jc w:val="center"/>
        <w:rPr>
          <w:rFonts w:ascii="Times New Roman"/>
          <w:sz w:val="21"/>
        </w:rPr>
        <w:sectPr>
          <w:pgSz w:w="11910" w:h="16840"/>
          <w:pgMar w:top="1360" w:right="840" w:bottom="1180" w:left="840" w:header="882" w:footer="993" w:gutter="0"/>
          <w:cols w:space="720" w:num="1"/>
        </w:sectPr>
      </w:pPr>
    </w:p>
    <w:p>
      <w:pPr>
        <w:pStyle w:val="10"/>
        <w:spacing w:before="9"/>
        <w:rPr>
          <w:b/>
          <w:sz w:val="11"/>
        </w:rPr>
      </w:pPr>
    </w:p>
    <w:p>
      <w:pPr>
        <w:spacing w:before="70"/>
        <w:ind w:left="240"/>
        <w:rPr>
          <w:b/>
          <w:sz w:val="28"/>
        </w:rPr>
      </w:pPr>
      <w:r>
        <w:rPr>
          <w:b/>
          <w:sz w:val="28"/>
        </w:rPr>
        <w:t xml:space="preserve">附件 </w:t>
      </w:r>
      <w:r>
        <w:rPr>
          <w:rFonts w:ascii="Times New Roman" w:eastAsia="Times New Roman"/>
          <w:b/>
          <w:sz w:val="28"/>
        </w:rPr>
        <w:t xml:space="preserve">2  </w:t>
      </w:r>
      <w:r>
        <w:rPr>
          <w:b/>
          <w:sz w:val="28"/>
        </w:rPr>
        <w:t>环境应急支持单位和应急场所信息</w:t>
      </w:r>
    </w:p>
    <w:p>
      <w:pPr>
        <w:pStyle w:val="10"/>
        <w:spacing w:before="8"/>
        <w:rPr>
          <w:b/>
          <w:sz w:val="26"/>
        </w:rPr>
      </w:pPr>
    </w:p>
    <w:tbl>
      <w:tblPr>
        <w:tblStyle w:val="15"/>
        <w:tblW w:w="0" w:type="auto"/>
        <w:tblInd w:w="17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039"/>
        <w:gridCol w:w="481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left w:val="nil"/>
              <w:bottom w:val="single" w:color="000000" w:sz="4" w:space="0"/>
              <w:right w:val="single" w:color="000000" w:sz="4" w:space="0"/>
            </w:tcBorders>
          </w:tcPr>
          <w:p>
            <w:pPr>
              <w:pStyle w:val="24"/>
              <w:tabs>
                <w:tab w:val="left" w:pos="452"/>
              </w:tabs>
              <w:spacing w:before="32"/>
              <w:ind w:left="32"/>
              <w:jc w:val="center"/>
              <w:rPr>
                <w:b/>
                <w:sz w:val="21"/>
              </w:rPr>
            </w:pPr>
            <w:r>
              <w:rPr>
                <w:b/>
                <w:sz w:val="21"/>
              </w:rPr>
              <w:t>单</w:t>
            </w:r>
            <w:r>
              <w:rPr>
                <w:b/>
                <w:sz w:val="21"/>
              </w:rPr>
              <w:tab/>
            </w:r>
            <w:r>
              <w:rPr>
                <w:b/>
                <w:sz w:val="21"/>
              </w:rPr>
              <w:t>位</w:t>
            </w:r>
          </w:p>
        </w:tc>
        <w:tc>
          <w:tcPr>
            <w:tcW w:w="4814" w:type="dxa"/>
            <w:tcBorders>
              <w:left w:val="single" w:color="000000" w:sz="4" w:space="0"/>
              <w:bottom w:val="single" w:color="000000" w:sz="4" w:space="0"/>
              <w:right w:val="nil"/>
            </w:tcBorders>
          </w:tcPr>
          <w:p>
            <w:pPr>
              <w:pStyle w:val="24"/>
              <w:spacing w:before="32"/>
              <w:ind w:left="1292" w:right="1266"/>
              <w:jc w:val="center"/>
              <w:rPr>
                <w:b/>
                <w:sz w:val="21"/>
              </w:rPr>
            </w:pPr>
            <w:r>
              <w:rPr>
                <w:b/>
                <w:sz w:val="21"/>
              </w:rPr>
              <w:t>联系电话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2"/>
              <w:ind w:left="32"/>
              <w:jc w:val="center"/>
              <w:rPr>
                <w:sz w:val="21"/>
              </w:rPr>
            </w:pPr>
            <w:r>
              <w:rPr>
                <w:sz w:val="21"/>
              </w:rPr>
              <w:t>火警</w:t>
            </w:r>
          </w:p>
        </w:tc>
        <w:tc>
          <w:tcPr>
            <w:tcW w:w="4814" w:type="dxa"/>
            <w:tcBorders>
              <w:top w:val="single" w:color="000000" w:sz="4" w:space="0"/>
              <w:left w:val="single" w:color="000000" w:sz="4" w:space="0"/>
              <w:bottom w:val="single" w:color="000000" w:sz="4" w:space="0"/>
              <w:right w:val="nil"/>
            </w:tcBorders>
          </w:tcPr>
          <w:p>
            <w:pPr>
              <w:pStyle w:val="24"/>
              <w:spacing w:before="49"/>
              <w:ind w:left="1292" w:right="1267"/>
              <w:jc w:val="center"/>
              <w:rPr>
                <w:rFonts w:ascii="Times New Roman"/>
                <w:sz w:val="21"/>
              </w:rPr>
            </w:pPr>
            <w:r>
              <w:rPr>
                <w:rFonts w:ascii="Times New Roman"/>
                <w:sz w:val="21"/>
              </w:rPr>
              <w:t>119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3"/>
              <w:ind w:left="30"/>
              <w:jc w:val="center"/>
              <w:rPr>
                <w:sz w:val="21"/>
              </w:rPr>
            </w:pPr>
            <w:r>
              <w:rPr>
                <w:sz w:val="21"/>
              </w:rPr>
              <w:t>交通事件</w:t>
            </w:r>
          </w:p>
        </w:tc>
        <w:tc>
          <w:tcPr>
            <w:tcW w:w="4814" w:type="dxa"/>
            <w:tcBorders>
              <w:top w:val="single" w:color="000000" w:sz="4" w:space="0"/>
              <w:left w:val="single" w:color="000000" w:sz="4" w:space="0"/>
              <w:bottom w:val="single" w:color="000000" w:sz="4" w:space="0"/>
              <w:right w:val="nil"/>
            </w:tcBorders>
          </w:tcPr>
          <w:p>
            <w:pPr>
              <w:pStyle w:val="24"/>
              <w:spacing w:before="47"/>
              <w:ind w:left="1292" w:right="1270"/>
              <w:jc w:val="center"/>
              <w:rPr>
                <w:rFonts w:ascii="Times New Roman"/>
                <w:sz w:val="21"/>
              </w:rPr>
            </w:pPr>
            <w:r>
              <w:rPr>
                <w:rFonts w:ascii="Times New Roman"/>
                <w:sz w:val="21"/>
              </w:rPr>
              <w:t>122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3"/>
              <w:ind w:left="32"/>
              <w:jc w:val="center"/>
              <w:rPr>
                <w:sz w:val="21"/>
              </w:rPr>
            </w:pPr>
            <w:r>
              <w:rPr>
                <w:sz w:val="21"/>
              </w:rPr>
              <w:t>公安</w:t>
            </w:r>
          </w:p>
        </w:tc>
        <w:tc>
          <w:tcPr>
            <w:tcW w:w="4814" w:type="dxa"/>
            <w:tcBorders>
              <w:top w:val="single" w:color="000000" w:sz="4" w:space="0"/>
              <w:left w:val="single" w:color="000000" w:sz="4" w:space="0"/>
              <w:bottom w:val="single" w:color="000000" w:sz="4" w:space="0"/>
              <w:right w:val="nil"/>
            </w:tcBorders>
          </w:tcPr>
          <w:p>
            <w:pPr>
              <w:pStyle w:val="24"/>
              <w:spacing w:before="47"/>
              <w:ind w:left="1292" w:right="1267"/>
              <w:jc w:val="center"/>
              <w:rPr>
                <w:rFonts w:ascii="Times New Roman"/>
                <w:sz w:val="21"/>
              </w:rPr>
            </w:pPr>
            <w:r>
              <w:rPr>
                <w:rFonts w:ascii="Times New Roman"/>
                <w:sz w:val="21"/>
              </w:rPr>
              <w:t>110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4"/>
              <w:ind w:left="30"/>
              <w:jc w:val="center"/>
              <w:rPr>
                <w:sz w:val="21"/>
              </w:rPr>
            </w:pPr>
            <w:r>
              <w:rPr>
                <w:sz w:val="21"/>
              </w:rPr>
              <w:t>急救中心</w:t>
            </w:r>
          </w:p>
        </w:tc>
        <w:tc>
          <w:tcPr>
            <w:tcW w:w="4814" w:type="dxa"/>
            <w:tcBorders>
              <w:top w:val="single" w:color="000000" w:sz="4" w:space="0"/>
              <w:left w:val="single" w:color="000000" w:sz="4" w:space="0"/>
              <w:bottom w:val="single" w:color="000000" w:sz="4" w:space="0"/>
              <w:right w:val="nil"/>
            </w:tcBorders>
          </w:tcPr>
          <w:p>
            <w:pPr>
              <w:pStyle w:val="24"/>
              <w:spacing w:before="47"/>
              <w:ind w:left="1292" w:right="1270"/>
              <w:jc w:val="center"/>
              <w:rPr>
                <w:rFonts w:ascii="Times New Roman"/>
                <w:sz w:val="21"/>
              </w:rPr>
            </w:pPr>
            <w:r>
              <w:rPr>
                <w:rFonts w:ascii="Times New Roman"/>
                <w:sz w:val="21"/>
              </w:rPr>
              <w:t>120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4"/>
              <w:ind w:left="32"/>
              <w:jc w:val="center"/>
              <w:rPr>
                <w:sz w:val="21"/>
              </w:rPr>
            </w:pPr>
            <w:r>
              <w:rPr>
                <w:sz w:val="21"/>
              </w:rPr>
              <w:t>赤壁市人民政府</w:t>
            </w:r>
          </w:p>
        </w:tc>
        <w:tc>
          <w:tcPr>
            <w:tcW w:w="4814" w:type="dxa"/>
            <w:tcBorders>
              <w:top w:val="single" w:color="000000" w:sz="4" w:space="0"/>
              <w:left w:val="single" w:color="000000" w:sz="4" w:space="0"/>
              <w:bottom w:val="single" w:color="000000" w:sz="4" w:space="0"/>
              <w:right w:val="nil"/>
            </w:tcBorders>
          </w:tcPr>
          <w:p>
            <w:pPr>
              <w:pStyle w:val="24"/>
              <w:spacing w:before="48"/>
              <w:ind w:left="1292" w:right="1267"/>
              <w:jc w:val="center"/>
              <w:rPr>
                <w:rFonts w:ascii="Times New Roman"/>
                <w:sz w:val="21"/>
              </w:rPr>
            </w:pPr>
            <w:r>
              <w:rPr>
                <w:rFonts w:ascii="Times New Roman"/>
                <w:sz w:val="21"/>
              </w:rPr>
              <w:t>0715-5353105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2"/>
              <w:ind w:left="32"/>
              <w:jc w:val="center"/>
              <w:rPr>
                <w:sz w:val="21"/>
              </w:rPr>
            </w:pPr>
            <w:r>
              <w:rPr>
                <w:sz w:val="21"/>
              </w:rPr>
              <w:t>咸宁市中心医院</w:t>
            </w:r>
          </w:p>
        </w:tc>
        <w:tc>
          <w:tcPr>
            <w:tcW w:w="4814" w:type="dxa"/>
            <w:tcBorders>
              <w:top w:val="single" w:color="000000" w:sz="4" w:space="0"/>
              <w:left w:val="single" w:color="000000" w:sz="4" w:space="0"/>
              <w:bottom w:val="single" w:color="000000" w:sz="4" w:space="0"/>
              <w:right w:val="nil"/>
            </w:tcBorders>
          </w:tcPr>
          <w:p>
            <w:pPr>
              <w:pStyle w:val="24"/>
              <w:spacing w:before="48"/>
              <w:ind w:left="1292" w:right="1267"/>
              <w:jc w:val="center"/>
              <w:rPr>
                <w:rFonts w:ascii="Times New Roman"/>
                <w:sz w:val="21"/>
              </w:rPr>
            </w:pPr>
            <w:r>
              <w:rPr>
                <w:rFonts w:ascii="Times New Roman"/>
                <w:sz w:val="21"/>
              </w:rPr>
              <w:t>0715-8896013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2"/>
              <w:ind w:left="32"/>
              <w:jc w:val="center"/>
              <w:rPr>
                <w:sz w:val="21"/>
              </w:rPr>
            </w:pPr>
            <w:r>
              <w:rPr>
                <w:sz w:val="21"/>
              </w:rPr>
              <w:t>赤壁市人民医院</w:t>
            </w:r>
          </w:p>
        </w:tc>
        <w:tc>
          <w:tcPr>
            <w:tcW w:w="4814" w:type="dxa"/>
            <w:tcBorders>
              <w:top w:val="single" w:color="000000" w:sz="4" w:space="0"/>
              <w:left w:val="single" w:color="000000" w:sz="4" w:space="0"/>
              <w:bottom w:val="single" w:color="000000" w:sz="4" w:space="0"/>
              <w:right w:val="nil"/>
            </w:tcBorders>
          </w:tcPr>
          <w:p>
            <w:pPr>
              <w:pStyle w:val="24"/>
              <w:spacing w:before="49"/>
              <w:ind w:left="1292" w:right="1267"/>
              <w:jc w:val="center"/>
              <w:rPr>
                <w:rFonts w:ascii="Times New Roman"/>
                <w:sz w:val="21"/>
              </w:rPr>
            </w:pPr>
            <w:r>
              <w:rPr>
                <w:rFonts w:ascii="Times New Roman"/>
                <w:sz w:val="21"/>
              </w:rPr>
              <w:t>0715-5369000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3"/>
              <w:ind w:left="30"/>
              <w:jc w:val="center"/>
              <w:rPr>
                <w:sz w:val="21"/>
              </w:rPr>
            </w:pPr>
            <w:r>
              <w:rPr>
                <w:sz w:val="21"/>
              </w:rPr>
              <w:t>咸宁市生态环境局</w:t>
            </w:r>
          </w:p>
        </w:tc>
        <w:tc>
          <w:tcPr>
            <w:tcW w:w="4814" w:type="dxa"/>
            <w:tcBorders>
              <w:top w:val="single" w:color="000000" w:sz="4" w:space="0"/>
              <w:left w:val="single" w:color="000000" w:sz="4" w:space="0"/>
              <w:bottom w:val="single" w:color="000000" w:sz="4" w:space="0"/>
              <w:right w:val="nil"/>
            </w:tcBorders>
          </w:tcPr>
          <w:p>
            <w:pPr>
              <w:pStyle w:val="24"/>
              <w:spacing w:before="47"/>
              <w:ind w:left="1292" w:right="1267"/>
              <w:jc w:val="center"/>
              <w:rPr>
                <w:rFonts w:ascii="Times New Roman"/>
                <w:sz w:val="21"/>
              </w:rPr>
            </w:pPr>
            <w:r>
              <w:rPr>
                <w:rFonts w:ascii="Times New Roman"/>
                <w:sz w:val="21"/>
              </w:rPr>
              <w:t>0715-8271319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3"/>
              <w:ind w:left="30"/>
              <w:jc w:val="center"/>
              <w:rPr>
                <w:sz w:val="21"/>
              </w:rPr>
            </w:pPr>
            <w:r>
              <w:rPr>
                <w:sz w:val="21"/>
              </w:rPr>
              <w:t>咸宁市生态环境局赤壁市分局</w:t>
            </w:r>
          </w:p>
        </w:tc>
        <w:tc>
          <w:tcPr>
            <w:tcW w:w="4814" w:type="dxa"/>
            <w:tcBorders>
              <w:top w:val="single" w:color="000000" w:sz="4" w:space="0"/>
              <w:left w:val="single" w:color="000000" w:sz="4" w:space="0"/>
              <w:bottom w:val="single" w:color="000000" w:sz="4" w:space="0"/>
              <w:right w:val="nil"/>
            </w:tcBorders>
          </w:tcPr>
          <w:p>
            <w:pPr>
              <w:pStyle w:val="24"/>
              <w:spacing w:before="47"/>
              <w:ind w:left="1292" w:right="1267"/>
              <w:jc w:val="center"/>
              <w:rPr>
                <w:rFonts w:ascii="Times New Roman"/>
                <w:sz w:val="21"/>
              </w:rPr>
            </w:pPr>
            <w:r>
              <w:rPr>
                <w:rFonts w:ascii="Times New Roman"/>
                <w:sz w:val="21"/>
              </w:rPr>
              <w:t>0715-5355351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4"/>
              <w:ind w:left="32"/>
              <w:jc w:val="center"/>
              <w:rPr>
                <w:sz w:val="21"/>
              </w:rPr>
            </w:pPr>
            <w:r>
              <w:rPr>
                <w:sz w:val="21"/>
              </w:rPr>
              <w:t>赤壁市公安局</w:t>
            </w:r>
          </w:p>
        </w:tc>
        <w:tc>
          <w:tcPr>
            <w:tcW w:w="4814" w:type="dxa"/>
            <w:tcBorders>
              <w:top w:val="single" w:color="000000" w:sz="4" w:space="0"/>
              <w:left w:val="single" w:color="000000" w:sz="4" w:space="0"/>
              <w:bottom w:val="single" w:color="000000" w:sz="4" w:space="0"/>
              <w:right w:val="nil"/>
            </w:tcBorders>
          </w:tcPr>
          <w:p>
            <w:pPr>
              <w:pStyle w:val="24"/>
              <w:spacing w:before="47"/>
              <w:ind w:left="1292" w:right="1263"/>
              <w:jc w:val="center"/>
              <w:rPr>
                <w:rFonts w:ascii="Times New Roman"/>
                <w:sz w:val="21"/>
              </w:rPr>
            </w:pPr>
            <w:r>
              <w:rPr>
                <w:rFonts w:ascii="Times New Roman"/>
                <w:sz w:val="21"/>
              </w:rPr>
              <w:t>0715-5263411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4"/>
              <w:ind w:left="30"/>
              <w:jc w:val="center"/>
              <w:rPr>
                <w:sz w:val="21"/>
              </w:rPr>
            </w:pPr>
            <w:r>
              <w:rPr>
                <w:sz w:val="21"/>
              </w:rPr>
              <w:t>赤壁市应急管理局</w:t>
            </w:r>
          </w:p>
        </w:tc>
        <w:tc>
          <w:tcPr>
            <w:tcW w:w="4814" w:type="dxa"/>
            <w:tcBorders>
              <w:top w:val="single" w:color="000000" w:sz="4" w:space="0"/>
              <w:left w:val="single" w:color="000000" w:sz="4" w:space="0"/>
              <w:bottom w:val="single" w:color="000000" w:sz="4" w:space="0"/>
              <w:right w:val="nil"/>
            </w:tcBorders>
          </w:tcPr>
          <w:p>
            <w:pPr>
              <w:pStyle w:val="24"/>
              <w:spacing w:before="48"/>
              <w:ind w:left="1292" w:right="1267"/>
              <w:jc w:val="center"/>
              <w:rPr>
                <w:rFonts w:ascii="Times New Roman"/>
                <w:sz w:val="21"/>
              </w:rPr>
            </w:pPr>
            <w:r>
              <w:rPr>
                <w:rFonts w:ascii="Times New Roman"/>
                <w:sz w:val="21"/>
              </w:rPr>
              <w:t>0715-5353630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5039" w:type="dxa"/>
            <w:tcBorders>
              <w:top w:val="single" w:color="000000" w:sz="4" w:space="0"/>
              <w:left w:val="nil"/>
              <w:bottom w:val="single" w:color="000000" w:sz="4" w:space="0"/>
              <w:right w:val="single" w:color="000000" w:sz="4" w:space="0"/>
            </w:tcBorders>
          </w:tcPr>
          <w:p>
            <w:pPr>
              <w:pStyle w:val="24"/>
              <w:spacing w:before="32"/>
              <w:ind w:left="30"/>
              <w:jc w:val="center"/>
              <w:rPr>
                <w:sz w:val="21"/>
              </w:rPr>
            </w:pPr>
            <w:r>
              <w:rPr>
                <w:sz w:val="21"/>
              </w:rPr>
              <w:t>赤壁市水利和湖泊局</w:t>
            </w:r>
          </w:p>
        </w:tc>
        <w:tc>
          <w:tcPr>
            <w:tcW w:w="4814" w:type="dxa"/>
            <w:tcBorders>
              <w:top w:val="single" w:color="000000" w:sz="4" w:space="0"/>
              <w:left w:val="single" w:color="000000" w:sz="4" w:space="0"/>
              <w:bottom w:val="single" w:color="000000" w:sz="4" w:space="0"/>
              <w:right w:val="nil"/>
            </w:tcBorders>
          </w:tcPr>
          <w:p>
            <w:pPr>
              <w:pStyle w:val="24"/>
              <w:spacing w:before="48"/>
              <w:ind w:left="1292" w:right="1267"/>
              <w:jc w:val="center"/>
              <w:rPr>
                <w:rFonts w:ascii="Times New Roman"/>
                <w:sz w:val="21"/>
              </w:rPr>
            </w:pPr>
            <w:r>
              <w:rPr>
                <w:rFonts w:ascii="Times New Roman"/>
                <w:sz w:val="21"/>
              </w:rPr>
              <w:t>0715-5351315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2"/>
              <w:ind w:left="32"/>
              <w:jc w:val="center"/>
              <w:rPr>
                <w:sz w:val="21"/>
              </w:rPr>
            </w:pPr>
            <w:r>
              <w:rPr>
                <w:sz w:val="21"/>
              </w:rPr>
              <w:t>赤壁市自然资源和规划局</w:t>
            </w:r>
          </w:p>
        </w:tc>
        <w:tc>
          <w:tcPr>
            <w:tcW w:w="4814" w:type="dxa"/>
            <w:tcBorders>
              <w:top w:val="single" w:color="000000" w:sz="4" w:space="0"/>
              <w:left w:val="single" w:color="000000" w:sz="4" w:space="0"/>
              <w:bottom w:val="single" w:color="000000" w:sz="4" w:space="0"/>
              <w:right w:val="nil"/>
            </w:tcBorders>
          </w:tcPr>
          <w:p>
            <w:pPr>
              <w:pStyle w:val="24"/>
              <w:spacing w:before="49"/>
              <w:ind w:left="1292" w:right="1267"/>
              <w:jc w:val="center"/>
              <w:rPr>
                <w:rFonts w:ascii="Times New Roman"/>
                <w:sz w:val="21"/>
              </w:rPr>
            </w:pPr>
            <w:r>
              <w:rPr>
                <w:rFonts w:ascii="Times New Roman"/>
                <w:sz w:val="21"/>
              </w:rPr>
              <w:t>0715-5350659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5039" w:type="dxa"/>
            <w:tcBorders>
              <w:top w:val="single" w:color="000000" w:sz="4" w:space="0"/>
              <w:left w:val="nil"/>
              <w:bottom w:val="single" w:color="000000" w:sz="4" w:space="0"/>
              <w:right w:val="single" w:color="000000" w:sz="4" w:space="0"/>
            </w:tcBorders>
          </w:tcPr>
          <w:p>
            <w:pPr>
              <w:pStyle w:val="24"/>
              <w:spacing w:before="32"/>
              <w:ind w:left="30"/>
              <w:jc w:val="center"/>
              <w:rPr>
                <w:sz w:val="21"/>
              </w:rPr>
            </w:pPr>
            <w:r>
              <w:rPr>
                <w:rFonts w:hint="eastAsia"/>
                <w:sz w:val="21"/>
              </w:rPr>
              <w:t>陆水湖街道办</w:t>
            </w:r>
          </w:p>
        </w:tc>
        <w:tc>
          <w:tcPr>
            <w:tcW w:w="4814" w:type="dxa"/>
            <w:tcBorders>
              <w:top w:val="single" w:color="000000" w:sz="4" w:space="0"/>
              <w:left w:val="single" w:color="000000" w:sz="4" w:space="0"/>
              <w:bottom w:val="single" w:color="000000" w:sz="4" w:space="0"/>
              <w:right w:val="nil"/>
            </w:tcBorders>
          </w:tcPr>
          <w:p>
            <w:pPr>
              <w:pStyle w:val="24"/>
              <w:spacing w:before="48"/>
              <w:ind w:left="1292" w:right="1267"/>
              <w:jc w:val="center"/>
              <w:rPr>
                <w:rFonts w:ascii="Times New Roman"/>
                <w:sz w:val="21"/>
              </w:rPr>
            </w:pPr>
            <w:r>
              <w:rPr>
                <w:rFonts w:ascii="Times New Roman"/>
                <w:sz w:val="21"/>
              </w:rPr>
              <w:t>0715-5</w:t>
            </w:r>
            <w:r>
              <w:rPr>
                <w:rFonts w:hint="eastAsia" w:ascii="Times New Roman"/>
                <w:sz w:val="21"/>
                <w:lang w:val="en-US"/>
              </w:rPr>
              <w:t>510037</w:t>
            </w:r>
          </w:p>
        </w:tc>
      </w:tr>
    </w:tbl>
    <w:p>
      <w:pPr>
        <w:jc w:val="center"/>
        <w:rPr>
          <w:sz w:val="21"/>
        </w:rPr>
        <w:sectPr>
          <w:pgSz w:w="11910" w:h="16840"/>
          <w:pgMar w:top="1360" w:right="840" w:bottom="1180" w:left="840" w:header="882" w:footer="993" w:gutter="0"/>
          <w:cols w:space="720" w:num="1"/>
        </w:sectPr>
      </w:pPr>
    </w:p>
    <w:p>
      <w:pPr>
        <w:pStyle w:val="10"/>
        <w:spacing w:before="9"/>
        <w:rPr>
          <w:b/>
          <w:sz w:val="11"/>
        </w:rPr>
      </w:pPr>
    </w:p>
    <w:p>
      <w:pPr>
        <w:spacing w:before="70"/>
        <w:ind w:left="240"/>
        <w:rPr>
          <w:b/>
          <w:sz w:val="28"/>
        </w:rPr>
      </w:pPr>
      <w:r>
        <w:rPr>
          <w:b/>
          <w:sz w:val="28"/>
        </w:rPr>
        <w:t xml:space="preserve">附件 </w:t>
      </w:r>
      <w:r>
        <w:rPr>
          <w:rFonts w:ascii="Times New Roman" w:eastAsia="Times New Roman"/>
          <w:b/>
          <w:sz w:val="28"/>
        </w:rPr>
        <w:t xml:space="preserve">3  </w:t>
      </w:r>
      <w:r>
        <w:rPr>
          <w:b/>
          <w:sz w:val="28"/>
        </w:rPr>
        <w:t>环境应急物资装备清单</w:t>
      </w:r>
    </w:p>
    <w:p>
      <w:pPr>
        <w:pStyle w:val="10"/>
        <w:spacing w:before="8"/>
        <w:rPr>
          <w:b/>
          <w:sz w:val="26"/>
        </w:rPr>
      </w:pPr>
    </w:p>
    <w:tbl>
      <w:tblPr>
        <w:tblStyle w:val="15"/>
        <w:tblW w:w="0" w:type="auto"/>
        <w:tblInd w:w="22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79"/>
        <w:gridCol w:w="734"/>
        <w:gridCol w:w="1779"/>
        <w:gridCol w:w="818"/>
        <w:gridCol w:w="1436"/>
        <w:gridCol w:w="2127"/>
        <w:gridCol w:w="108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0" w:hRule="atLeast"/>
        </w:trPr>
        <w:tc>
          <w:tcPr>
            <w:tcW w:w="1779" w:type="dxa"/>
            <w:tcBorders>
              <w:left w:val="nil"/>
              <w:bottom w:val="single" w:color="000000" w:sz="4" w:space="0"/>
              <w:right w:val="single" w:color="000000" w:sz="4" w:space="0"/>
            </w:tcBorders>
          </w:tcPr>
          <w:p>
            <w:pPr>
              <w:pStyle w:val="24"/>
              <w:spacing w:before="45"/>
              <w:ind w:left="454" w:right="322"/>
              <w:rPr>
                <w:b/>
                <w:sz w:val="21"/>
              </w:rPr>
            </w:pPr>
            <w:r>
              <w:rPr>
                <w:b/>
                <w:sz w:val="21"/>
              </w:rPr>
              <w:t>类别</w:t>
            </w:r>
          </w:p>
        </w:tc>
        <w:tc>
          <w:tcPr>
            <w:tcW w:w="734" w:type="dxa"/>
            <w:tcBorders>
              <w:left w:val="single" w:color="000000" w:sz="4" w:space="0"/>
              <w:bottom w:val="single" w:color="000000" w:sz="4" w:space="0"/>
              <w:right w:val="single" w:color="000000" w:sz="4" w:space="0"/>
            </w:tcBorders>
          </w:tcPr>
          <w:p>
            <w:pPr>
              <w:pStyle w:val="24"/>
              <w:spacing w:before="45"/>
              <w:ind w:left="144" w:right="118"/>
              <w:rPr>
                <w:b/>
                <w:sz w:val="21"/>
              </w:rPr>
            </w:pPr>
            <w:r>
              <w:rPr>
                <w:b/>
                <w:sz w:val="21"/>
              </w:rPr>
              <w:t>序号</w:t>
            </w:r>
          </w:p>
        </w:tc>
        <w:tc>
          <w:tcPr>
            <w:tcW w:w="1779" w:type="dxa"/>
            <w:tcBorders>
              <w:left w:val="single" w:color="000000" w:sz="4" w:space="0"/>
              <w:bottom w:val="single" w:color="000000" w:sz="4" w:space="0"/>
              <w:right w:val="single" w:color="000000" w:sz="4" w:space="0"/>
            </w:tcBorders>
          </w:tcPr>
          <w:p>
            <w:pPr>
              <w:pStyle w:val="24"/>
              <w:spacing w:before="45"/>
              <w:ind w:left="353" w:right="325"/>
              <w:rPr>
                <w:b/>
                <w:sz w:val="21"/>
              </w:rPr>
            </w:pPr>
            <w:r>
              <w:rPr>
                <w:b/>
                <w:sz w:val="21"/>
              </w:rPr>
              <w:t>名称</w:t>
            </w:r>
          </w:p>
        </w:tc>
        <w:tc>
          <w:tcPr>
            <w:tcW w:w="818" w:type="dxa"/>
            <w:tcBorders>
              <w:left w:val="single" w:color="000000" w:sz="4" w:space="0"/>
              <w:bottom w:val="single" w:color="000000" w:sz="4" w:space="0"/>
              <w:right w:val="single" w:color="000000" w:sz="4" w:space="0"/>
            </w:tcBorders>
          </w:tcPr>
          <w:p>
            <w:pPr>
              <w:pStyle w:val="24"/>
              <w:spacing w:before="45"/>
              <w:ind w:left="160" w:right="132"/>
              <w:rPr>
                <w:b/>
                <w:sz w:val="21"/>
              </w:rPr>
            </w:pPr>
            <w:r>
              <w:rPr>
                <w:b/>
                <w:sz w:val="21"/>
              </w:rPr>
              <w:t>数量</w:t>
            </w:r>
          </w:p>
        </w:tc>
        <w:tc>
          <w:tcPr>
            <w:tcW w:w="1436" w:type="dxa"/>
            <w:tcBorders>
              <w:left w:val="single" w:color="000000" w:sz="4" w:space="0"/>
              <w:bottom w:val="single" w:color="000000" w:sz="4" w:space="0"/>
              <w:right w:val="single" w:color="000000" w:sz="4" w:space="0"/>
            </w:tcBorders>
          </w:tcPr>
          <w:p>
            <w:pPr>
              <w:pStyle w:val="24"/>
              <w:spacing w:before="45"/>
              <w:ind w:left="286" w:right="256"/>
              <w:rPr>
                <w:b/>
                <w:sz w:val="21"/>
              </w:rPr>
            </w:pPr>
            <w:r>
              <w:rPr>
                <w:b/>
                <w:sz w:val="21"/>
              </w:rPr>
              <w:t>性能状况</w:t>
            </w:r>
          </w:p>
        </w:tc>
        <w:tc>
          <w:tcPr>
            <w:tcW w:w="2127" w:type="dxa"/>
            <w:tcBorders>
              <w:left w:val="single" w:color="000000" w:sz="4" w:space="0"/>
              <w:bottom w:val="single" w:color="000000" w:sz="4" w:space="0"/>
              <w:right w:val="single" w:color="000000" w:sz="4" w:space="0"/>
            </w:tcBorders>
          </w:tcPr>
          <w:p>
            <w:pPr>
              <w:pStyle w:val="24"/>
              <w:spacing w:before="45"/>
              <w:ind w:left="421" w:right="392"/>
              <w:rPr>
                <w:b/>
                <w:sz w:val="21"/>
              </w:rPr>
            </w:pPr>
            <w:r>
              <w:rPr>
                <w:b/>
                <w:sz w:val="21"/>
              </w:rPr>
              <w:t>摆设位置</w:t>
            </w:r>
          </w:p>
        </w:tc>
        <w:tc>
          <w:tcPr>
            <w:tcW w:w="1087" w:type="dxa"/>
            <w:tcBorders>
              <w:left w:val="single" w:color="000000" w:sz="4" w:space="0"/>
              <w:bottom w:val="single" w:color="000000" w:sz="4" w:space="0"/>
              <w:right w:val="nil"/>
            </w:tcBorders>
          </w:tcPr>
          <w:p>
            <w:pPr>
              <w:pStyle w:val="24"/>
              <w:spacing w:before="45"/>
              <w:ind w:left="238"/>
              <w:rPr>
                <w:b/>
                <w:sz w:val="21"/>
              </w:rPr>
            </w:pPr>
            <w:r>
              <w:rPr>
                <w:b/>
                <w:sz w:val="21"/>
              </w:rPr>
              <w:t>责任人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0" w:hRule="atLeast"/>
        </w:trPr>
        <w:tc>
          <w:tcPr>
            <w:tcW w:w="1779" w:type="dxa"/>
            <w:vMerge w:val="restart"/>
            <w:tcBorders>
              <w:top w:val="single" w:color="000000" w:sz="4" w:space="0"/>
              <w:left w:val="nil"/>
              <w:bottom w:val="single" w:color="000000" w:sz="4" w:space="0"/>
              <w:right w:val="single" w:color="000000" w:sz="4" w:space="0"/>
            </w:tcBorders>
          </w:tcPr>
          <w:p>
            <w:pPr>
              <w:pStyle w:val="24"/>
              <w:rPr>
                <w:b/>
                <w:sz w:val="20"/>
              </w:rPr>
            </w:pPr>
          </w:p>
          <w:p>
            <w:pPr>
              <w:pStyle w:val="24"/>
              <w:rPr>
                <w:b/>
                <w:sz w:val="20"/>
              </w:rPr>
            </w:pPr>
          </w:p>
          <w:p>
            <w:pPr>
              <w:pStyle w:val="24"/>
              <w:spacing w:before="8"/>
              <w:rPr>
                <w:b/>
                <w:sz w:val="19"/>
              </w:rPr>
            </w:pPr>
          </w:p>
          <w:p>
            <w:pPr>
              <w:pStyle w:val="24"/>
              <w:spacing w:before="1"/>
              <w:ind w:left="580"/>
              <w:rPr>
                <w:sz w:val="21"/>
              </w:rPr>
            </w:pPr>
            <w:r>
              <w:rPr>
                <w:sz w:val="21"/>
              </w:rPr>
              <w:t>消防物资</w:t>
            </w:r>
          </w:p>
        </w:tc>
        <w:tc>
          <w:tcPr>
            <w:tcW w:w="734" w:type="dxa"/>
            <w:tcBorders>
              <w:top w:val="single" w:color="000000" w:sz="4" w:space="0"/>
              <w:left w:val="single" w:color="000000" w:sz="4" w:space="0"/>
              <w:bottom w:val="single" w:color="000000" w:sz="4" w:space="0"/>
              <w:right w:val="single" w:color="000000" w:sz="4" w:space="0"/>
            </w:tcBorders>
          </w:tcPr>
          <w:p>
            <w:pPr>
              <w:pStyle w:val="24"/>
              <w:spacing w:before="58"/>
              <w:ind w:left="27"/>
              <w:rPr>
                <w:rFonts w:ascii="Times New Roman"/>
                <w:sz w:val="21"/>
              </w:rPr>
            </w:pPr>
            <w:r>
              <w:rPr>
                <w:rFonts w:ascii="Times New Roman"/>
                <w:w w:val="99"/>
                <w:sz w:val="21"/>
              </w:rPr>
              <w:t>1</w:t>
            </w:r>
          </w:p>
        </w:tc>
        <w:tc>
          <w:tcPr>
            <w:tcW w:w="1779" w:type="dxa"/>
            <w:tcBorders>
              <w:top w:val="single" w:color="000000" w:sz="4" w:space="0"/>
              <w:left w:val="single" w:color="000000" w:sz="4" w:space="0"/>
              <w:bottom w:val="single" w:color="000000" w:sz="4" w:space="0"/>
              <w:right w:val="single" w:color="000000" w:sz="4" w:space="0"/>
            </w:tcBorders>
          </w:tcPr>
          <w:p>
            <w:pPr>
              <w:pStyle w:val="24"/>
              <w:spacing w:before="44"/>
              <w:ind w:left="351" w:right="325"/>
              <w:rPr>
                <w:sz w:val="21"/>
              </w:rPr>
            </w:pPr>
            <w:r>
              <w:rPr>
                <w:sz w:val="21"/>
              </w:rPr>
              <w:t>灭火器</w:t>
            </w:r>
          </w:p>
        </w:tc>
        <w:tc>
          <w:tcPr>
            <w:tcW w:w="818" w:type="dxa"/>
            <w:tcBorders>
              <w:top w:val="single" w:color="000000" w:sz="4" w:space="0"/>
              <w:left w:val="single" w:color="000000" w:sz="4" w:space="0"/>
              <w:bottom w:val="single" w:color="000000" w:sz="4" w:space="0"/>
              <w:right w:val="single" w:color="000000" w:sz="4" w:space="0"/>
            </w:tcBorders>
          </w:tcPr>
          <w:p>
            <w:pPr>
              <w:pStyle w:val="24"/>
              <w:spacing w:before="44"/>
              <w:ind w:left="160" w:right="134"/>
              <w:rPr>
                <w:sz w:val="21"/>
              </w:rPr>
            </w:pPr>
            <w:r>
              <w:rPr>
                <w:rFonts w:hint="eastAsia" w:ascii="Times New Roman" w:eastAsia="宋体"/>
                <w:sz w:val="21"/>
                <w:lang w:val="en-US"/>
              </w:rPr>
              <w:t>32</w:t>
            </w:r>
            <w:r>
              <w:rPr>
                <w:rFonts w:ascii="Times New Roman" w:eastAsia="Times New Roman"/>
                <w:sz w:val="21"/>
              </w:rPr>
              <w:t xml:space="preserve"> </w:t>
            </w:r>
            <w:r>
              <w:rPr>
                <w:sz w:val="21"/>
              </w:rPr>
              <w:t>个</w:t>
            </w:r>
          </w:p>
        </w:tc>
        <w:tc>
          <w:tcPr>
            <w:tcW w:w="1436" w:type="dxa"/>
            <w:tcBorders>
              <w:top w:val="single" w:color="000000" w:sz="4" w:space="0"/>
              <w:left w:val="single" w:color="000000" w:sz="4" w:space="0"/>
              <w:bottom w:val="single" w:color="000000" w:sz="4" w:space="0"/>
              <w:right w:val="single" w:color="000000" w:sz="4" w:space="0"/>
            </w:tcBorders>
          </w:tcPr>
          <w:p>
            <w:pPr>
              <w:pStyle w:val="24"/>
              <w:spacing w:before="44"/>
              <w:ind w:left="284" w:right="256"/>
              <w:rPr>
                <w:sz w:val="21"/>
              </w:rPr>
            </w:pPr>
            <w:r>
              <w:rPr>
                <w:sz w:val="21"/>
              </w:rPr>
              <w:t>良好</w:t>
            </w:r>
          </w:p>
        </w:tc>
        <w:tc>
          <w:tcPr>
            <w:tcW w:w="2127" w:type="dxa"/>
            <w:tcBorders>
              <w:top w:val="single" w:color="000000" w:sz="4" w:space="0"/>
              <w:left w:val="single" w:color="000000" w:sz="4" w:space="0"/>
              <w:bottom w:val="single" w:color="000000" w:sz="4" w:space="0"/>
              <w:right w:val="single" w:color="000000" w:sz="4" w:space="0"/>
            </w:tcBorders>
          </w:tcPr>
          <w:p>
            <w:pPr>
              <w:pStyle w:val="24"/>
              <w:spacing w:before="44"/>
              <w:ind w:left="421" w:right="395"/>
              <w:rPr>
                <w:sz w:val="21"/>
              </w:rPr>
            </w:pPr>
            <w:r>
              <w:rPr>
                <w:sz w:val="21"/>
              </w:rPr>
              <w:t>车间</w:t>
            </w:r>
          </w:p>
        </w:tc>
        <w:tc>
          <w:tcPr>
            <w:tcW w:w="1087" w:type="dxa"/>
            <w:tcBorders>
              <w:top w:val="single" w:color="000000" w:sz="4" w:space="0"/>
              <w:left w:val="single" w:color="000000" w:sz="4" w:space="0"/>
              <w:bottom w:val="single" w:color="000000" w:sz="4" w:space="0"/>
              <w:right w:val="nil"/>
            </w:tcBorders>
          </w:tcPr>
          <w:p>
            <w:pPr>
              <w:pStyle w:val="24"/>
              <w:spacing w:before="44"/>
              <w:ind w:left="238"/>
              <w:rPr>
                <w:sz w:val="21"/>
              </w:rPr>
            </w:pPr>
            <w:r>
              <w:rPr>
                <w:rFonts w:hint="eastAsia"/>
              </w:rPr>
              <w:t>刘高云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0" w:hRule="atLeast"/>
        </w:trPr>
        <w:tc>
          <w:tcPr>
            <w:tcW w:w="1779" w:type="dxa"/>
            <w:vMerge w:val="continue"/>
            <w:tcBorders>
              <w:top w:val="nil"/>
              <w:left w:val="nil"/>
              <w:bottom w:val="single" w:color="000000" w:sz="4" w:space="0"/>
              <w:right w:val="single" w:color="000000" w:sz="4" w:space="0"/>
            </w:tcBorders>
          </w:tcPr>
          <w:p>
            <w:pPr>
              <w:rPr>
                <w:sz w:val="2"/>
                <w:szCs w:val="2"/>
              </w:rPr>
            </w:pPr>
          </w:p>
        </w:tc>
        <w:tc>
          <w:tcPr>
            <w:tcW w:w="734" w:type="dxa"/>
            <w:tcBorders>
              <w:top w:val="single" w:color="000000" w:sz="4" w:space="0"/>
              <w:left w:val="single" w:color="000000" w:sz="4" w:space="0"/>
              <w:bottom w:val="single" w:color="000000" w:sz="4" w:space="0"/>
              <w:right w:val="single" w:color="000000" w:sz="4" w:space="0"/>
            </w:tcBorders>
          </w:tcPr>
          <w:p>
            <w:pPr>
              <w:pStyle w:val="24"/>
              <w:spacing w:before="58"/>
              <w:ind w:left="27"/>
              <w:rPr>
                <w:rFonts w:ascii="Times New Roman"/>
                <w:sz w:val="21"/>
              </w:rPr>
            </w:pPr>
            <w:r>
              <w:rPr>
                <w:rFonts w:hint="eastAsia" w:ascii="Times New Roman"/>
                <w:sz w:val="21"/>
                <w:lang w:val="en-US"/>
              </w:rPr>
              <w:t>2</w:t>
            </w:r>
          </w:p>
        </w:tc>
        <w:tc>
          <w:tcPr>
            <w:tcW w:w="1779" w:type="dxa"/>
            <w:tcBorders>
              <w:top w:val="single" w:color="000000" w:sz="4" w:space="0"/>
              <w:left w:val="single" w:color="000000" w:sz="4" w:space="0"/>
              <w:bottom w:val="single" w:color="000000" w:sz="4" w:space="0"/>
              <w:right w:val="single" w:color="000000" w:sz="4" w:space="0"/>
            </w:tcBorders>
          </w:tcPr>
          <w:p>
            <w:pPr>
              <w:pStyle w:val="24"/>
              <w:spacing w:before="44"/>
              <w:ind w:left="351" w:right="325"/>
              <w:rPr>
                <w:sz w:val="21"/>
              </w:rPr>
            </w:pPr>
            <w:r>
              <w:rPr>
                <w:sz w:val="21"/>
              </w:rPr>
              <w:t>消防栓</w:t>
            </w:r>
          </w:p>
        </w:tc>
        <w:tc>
          <w:tcPr>
            <w:tcW w:w="818" w:type="dxa"/>
            <w:tcBorders>
              <w:top w:val="single" w:color="000000" w:sz="4" w:space="0"/>
              <w:left w:val="single" w:color="000000" w:sz="4" w:space="0"/>
              <w:bottom w:val="single" w:color="000000" w:sz="4" w:space="0"/>
              <w:right w:val="single" w:color="000000" w:sz="4" w:space="0"/>
            </w:tcBorders>
          </w:tcPr>
          <w:p>
            <w:pPr>
              <w:pStyle w:val="24"/>
              <w:spacing w:before="44"/>
              <w:ind w:left="160" w:right="134"/>
              <w:rPr>
                <w:rFonts w:ascii="Times New Roman" w:hAnsi="Times New Roman"/>
                <w:sz w:val="21"/>
              </w:rPr>
            </w:pPr>
            <w:r>
              <w:rPr>
                <w:rFonts w:hint="eastAsia" w:ascii="Times New Roman" w:eastAsia="宋体"/>
                <w:sz w:val="21"/>
                <w:lang w:val="en-US"/>
              </w:rPr>
              <w:t>4</w:t>
            </w:r>
            <w:r>
              <w:rPr>
                <w:sz w:val="21"/>
              </w:rPr>
              <w:t>个</w:t>
            </w:r>
          </w:p>
        </w:tc>
        <w:tc>
          <w:tcPr>
            <w:tcW w:w="1436" w:type="dxa"/>
            <w:tcBorders>
              <w:top w:val="single" w:color="000000" w:sz="4" w:space="0"/>
              <w:left w:val="single" w:color="000000" w:sz="4" w:space="0"/>
              <w:bottom w:val="single" w:color="000000" w:sz="4" w:space="0"/>
              <w:right w:val="single" w:color="000000" w:sz="4" w:space="0"/>
            </w:tcBorders>
          </w:tcPr>
          <w:p>
            <w:pPr>
              <w:pStyle w:val="24"/>
              <w:spacing w:before="44"/>
              <w:ind w:left="284" w:right="256"/>
              <w:rPr>
                <w:sz w:val="21"/>
              </w:rPr>
            </w:pPr>
            <w:r>
              <w:rPr>
                <w:sz w:val="21"/>
              </w:rPr>
              <w:t>良好</w:t>
            </w:r>
          </w:p>
        </w:tc>
        <w:tc>
          <w:tcPr>
            <w:tcW w:w="2127" w:type="dxa"/>
            <w:tcBorders>
              <w:top w:val="single" w:color="000000" w:sz="4" w:space="0"/>
              <w:left w:val="single" w:color="000000" w:sz="4" w:space="0"/>
              <w:bottom w:val="single" w:color="000000" w:sz="4" w:space="0"/>
              <w:right w:val="single" w:color="000000" w:sz="4" w:space="0"/>
            </w:tcBorders>
          </w:tcPr>
          <w:p>
            <w:pPr>
              <w:pStyle w:val="24"/>
              <w:spacing w:before="44"/>
              <w:ind w:left="421" w:right="395"/>
              <w:rPr>
                <w:sz w:val="21"/>
              </w:rPr>
            </w:pPr>
            <w:r>
              <w:rPr>
                <w:rFonts w:hint="eastAsia"/>
                <w:sz w:val="21"/>
              </w:rPr>
              <w:t>厂房</w:t>
            </w:r>
          </w:p>
        </w:tc>
        <w:tc>
          <w:tcPr>
            <w:tcW w:w="1087" w:type="dxa"/>
            <w:tcBorders>
              <w:top w:val="single" w:color="000000" w:sz="4" w:space="0"/>
              <w:left w:val="single" w:color="000000" w:sz="4" w:space="0"/>
              <w:bottom w:val="single" w:color="000000" w:sz="4" w:space="0"/>
              <w:right w:val="nil"/>
            </w:tcBorders>
          </w:tcPr>
          <w:p>
            <w:pPr>
              <w:spacing w:before="44"/>
              <w:ind w:firstLine="220" w:firstLineChars="100"/>
              <w:rPr>
                <w:sz w:val="21"/>
              </w:rPr>
            </w:pPr>
            <w:r>
              <w:rPr>
                <w:rFonts w:hint="eastAsia"/>
              </w:rPr>
              <w:t>刘高云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0" w:hRule="atLeast"/>
        </w:trPr>
        <w:tc>
          <w:tcPr>
            <w:tcW w:w="1779" w:type="dxa"/>
            <w:vMerge w:val="continue"/>
            <w:tcBorders>
              <w:top w:val="nil"/>
              <w:left w:val="nil"/>
              <w:bottom w:val="single" w:color="000000" w:sz="4" w:space="0"/>
              <w:right w:val="single" w:color="000000" w:sz="4" w:space="0"/>
            </w:tcBorders>
          </w:tcPr>
          <w:p>
            <w:pPr>
              <w:rPr>
                <w:sz w:val="2"/>
                <w:szCs w:val="2"/>
              </w:rPr>
            </w:pPr>
          </w:p>
        </w:tc>
        <w:tc>
          <w:tcPr>
            <w:tcW w:w="734" w:type="dxa"/>
            <w:tcBorders>
              <w:top w:val="single" w:color="000000" w:sz="4" w:space="0"/>
              <w:left w:val="single" w:color="000000" w:sz="4" w:space="0"/>
              <w:bottom w:val="single" w:color="000000" w:sz="4" w:space="0"/>
              <w:right w:val="single" w:color="000000" w:sz="4" w:space="0"/>
            </w:tcBorders>
          </w:tcPr>
          <w:p>
            <w:pPr>
              <w:pStyle w:val="24"/>
              <w:spacing w:before="58"/>
              <w:ind w:left="27"/>
              <w:rPr>
                <w:rFonts w:ascii="Times New Roman"/>
                <w:sz w:val="21"/>
              </w:rPr>
            </w:pPr>
            <w:r>
              <w:rPr>
                <w:rFonts w:hint="eastAsia" w:ascii="Times New Roman"/>
                <w:sz w:val="21"/>
                <w:lang w:val="en-US"/>
              </w:rPr>
              <w:t>3</w:t>
            </w:r>
          </w:p>
        </w:tc>
        <w:tc>
          <w:tcPr>
            <w:tcW w:w="1779" w:type="dxa"/>
            <w:tcBorders>
              <w:top w:val="single" w:color="000000" w:sz="4" w:space="0"/>
              <w:left w:val="single" w:color="000000" w:sz="4" w:space="0"/>
              <w:bottom w:val="single" w:color="000000" w:sz="4" w:space="0"/>
              <w:right w:val="single" w:color="000000" w:sz="4" w:space="0"/>
            </w:tcBorders>
          </w:tcPr>
          <w:p>
            <w:pPr>
              <w:pStyle w:val="24"/>
              <w:spacing w:before="44"/>
              <w:ind w:left="348" w:right="325"/>
              <w:rPr>
                <w:sz w:val="21"/>
              </w:rPr>
            </w:pPr>
            <w:r>
              <w:rPr>
                <w:sz w:val="21"/>
              </w:rPr>
              <w:t>消防水带</w:t>
            </w:r>
          </w:p>
        </w:tc>
        <w:tc>
          <w:tcPr>
            <w:tcW w:w="818" w:type="dxa"/>
            <w:tcBorders>
              <w:top w:val="single" w:color="000000" w:sz="4" w:space="0"/>
              <w:left w:val="single" w:color="000000" w:sz="4" w:space="0"/>
              <w:bottom w:val="single" w:color="000000" w:sz="4" w:space="0"/>
              <w:right w:val="single" w:color="000000" w:sz="4" w:space="0"/>
            </w:tcBorders>
          </w:tcPr>
          <w:p>
            <w:pPr>
              <w:pStyle w:val="24"/>
              <w:spacing w:before="44"/>
              <w:ind w:left="160" w:right="134"/>
              <w:rPr>
                <w:sz w:val="21"/>
              </w:rPr>
            </w:pPr>
            <w:r>
              <w:rPr>
                <w:rFonts w:hint="eastAsia" w:ascii="Times New Roman" w:eastAsia="宋体"/>
                <w:sz w:val="21"/>
                <w:lang w:val="en-US"/>
              </w:rPr>
              <w:t>4</w:t>
            </w:r>
            <w:r>
              <w:rPr>
                <w:sz w:val="21"/>
              </w:rPr>
              <w:t>卷</w:t>
            </w:r>
          </w:p>
        </w:tc>
        <w:tc>
          <w:tcPr>
            <w:tcW w:w="1436" w:type="dxa"/>
            <w:tcBorders>
              <w:top w:val="single" w:color="000000" w:sz="4" w:space="0"/>
              <w:left w:val="single" w:color="000000" w:sz="4" w:space="0"/>
              <w:bottom w:val="single" w:color="000000" w:sz="4" w:space="0"/>
              <w:right w:val="single" w:color="000000" w:sz="4" w:space="0"/>
            </w:tcBorders>
          </w:tcPr>
          <w:p>
            <w:pPr>
              <w:pStyle w:val="24"/>
              <w:spacing w:before="44"/>
              <w:ind w:left="284" w:right="256"/>
              <w:rPr>
                <w:sz w:val="21"/>
              </w:rPr>
            </w:pPr>
            <w:r>
              <w:rPr>
                <w:sz w:val="21"/>
              </w:rPr>
              <w:t>良好</w:t>
            </w:r>
          </w:p>
        </w:tc>
        <w:tc>
          <w:tcPr>
            <w:tcW w:w="2127" w:type="dxa"/>
            <w:tcBorders>
              <w:top w:val="single" w:color="000000" w:sz="4" w:space="0"/>
              <w:left w:val="single" w:color="000000" w:sz="4" w:space="0"/>
              <w:bottom w:val="single" w:color="000000" w:sz="4" w:space="0"/>
              <w:right w:val="single" w:color="000000" w:sz="4" w:space="0"/>
            </w:tcBorders>
          </w:tcPr>
          <w:p>
            <w:pPr>
              <w:pStyle w:val="24"/>
              <w:spacing w:before="44"/>
              <w:ind w:left="421" w:right="395"/>
              <w:rPr>
                <w:sz w:val="21"/>
              </w:rPr>
            </w:pPr>
            <w:r>
              <w:rPr>
                <w:rFonts w:hint="eastAsia"/>
              </w:rPr>
              <w:t>消防器材柜</w:t>
            </w:r>
          </w:p>
        </w:tc>
        <w:tc>
          <w:tcPr>
            <w:tcW w:w="1087" w:type="dxa"/>
            <w:tcBorders>
              <w:top w:val="single" w:color="000000" w:sz="4" w:space="0"/>
              <w:left w:val="single" w:color="000000" w:sz="4" w:space="0"/>
              <w:bottom w:val="single" w:color="000000" w:sz="4" w:space="0"/>
              <w:right w:val="nil"/>
            </w:tcBorders>
          </w:tcPr>
          <w:p>
            <w:pPr>
              <w:spacing w:before="44"/>
              <w:ind w:firstLine="220" w:firstLineChars="100"/>
              <w:rPr>
                <w:sz w:val="21"/>
              </w:rPr>
            </w:pPr>
            <w:r>
              <w:rPr>
                <w:rFonts w:hint="eastAsia"/>
              </w:rPr>
              <w:t>刘高云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0" w:hRule="atLeast"/>
        </w:trPr>
        <w:tc>
          <w:tcPr>
            <w:tcW w:w="1779" w:type="dxa"/>
            <w:vMerge w:val="continue"/>
            <w:tcBorders>
              <w:top w:val="nil"/>
              <w:left w:val="nil"/>
              <w:bottom w:val="single" w:color="000000" w:sz="4" w:space="0"/>
              <w:right w:val="single" w:color="000000" w:sz="4" w:space="0"/>
            </w:tcBorders>
          </w:tcPr>
          <w:p>
            <w:pPr>
              <w:rPr>
                <w:sz w:val="2"/>
                <w:szCs w:val="2"/>
              </w:rPr>
            </w:pPr>
          </w:p>
        </w:tc>
        <w:tc>
          <w:tcPr>
            <w:tcW w:w="734" w:type="dxa"/>
            <w:tcBorders>
              <w:top w:val="single" w:color="000000" w:sz="4" w:space="0"/>
              <w:left w:val="single" w:color="000000" w:sz="4" w:space="0"/>
              <w:bottom w:val="single" w:color="000000" w:sz="4" w:space="0"/>
              <w:right w:val="single" w:color="000000" w:sz="4" w:space="0"/>
            </w:tcBorders>
          </w:tcPr>
          <w:p>
            <w:pPr>
              <w:pStyle w:val="24"/>
              <w:spacing w:before="58"/>
              <w:ind w:left="27"/>
              <w:rPr>
                <w:rFonts w:ascii="Times New Roman"/>
                <w:sz w:val="21"/>
              </w:rPr>
            </w:pPr>
            <w:r>
              <w:rPr>
                <w:rFonts w:hint="eastAsia" w:ascii="Times New Roman"/>
                <w:sz w:val="21"/>
                <w:lang w:val="en-US"/>
              </w:rPr>
              <w:t>4</w:t>
            </w:r>
          </w:p>
        </w:tc>
        <w:tc>
          <w:tcPr>
            <w:tcW w:w="1779" w:type="dxa"/>
            <w:tcBorders>
              <w:top w:val="single" w:color="000000" w:sz="4" w:space="0"/>
              <w:left w:val="single" w:color="000000" w:sz="4" w:space="0"/>
              <w:bottom w:val="single" w:color="000000" w:sz="4" w:space="0"/>
              <w:right w:val="single" w:color="000000" w:sz="4" w:space="0"/>
            </w:tcBorders>
          </w:tcPr>
          <w:p>
            <w:pPr>
              <w:pStyle w:val="24"/>
              <w:spacing w:before="44"/>
              <w:ind w:left="348" w:right="325"/>
              <w:rPr>
                <w:sz w:val="21"/>
              </w:rPr>
            </w:pPr>
            <w:r>
              <w:rPr>
                <w:sz w:val="21"/>
              </w:rPr>
              <w:t>消防水枪</w:t>
            </w:r>
          </w:p>
        </w:tc>
        <w:tc>
          <w:tcPr>
            <w:tcW w:w="818" w:type="dxa"/>
            <w:tcBorders>
              <w:top w:val="single" w:color="000000" w:sz="4" w:space="0"/>
              <w:left w:val="single" w:color="000000" w:sz="4" w:space="0"/>
              <w:bottom w:val="single" w:color="000000" w:sz="4" w:space="0"/>
              <w:right w:val="single" w:color="000000" w:sz="4" w:space="0"/>
            </w:tcBorders>
          </w:tcPr>
          <w:p>
            <w:pPr>
              <w:pStyle w:val="24"/>
              <w:spacing w:before="44"/>
              <w:ind w:left="160" w:right="134"/>
              <w:rPr>
                <w:sz w:val="21"/>
              </w:rPr>
            </w:pPr>
            <w:r>
              <w:rPr>
                <w:rFonts w:hint="eastAsia" w:ascii="Times New Roman" w:eastAsia="宋体"/>
                <w:sz w:val="21"/>
                <w:lang w:val="en-US"/>
              </w:rPr>
              <w:t>4</w:t>
            </w:r>
            <w:r>
              <w:rPr>
                <w:rFonts w:ascii="Times New Roman" w:eastAsia="Times New Roman"/>
                <w:sz w:val="21"/>
              </w:rPr>
              <w:t xml:space="preserve"> </w:t>
            </w:r>
            <w:r>
              <w:rPr>
                <w:sz w:val="21"/>
              </w:rPr>
              <w:t>个</w:t>
            </w:r>
          </w:p>
        </w:tc>
        <w:tc>
          <w:tcPr>
            <w:tcW w:w="1436" w:type="dxa"/>
            <w:tcBorders>
              <w:top w:val="single" w:color="000000" w:sz="4" w:space="0"/>
              <w:left w:val="single" w:color="000000" w:sz="4" w:space="0"/>
              <w:bottom w:val="single" w:color="000000" w:sz="4" w:space="0"/>
              <w:right w:val="single" w:color="000000" w:sz="4" w:space="0"/>
            </w:tcBorders>
          </w:tcPr>
          <w:p>
            <w:pPr>
              <w:pStyle w:val="24"/>
              <w:spacing w:before="44"/>
              <w:ind w:left="284" w:right="256"/>
              <w:rPr>
                <w:sz w:val="21"/>
              </w:rPr>
            </w:pPr>
            <w:r>
              <w:rPr>
                <w:sz w:val="21"/>
              </w:rPr>
              <w:t>良好</w:t>
            </w:r>
          </w:p>
        </w:tc>
        <w:tc>
          <w:tcPr>
            <w:tcW w:w="2127" w:type="dxa"/>
            <w:tcBorders>
              <w:top w:val="single" w:color="000000" w:sz="4" w:space="0"/>
              <w:left w:val="single" w:color="000000" w:sz="4" w:space="0"/>
              <w:bottom w:val="single" w:color="000000" w:sz="4" w:space="0"/>
              <w:right w:val="single" w:color="000000" w:sz="4" w:space="0"/>
            </w:tcBorders>
          </w:tcPr>
          <w:p>
            <w:pPr>
              <w:pStyle w:val="24"/>
              <w:spacing w:before="44"/>
              <w:ind w:left="421" w:right="395"/>
              <w:rPr>
                <w:sz w:val="21"/>
              </w:rPr>
            </w:pPr>
            <w:r>
              <w:rPr>
                <w:rFonts w:hint="eastAsia"/>
              </w:rPr>
              <w:t>消防器材柜</w:t>
            </w:r>
          </w:p>
        </w:tc>
        <w:tc>
          <w:tcPr>
            <w:tcW w:w="1087" w:type="dxa"/>
            <w:tcBorders>
              <w:top w:val="single" w:color="000000" w:sz="4" w:space="0"/>
              <w:left w:val="single" w:color="000000" w:sz="4" w:space="0"/>
              <w:bottom w:val="single" w:color="000000" w:sz="4" w:space="0"/>
              <w:right w:val="nil"/>
            </w:tcBorders>
          </w:tcPr>
          <w:p>
            <w:pPr>
              <w:spacing w:before="44"/>
              <w:ind w:firstLine="220" w:firstLineChars="100"/>
              <w:rPr>
                <w:sz w:val="21"/>
              </w:rPr>
            </w:pPr>
            <w:r>
              <w:rPr>
                <w:rFonts w:hint="eastAsia"/>
              </w:rPr>
              <w:t>刘高云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0" w:hRule="atLeast"/>
        </w:trPr>
        <w:tc>
          <w:tcPr>
            <w:tcW w:w="1779" w:type="dxa"/>
            <w:vMerge w:val="restart"/>
            <w:tcBorders>
              <w:top w:val="nil"/>
              <w:left w:val="nil"/>
              <w:bottom w:val="single" w:color="000000" w:sz="4" w:space="0"/>
              <w:right w:val="single" w:color="000000" w:sz="4" w:space="0"/>
            </w:tcBorders>
          </w:tcPr>
          <w:p>
            <w:pPr>
              <w:pStyle w:val="24"/>
              <w:rPr>
                <w:b/>
                <w:sz w:val="20"/>
              </w:rPr>
            </w:pPr>
          </w:p>
          <w:p>
            <w:pPr>
              <w:pStyle w:val="24"/>
              <w:rPr>
                <w:b/>
                <w:sz w:val="20"/>
              </w:rPr>
            </w:pPr>
          </w:p>
          <w:p>
            <w:pPr>
              <w:pStyle w:val="24"/>
              <w:rPr>
                <w:b/>
                <w:sz w:val="20"/>
              </w:rPr>
            </w:pPr>
          </w:p>
          <w:p>
            <w:pPr>
              <w:pStyle w:val="24"/>
              <w:spacing w:before="173"/>
              <w:ind w:left="580"/>
              <w:rPr>
                <w:sz w:val="2"/>
                <w:szCs w:val="2"/>
              </w:rPr>
            </w:pPr>
            <w:r>
              <w:rPr>
                <w:sz w:val="21"/>
              </w:rPr>
              <w:t>医疗个护</w:t>
            </w:r>
          </w:p>
        </w:tc>
        <w:tc>
          <w:tcPr>
            <w:tcW w:w="734" w:type="dxa"/>
            <w:tcBorders>
              <w:top w:val="single" w:color="000000" w:sz="4" w:space="0"/>
              <w:left w:val="single" w:color="000000" w:sz="4" w:space="0"/>
              <w:bottom w:val="single" w:color="000000" w:sz="4" w:space="0"/>
              <w:right w:val="single" w:color="000000" w:sz="4" w:space="0"/>
            </w:tcBorders>
          </w:tcPr>
          <w:p>
            <w:pPr>
              <w:pStyle w:val="24"/>
              <w:spacing w:before="58"/>
              <w:ind w:left="27"/>
              <w:rPr>
                <w:rFonts w:ascii="Times New Roman"/>
                <w:sz w:val="21"/>
              </w:rPr>
            </w:pPr>
            <w:r>
              <w:rPr>
                <w:rFonts w:hint="eastAsia" w:ascii="Times New Roman"/>
                <w:sz w:val="21"/>
                <w:lang w:val="en-US"/>
              </w:rPr>
              <w:t>5</w:t>
            </w:r>
          </w:p>
        </w:tc>
        <w:tc>
          <w:tcPr>
            <w:tcW w:w="1779" w:type="dxa"/>
            <w:tcBorders>
              <w:top w:val="single" w:color="000000" w:sz="4" w:space="0"/>
              <w:left w:val="single" w:color="000000" w:sz="4" w:space="0"/>
              <w:bottom w:val="single" w:color="000000" w:sz="4" w:space="0"/>
              <w:right w:val="single" w:color="000000" w:sz="4" w:space="0"/>
            </w:tcBorders>
          </w:tcPr>
          <w:p>
            <w:pPr>
              <w:pStyle w:val="24"/>
              <w:spacing w:before="44"/>
              <w:ind w:left="348" w:right="325"/>
              <w:rPr>
                <w:sz w:val="21"/>
              </w:rPr>
            </w:pPr>
            <w:r>
              <w:rPr>
                <w:sz w:val="21"/>
              </w:rPr>
              <w:t>防护手套</w:t>
            </w:r>
          </w:p>
        </w:tc>
        <w:tc>
          <w:tcPr>
            <w:tcW w:w="818" w:type="dxa"/>
            <w:tcBorders>
              <w:top w:val="single" w:color="000000" w:sz="4" w:space="0"/>
              <w:left w:val="single" w:color="000000" w:sz="4" w:space="0"/>
              <w:bottom w:val="single" w:color="000000" w:sz="4" w:space="0"/>
              <w:right w:val="single" w:color="000000" w:sz="4" w:space="0"/>
            </w:tcBorders>
          </w:tcPr>
          <w:p>
            <w:pPr>
              <w:pStyle w:val="24"/>
              <w:spacing w:before="44"/>
              <w:ind w:left="160" w:right="134"/>
              <w:rPr>
                <w:sz w:val="21"/>
              </w:rPr>
            </w:pPr>
            <w:r>
              <w:rPr>
                <w:rFonts w:hint="eastAsia"/>
                <w:sz w:val="21"/>
                <w:lang w:val="en-US"/>
              </w:rPr>
              <w:t>200</w:t>
            </w:r>
            <w:r>
              <w:rPr>
                <w:sz w:val="21"/>
              </w:rPr>
              <w:t>副</w:t>
            </w:r>
          </w:p>
        </w:tc>
        <w:tc>
          <w:tcPr>
            <w:tcW w:w="1436" w:type="dxa"/>
            <w:tcBorders>
              <w:top w:val="single" w:color="000000" w:sz="4" w:space="0"/>
              <w:left w:val="single" w:color="000000" w:sz="4" w:space="0"/>
              <w:bottom w:val="single" w:color="000000" w:sz="4" w:space="0"/>
              <w:right w:val="single" w:color="000000" w:sz="4" w:space="0"/>
            </w:tcBorders>
          </w:tcPr>
          <w:p>
            <w:pPr>
              <w:pStyle w:val="24"/>
              <w:spacing w:before="44"/>
              <w:ind w:left="284" w:right="256"/>
              <w:rPr>
                <w:sz w:val="21"/>
              </w:rPr>
            </w:pPr>
            <w:r>
              <w:rPr>
                <w:sz w:val="21"/>
              </w:rPr>
              <w:t>良好</w:t>
            </w:r>
          </w:p>
        </w:tc>
        <w:tc>
          <w:tcPr>
            <w:tcW w:w="2127" w:type="dxa"/>
            <w:tcBorders>
              <w:top w:val="single" w:color="000000" w:sz="4" w:space="0"/>
              <w:left w:val="single" w:color="000000" w:sz="4" w:space="0"/>
              <w:bottom w:val="single" w:color="000000" w:sz="4" w:space="0"/>
              <w:right w:val="single" w:color="000000" w:sz="4" w:space="0"/>
            </w:tcBorders>
          </w:tcPr>
          <w:p>
            <w:pPr>
              <w:pStyle w:val="24"/>
              <w:spacing w:before="44"/>
              <w:ind w:left="421" w:right="395"/>
              <w:rPr>
                <w:sz w:val="21"/>
              </w:rPr>
            </w:pPr>
            <w:r>
              <w:rPr>
                <w:rFonts w:hint="eastAsia"/>
              </w:rPr>
              <w:t>仓库</w:t>
            </w:r>
          </w:p>
        </w:tc>
        <w:tc>
          <w:tcPr>
            <w:tcW w:w="1087" w:type="dxa"/>
            <w:tcBorders>
              <w:top w:val="single" w:color="000000" w:sz="4" w:space="0"/>
              <w:left w:val="single" w:color="000000" w:sz="4" w:space="0"/>
              <w:bottom w:val="single" w:color="000000" w:sz="4" w:space="0"/>
              <w:right w:val="nil"/>
            </w:tcBorders>
          </w:tcPr>
          <w:p>
            <w:pPr>
              <w:spacing w:before="44"/>
              <w:ind w:firstLine="220" w:firstLineChars="100"/>
              <w:rPr>
                <w:sz w:val="21"/>
              </w:rPr>
            </w:pPr>
            <w:r>
              <w:rPr>
                <w:rFonts w:hint="eastAsia"/>
              </w:rPr>
              <w:t>刘高云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0" w:hRule="atLeast"/>
        </w:trPr>
        <w:tc>
          <w:tcPr>
            <w:tcW w:w="1779" w:type="dxa"/>
            <w:vMerge w:val="continue"/>
            <w:tcBorders>
              <w:top w:val="single" w:color="000000" w:sz="4" w:space="0"/>
              <w:left w:val="nil"/>
              <w:bottom w:val="single" w:color="000000" w:sz="4" w:space="0"/>
              <w:right w:val="single" w:color="000000" w:sz="4" w:space="0"/>
            </w:tcBorders>
          </w:tcPr>
          <w:p>
            <w:pPr>
              <w:rPr>
                <w:sz w:val="21"/>
              </w:rPr>
            </w:pPr>
          </w:p>
        </w:tc>
        <w:tc>
          <w:tcPr>
            <w:tcW w:w="734" w:type="dxa"/>
            <w:tcBorders>
              <w:top w:val="single" w:color="000000" w:sz="4" w:space="0"/>
              <w:left w:val="single" w:color="000000" w:sz="4" w:space="0"/>
              <w:bottom w:val="single" w:color="000000" w:sz="4" w:space="0"/>
              <w:right w:val="single" w:color="000000" w:sz="4" w:space="0"/>
            </w:tcBorders>
          </w:tcPr>
          <w:p>
            <w:pPr>
              <w:pStyle w:val="24"/>
              <w:spacing w:before="58"/>
              <w:ind w:left="27"/>
              <w:rPr>
                <w:rFonts w:ascii="Times New Roman"/>
                <w:sz w:val="21"/>
              </w:rPr>
            </w:pPr>
            <w:r>
              <w:rPr>
                <w:rFonts w:hint="eastAsia" w:ascii="Times New Roman"/>
                <w:sz w:val="21"/>
                <w:lang w:val="en-US"/>
              </w:rPr>
              <w:t>6</w:t>
            </w:r>
          </w:p>
        </w:tc>
        <w:tc>
          <w:tcPr>
            <w:tcW w:w="1779" w:type="dxa"/>
            <w:tcBorders>
              <w:top w:val="single" w:color="000000" w:sz="4" w:space="0"/>
              <w:left w:val="single" w:color="000000" w:sz="4" w:space="0"/>
              <w:bottom w:val="single" w:color="000000" w:sz="4" w:space="0"/>
              <w:right w:val="single" w:color="000000" w:sz="4" w:space="0"/>
            </w:tcBorders>
          </w:tcPr>
          <w:p>
            <w:pPr>
              <w:pStyle w:val="24"/>
              <w:spacing w:before="44"/>
              <w:ind w:left="351" w:right="325"/>
              <w:rPr>
                <w:sz w:val="21"/>
              </w:rPr>
            </w:pPr>
            <w:r>
              <w:rPr>
                <w:sz w:val="21"/>
              </w:rPr>
              <w:t>防护服</w:t>
            </w:r>
          </w:p>
        </w:tc>
        <w:tc>
          <w:tcPr>
            <w:tcW w:w="818" w:type="dxa"/>
            <w:tcBorders>
              <w:top w:val="single" w:color="000000" w:sz="4" w:space="0"/>
              <w:left w:val="single" w:color="000000" w:sz="4" w:space="0"/>
              <w:bottom w:val="single" w:color="000000" w:sz="4" w:space="0"/>
              <w:right w:val="single" w:color="000000" w:sz="4" w:space="0"/>
            </w:tcBorders>
          </w:tcPr>
          <w:p>
            <w:pPr>
              <w:pStyle w:val="24"/>
              <w:spacing w:before="44"/>
              <w:ind w:left="160" w:right="134"/>
              <w:rPr>
                <w:sz w:val="21"/>
              </w:rPr>
            </w:pPr>
            <w:r>
              <w:rPr>
                <w:rFonts w:hint="eastAsia" w:ascii="Times New Roman" w:eastAsia="宋体"/>
                <w:sz w:val="21"/>
                <w:lang w:val="en-US"/>
              </w:rPr>
              <w:t>2</w:t>
            </w:r>
            <w:r>
              <w:rPr>
                <w:sz w:val="21"/>
              </w:rPr>
              <w:t>套</w:t>
            </w:r>
          </w:p>
        </w:tc>
        <w:tc>
          <w:tcPr>
            <w:tcW w:w="1436" w:type="dxa"/>
            <w:tcBorders>
              <w:top w:val="single" w:color="000000" w:sz="4" w:space="0"/>
              <w:left w:val="single" w:color="000000" w:sz="4" w:space="0"/>
              <w:bottom w:val="single" w:color="000000" w:sz="4" w:space="0"/>
              <w:right w:val="single" w:color="000000" w:sz="4" w:space="0"/>
            </w:tcBorders>
          </w:tcPr>
          <w:p>
            <w:pPr>
              <w:pStyle w:val="24"/>
              <w:spacing w:before="44"/>
              <w:ind w:left="284" w:right="256"/>
              <w:rPr>
                <w:sz w:val="21"/>
              </w:rPr>
            </w:pPr>
            <w:r>
              <w:rPr>
                <w:sz w:val="21"/>
              </w:rPr>
              <w:t>良好</w:t>
            </w:r>
          </w:p>
        </w:tc>
        <w:tc>
          <w:tcPr>
            <w:tcW w:w="2127" w:type="dxa"/>
            <w:tcBorders>
              <w:top w:val="single" w:color="000000" w:sz="4" w:space="0"/>
              <w:left w:val="single" w:color="000000" w:sz="4" w:space="0"/>
              <w:bottom w:val="single" w:color="000000" w:sz="4" w:space="0"/>
              <w:right w:val="single" w:color="000000" w:sz="4" w:space="0"/>
            </w:tcBorders>
          </w:tcPr>
          <w:p>
            <w:pPr>
              <w:pStyle w:val="24"/>
              <w:spacing w:before="44"/>
              <w:ind w:left="421" w:right="395"/>
              <w:rPr>
                <w:sz w:val="21"/>
              </w:rPr>
            </w:pPr>
            <w:r>
              <w:rPr>
                <w:rFonts w:hint="eastAsia"/>
              </w:rPr>
              <w:t>仓库</w:t>
            </w:r>
          </w:p>
        </w:tc>
        <w:tc>
          <w:tcPr>
            <w:tcW w:w="1087" w:type="dxa"/>
            <w:tcBorders>
              <w:top w:val="single" w:color="000000" w:sz="4" w:space="0"/>
              <w:left w:val="single" w:color="000000" w:sz="4" w:space="0"/>
              <w:bottom w:val="single" w:color="000000" w:sz="4" w:space="0"/>
              <w:right w:val="nil"/>
            </w:tcBorders>
          </w:tcPr>
          <w:p>
            <w:pPr>
              <w:spacing w:before="44"/>
              <w:ind w:firstLine="220" w:firstLineChars="100"/>
              <w:rPr>
                <w:sz w:val="21"/>
              </w:rPr>
            </w:pPr>
            <w:r>
              <w:rPr>
                <w:rFonts w:hint="eastAsia"/>
              </w:rPr>
              <w:t>刘高云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0" w:hRule="atLeast"/>
        </w:trPr>
        <w:tc>
          <w:tcPr>
            <w:tcW w:w="1779" w:type="dxa"/>
            <w:vMerge w:val="continue"/>
            <w:tcBorders>
              <w:top w:val="single" w:color="000000" w:sz="4" w:space="0"/>
              <w:left w:val="nil"/>
              <w:bottom w:val="single" w:color="000000" w:sz="4" w:space="0"/>
              <w:right w:val="single" w:color="000000" w:sz="4" w:space="0"/>
            </w:tcBorders>
          </w:tcPr>
          <w:p>
            <w:pPr>
              <w:rPr>
                <w:sz w:val="21"/>
              </w:rPr>
            </w:pPr>
          </w:p>
        </w:tc>
        <w:tc>
          <w:tcPr>
            <w:tcW w:w="734" w:type="dxa"/>
            <w:tcBorders>
              <w:top w:val="single" w:color="000000" w:sz="4" w:space="0"/>
              <w:left w:val="single" w:color="000000" w:sz="4" w:space="0"/>
              <w:bottom w:val="single" w:color="000000" w:sz="4" w:space="0"/>
              <w:right w:val="single" w:color="000000" w:sz="4" w:space="0"/>
            </w:tcBorders>
          </w:tcPr>
          <w:p>
            <w:pPr>
              <w:pStyle w:val="24"/>
              <w:spacing w:before="58"/>
              <w:ind w:left="144" w:right="117"/>
              <w:rPr>
                <w:rFonts w:ascii="Times New Roman"/>
                <w:sz w:val="21"/>
              </w:rPr>
            </w:pPr>
            <w:r>
              <w:rPr>
                <w:rFonts w:hint="eastAsia" w:ascii="Times New Roman"/>
                <w:sz w:val="21"/>
                <w:lang w:val="en-US"/>
              </w:rPr>
              <w:t>7</w:t>
            </w:r>
          </w:p>
        </w:tc>
        <w:tc>
          <w:tcPr>
            <w:tcW w:w="1779" w:type="dxa"/>
            <w:tcBorders>
              <w:top w:val="single" w:color="000000" w:sz="4" w:space="0"/>
              <w:left w:val="single" w:color="000000" w:sz="4" w:space="0"/>
              <w:bottom w:val="single" w:color="000000" w:sz="4" w:space="0"/>
              <w:right w:val="single" w:color="000000" w:sz="4" w:space="0"/>
            </w:tcBorders>
          </w:tcPr>
          <w:p>
            <w:pPr>
              <w:pStyle w:val="24"/>
              <w:spacing w:before="44"/>
              <w:ind w:left="351" w:right="325"/>
              <w:rPr>
                <w:sz w:val="21"/>
              </w:rPr>
            </w:pPr>
            <w:r>
              <w:rPr>
                <w:sz w:val="21"/>
              </w:rPr>
              <w:t>医药箱</w:t>
            </w:r>
          </w:p>
        </w:tc>
        <w:tc>
          <w:tcPr>
            <w:tcW w:w="818" w:type="dxa"/>
            <w:tcBorders>
              <w:top w:val="single" w:color="000000" w:sz="4" w:space="0"/>
              <w:left w:val="single" w:color="000000" w:sz="4" w:space="0"/>
              <w:bottom w:val="single" w:color="000000" w:sz="4" w:space="0"/>
              <w:right w:val="single" w:color="000000" w:sz="4" w:space="0"/>
            </w:tcBorders>
          </w:tcPr>
          <w:p>
            <w:pPr>
              <w:pStyle w:val="24"/>
              <w:spacing w:before="44"/>
              <w:ind w:left="160" w:right="134"/>
              <w:rPr>
                <w:sz w:val="21"/>
              </w:rPr>
            </w:pPr>
            <w:r>
              <w:rPr>
                <w:rFonts w:ascii="Times New Roman" w:eastAsia="Times New Roman"/>
                <w:sz w:val="21"/>
              </w:rPr>
              <w:t xml:space="preserve">1 </w:t>
            </w:r>
            <w:r>
              <w:rPr>
                <w:rFonts w:hint="eastAsia" w:ascii="Times New Roman" w:eastAsia="宋体"/>
                <w:sz w:val="21"/>
              </w:rPr>
              <w:t>套</w:t>
            </w:r>
          </w:p>
        </w:tc>
        <w:tc>
          <w:tcPr>
            <w:tcW w:w="1436" w:type="dxa"/>
            <w:tcBorders>
              <w:top w:val="single" w:color="000000" w:sz="4" w:space="0"/>
              <w:left w:val="single" w:color="000000" w:sz="4" w:space="0"/>
              <w:bottom w:val="single" w:color="000000" w:sz="4" w:space="0"/>
              <w:right w:val="single" w:color="000000" w:sz="4" w:space="0"/>
            </w:tcBorders>
          </w:tcPr>
          <w:p>
            <w:pPr>
              <w:pStyle w:val="24"/>
              <w:spacing w:before="44"/>
              <w:ind w:left="284" w:right="256"/>
              <w:rPr>
                <w:sz w:val="21"/>
              </w:rPr>
            </w:pPr>
            <w:r>
              <w:rPr>
                <w:sz w:val="21"/>
              </w:rPr>
              <w:t>良好</w:t>
            </w:r>
          </w:p>
        </w:tc>
        <w:tc>
          <w:tcPr>
            <w:tcW w:w="2127" w:type="dxa"/>
            <w:tcBorders>
              <w:top w:val="single" w:color="000000" w:sz="4" w:space="0"/>
              <w:left w:val="single" w:color="000000" w:sz="4" w:space="0"/>
              <w:bottom w:val="single" w:color="000000" w:sz="4" w:space="0"/>
              <w:right w:val="single" w:color="000000" w:sz="4" w:space="0"/>
            </w:tcBorders>
          </w:tcPr>
          <w:p>
            <w:pPr>
              <w:pStyle w:val="24"/>
              <w:spacing w:before="44"/>
              <w:ind w:left="421" w:right="395"/>
              <w:jc w:val="both"/>
              <w:rPr>
                <w:sz w:val="21"/>
              </w:rPr>
            </w:pPr>
            <w:r>
              <w:rPr>
                <w:rFonts w:hint="eastAsia"/>
                <w:sz w:val="21"/>
                <w:lang w:val="en-US"/>
              </w:rPr>
              <w:t xml:space="preserve">     车间</w:t>
            </w:r>
          </w:p>
        </w:tc>
        <w:tc>
          <w:tcPr>
            <w:tcW w:w="1087" w:type="dxa"/>
            <w:tcBorders>
              <w:top w:val="single" w:color="000000" w:sz="4" w:space="0"/>
              <w:left w:val="single" w:color="000000" w:sz="4" w:space="0"/>
              <w:bottom w:val="single" w:color="000000" w:sz="4" w:space="0"/>
              <w:right w:val="nil"/>
            </w:tcBorders>
          </w:tcPr>
          <w:p>
            <w:pPr>
              <w:spacing w:before="44"/>
              <w:ind w:firstLine="220" w:firstLineChars="100"/>
              <w:rPr>
                <w:sz w:val="21"/>
              </w:rPr>
            </w:pPr>
            <w:r>
              <w:rPr>
                <w:rFonts w:hint="eastAsia"/>
              </w:rPr>
              <w:t>刘高云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0" w:hRule="atLeast"/>
        </w:trPr>
        <w:tc>
          <w:tcPr>
            <w:tcW w:w="1779" w:type="dxa"/>
            <w:vMerge w:val="continue"/>
            <w:tcBorders>
              <w:top w:val="nil"/>
              <w:left w:val="nil"/>
              <w:bottom w:val="single" w:color="000000" w:sz="4" w:space="0"/>
              <w:right w:val="single" w:color="000000" w:sz="4" w:space="0"/>
            </w:tcBorders>
          </w:tcPr>
          <w:p>
            <w:pPr>
              <w:rPr>
                <w:sz w:val="2"/>
                <w:szCs w:val="2"/>
              </w:rPr>
            </w:pPr>
          </w:p>
        </w:tc>
        <w:tc>
          <w:tcPr>
            <w:tcW w:w="734" w:type="dxa"/>
            <w:tcBorders>
              <w:top w:val="single" w:color="000000" w:sz="4" w:space="0"/>
              <w:left w:val="single" w:color="000000" w:sz="4" w:space="0"/>
              <w:bottom w:val="single" w:color="000000" w:sz="4" w:space="0"/>
              <w:right w:val="single" w:color="000000" w:sz="4" w:space="0"/>
            </w:tcBorders>
          </w:tcPr>
          <w:p>
            <w:pPr>
              <w:pStyle w:val="24"/>
              <w:spacing w:before="48"/>
              <w:ind w:left="144" w:right="117"/>
              <w:rPr>
                <w:rFonts w:ascii="Times New Roman"/>
                <w:sz w:val="21"/>
              </w:rPr>
            </w:pPr>
            <w:r>
              <w:rPr>
                <w:rFonts w:hint="eastAsia" w:ascii="Times New Roman"/>
                <w:sz w:val="21"/>
                <w:lang w:val="en-US"/>
              </w:rPr>
              <w:t>8</w:t>
            </w:r>
          </w:p>
        </w:tc>
        <w:tc>
          <w:tcPr>
            <w:tcW w:w="1779" w:type="dxa"/>
            <w:tcBorders>
              <w:top w:val="single" w:color="000000" w:sz="4" w:space="0"/>
              <w:left w:val="single" w:color="000000" w:sz="4" w:space="0"/>
              <w:bottom w:val="single" w:color="000000" w:sz="4" w:space="0"/>
              <w:right w:val="single" w:color="000000" w:sz="4" w:space="0"/>
            </w:tcBorders>
          </w:tcPr>
          <w:p>
            <w:pPr>
              <w:pStyle w:val="24"/>
              <w:spacing w:before="34"/>
              <w:ind w:left="353" w:right="325"/>
              <w:rPr>
                <w:sz w:val="21"/>
              </w:rPr>
            </w:pPr>
            <w:r>
              <w:rPr>
                <w:sz w:val="21"/>
              </w:rPr>
              <w:t>应急照明灯</w:t>
            </w:r>
          </w:p>
        </w:tc>
        <w:tc>
          <w:tcPr>
            <w:tcW w:w="818" w:type="dxa"/>
            <w:tcBorders>
              <w:top w:val="single" w:color="000000" w:sz="4" w:space="0"/>
              <w:left w:val="single" w:color="000000" w:sz="4" w:space="0"/>
              <w:bottom w:val="single" w:color="000000" w:sz="4" w:space="0"/>
              <w:right w:val="single" w:color="000000" w:sz="4" w:space="0"/>
            </w:tcBorders>
          </w:tcPr>
          <w:p>
            <w:pPr>
              <w:pStyle w:val="24"/>
              <w:spacing w:before="34"/>
              <w:ind w:left="160" w:right="134"/>
              <w:rPr>
                <w:sz w:val="21"/>
              </w:rPr>
            </w:pPr>
            <w:r>
              <w:rPr>
                <w:rFonts w:hint="eastAsia" w:ascii="Times New Roman" w:eastAsia="宋体"/>
                <w:sz w:val="21"/>
                <w:lang w:val="en-US"/>
              </w:rPr>
              <w:t>8套</w:t>
            </w:r>
          </w:p>
        </w:tc>
        <w:tc>
          <w:tcPr>
            <w:tcW w:w="1436" w:type="dxa"/>
            <w:tcBorders>
              <w:top w:val="single" w:color="000000" w:sz="4" w:space="0"/>
              <w:left w:val="single" w:color="000000" w:sz="4" w:space="0"/>
              <w:bottom w:val="single" w:color="000000" w:sz="4" w:space="0"/>
              <w:right w:val="single" w:color="000000" w:sz="4" w:space="0"/>
            </w:tcBorders>
          </w:tcPr>
          <w:p>
            <w:pPr>
              <w:pStyle w:val="24"/>
              <w:spacing w:before="34"/>
              <w:ind w:left="284" w:right="256"/>
              <w:rPr>
                <w:sz w:val="21"/>
              </w:rPr>
            </w:pPr>
            <w:r>
              <w:rPr>
                <w:sz w:val="21"/>
              </w:rPr>
              <w:t>良好</w:t>
            </w:r>
          </w:p>
        </w:tc>
        <w:tc>
          <w:tcPr>
            <w:tcW w:w="2127" w:type="dxa"/>
            <w:tcBorders>
              <w:top w:val="single" w:color="000000" w:sz="4" w:space="0"/>
              <w:left w:val="single" w:color="000000" w:sz="4" w:space="0"/>
              <w:bottom w:val="single" w:color="000000" w:sz="4" w:space="0"/>
              <w:right w:val="single" w:color="000000" w:sz="4" w:space="0"/>
            </w:tcBorders>
          </w:tcPr>
          <w:p>
            <w:pPr>
              <w:pStyle w:val="24"/>
              <w:spacing w:before="34"/>
              <w:ind w:left="421" w:right="395"/>
              <w:rPr>
                <w:sz w:val="21"/>
              </w:rPr>
            </w:pPr>
            <w:r>
              <w:rPr>
                <w:sz w:val="21"/>
              </w:rPr>
              <w:t>车间</w:t>
            </w:r>
          </w:p>
        </w:tc>
        <w:tc>
          <w:tcPr>
            <w:tcW w:w="1087" w:type="dxa"/>
            <w:tcBorders>
              <w:top w:val="single" w:color="000000" w:sz="4" w:space="0"/>
              <w:left w:val="single" w:color="000000" w:sz="4" w:space="0"/>
              <w:bottom w:val="single" w:color="000000" w:sz="4" w:space="0"/>
              <w:right w:val="nil"/>
            </w:tcBorders>
          </w:tcPr>
          <w:p>
            <w:pPr>
              <w:spacing w:before="34"/>
              <w:ind w:firstLine="220" w:firstLineChars="100"/>
              <w:rPr>
                <w:sz w:val="21"/>
              </w:rPr>
            </w:pPr>
            <w:r>
              <w:rPr>
                <w:rFonts w:hint="eastAsia"/>
              </w:rPr>
              <w:t>刘高云</w:t>
            </w:r>
          </w:p>
        </w:tc>
      </w:tr>
    </w:tbl>
    <w:p>
      <w:pPr>
        <w:jc w:val="right"/>
        <w:rPr>
          <w:sz w:val="21"/>
        </w:rPr>
        <w:sectPr>
          <w:pgSz w:w="11910" w:h="16840"/>
          <w:pgMar w:top="1360" w:right="840" w:bottom="1180" w:left="840" w:header="882" w:footer="993" w:gutter="0"/>
          <w:cols w:space="720" w:num="1"/>
        </w:sectPr>
      </w:pPr>
    </w:p>
    <w:p>
      <w:pPr>
        <w:pStyle w:val="10"/>
        <w:spacing w:before="11"/>
        <w:rPr>
          <w:b/>
          <w:sz w:val="11"/>
        </w:rPr>
      </w:pPr>
    </w:p>
    <w:p>
      <w:pPr>
        <w:spacing w:before="73"/>
        <w:ind w:left="240"/>
        <w:rPr>
          <w:b/>
          <w:sz w:val="28"/>
        </w:rPr>
      </w:pPr>
      <w:r>
        <w:rPr>
          <w:b/>
          <w:sz w:val="28"/>
        </w:rPr>
        <w:t xml:space="preserve">附件 </w:t>
      </w:r>
      <w:r>
        <w:rPr>
          <w:rFonts w:ascii="Times New Roman" w:eastAsia="Times New Roman"/>
          <w:b/>
          <w:sz w:val="28"/>
        </w:rPr>
        <w:t xml:space="preserve">4  </w:t>
      </w:r>
      <w:r>
        <w:rPr>
          <w:b/>
          <w:sz w:val="28"/>
        </w:rPr>
        <w:t>突发环境事件报告单</w:t>
      </w:r>
    </w:p>
    <w:p>
      <w:pPr>
        <w:pStyle w:val="10"/>
        <w:spacing w:before="9"/>
        <w:rPr>
          <w:b/>
          <w:sz w:val="26"/>
        </w:rPr>
      </w:pPr>
    </w:p>
    <w:tbl>
      <w:tblPr>
        <w:tblStyle w:val="15"/>
        <w:tblW w:w="0" w:type="auto"/>
        <w:tblInd w:w="14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011"/>
        <w:gridCol w:w="1245"/>
        <w:gridCol w:w="1247"/>
        <w:gridCol w:w="331"/>
        <w:gridCol w:w="408"/>
        <w:gridCol w:w="507"/>
        <w:gridCol w:w="1049"/>
        <w:gridCol w:w="612"/>
        <w:gridCol w:w="144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trPr>
        <w:tc>
          <w:tcPr>
            <w:tcW w:w="3011" w:type="dxa"/>
            <w:tcBorders>
              <w:bottom w:val="single" w:color="000000" w:sz="6" w:space="0"/>
              <w:right w:val="single" w:color="000000" w:sz="6" w:space="0"/>
            </w:tcBorders>
          </w:tcPr>
          <w:p>
            <w:pPr>
              <w:pStyle w:val="24"/>
              <w:spacing w:before="27"/>
              <w:ind w:left="163" w:right="144"/>
              <w:jc w:val="center"/>
              <w:rPr>
                <w:sz w:val="24"/>
              </w:rPr>
            </w:pPr>
            <w:r>
              <w:rPr>
                <w:sz w:val="24"/>
              </w:rPr>
              <w:t>报告单位</w:t>
            </w:r>
          </w:p>
        </w:tc>
        <w:tc>
          <w:tcPr>
            <w:tcW w:w="3231" w:type="dxa"/>
            <w:gridSpan w:val="4"/>
            <w:tcBorders>
              <w:left w:val="single" w:color="000000" w:sz="6" w:space="0"/>
              <w:bottom w:val="single" w:color="000000" w:sz="6" w:space="0"/>
              <w:right w:val="single" w:color="000000" w:sz="6" w:space="0"/>
            </w:tcBorders>
          </w:tcPr>
          <w:p>
            <w:pPr>
              <w:pStyle w:val="24"/>
              <w:rPr>
                <w:rFonts w:ascii="Times New Roman"/>
              </w:rPr>
            </w:pPr>
          </w:p>
        </w:tc>
        <w:tc>
          <w:tcPr>
            <w:tcW w:w="2168" w:type="dxa"/>
            <w:gridSpan w:val="3"/>
            <w:tcBorders>
              <w:left w:val="single" w:color="000000" w:sz="6" w:space="0"/>
              <w:bottom w:val="single" w:color="000000" w:sz="6" w:space="0"/>
              <w:right w:val="single" w:color="000000" w:sz="6" w:space="0"/>
            </w:tcBorders>
          </w:tcPr>
          <w:p>
            <w:pPr>
              <w:pStyle w:val="24"/>
              <w:spacing w:before="27"/>
              <w:ind w:left="489"/>
              <w:rPr>
                <w:sz w:val="24"/>
              </w:rPr>
            </w:pPr>
            <w:r>
              <w:rPr>
                <w:sz w:val="24"/>
              </w:rPr>
              <w:t>报告人姓名</w:t>
            </w:r>
          </w:p>
        </w:tc>
        <w:tc>
          <w:tcPr>
            <w:tcW w:w="1443" w:type="dxa"/>
            <w:tcBorders>
              <w:left w:val="single" w:color="000000" w:sz="6" w:space="0"/>
              <w:bottom w:val="single" w:color="000000" w:sz="6" w:space="0"/>
            </w:tcBorders>
          </w:tcPr>
          <w:p>
            <w:pPr>
              <w:pStyle w:val="24"/>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2" w:hRule="atLeast"/>
        </w:trPr>
        <w:tc>
          <w:tcPr>
            <w:tcW w:w="3011" w:type="dxa"/>
            <w:tcBorders>
              <w:top w:val="single" w:color="000000" w:sz="6" w:space="0"/>
              <w:bottom w:val="single" w:color="000000" w:sz="6" w:space="0"/>
              <w:right w:val="single" w:color="000000" w:sz="6" w:space="0"/>
            </w:tcBorders>
          </w:tcPr>
          <w:p>
            <w:pPr>
              <w:pStyle w:val="24"/>
              <w:spacing w:before="36"/>
              <w:ind w:left="163" w:right="144"/>
              <w:jc w:val="center"/>
              <w:rPr>
                <w:sz w:val="24"/>
              </w:rPr>
            </w:pPr>
            <w:r>
              <w:rPr>
                <w:sz w:val="24"/>
              </w:rPr>
              <w:t>事故发生时间</w:t>
            </w:r>
          </w:p>
        </w:tc>
        <w:tc>
          <w:tcPr>
            <w:tcW w:w="3231" w:type="dxa"/>
            <w:gridSpan w:val="4"/>
            <w:tcBorders>
              <w:top w:val="single" w:color="000000" w:sz="6" w:space="0"/>
              <w:left w:val="single" w:color="000000" w:sz="6" w:space="0"/>
              <w:bottom w:val="single" w:color="000000" w:sz="6" w:space="0"/>
              <w:right w:val="single" w:color="000000" w:sz="6" w:space="0"/>
            </w:tcBorders>
          </w:tcPr>
          <w:p>
            <w:pPr>
              <w:pStyle w:val="24"/>
              <w:tabs>
                <w:tab w:val="left" w:pos="595"/>
                <w:tab w:val="left" w:pos="1075"/>
                <w:tab w:val="left" w:pos="1555"/>
                <w:tab w:val="left" w:pos="2035"/>
              </w:tabs>
              <w:spacing w:before="36"/>
              <w:ind w:left="115"/>
              <w:rPr>
                <w:sz w:val="24"/>
              </w:rPr>
            </w:pPr>
            <w:r>
              <w:rPr>
                <w:sz w:val="24"/>
              </w:rPr>
              <w:t>年</w:t>
            </w:r>
            <w:r>
              <w:rPr>
                <w:sz w:val="24"/>
              </w:rPr>
              <w:tab/>
            </w:r>
            <w:r>
              <w:rPr>
                <w:sz w:val="24"/>
              </w:rPr>
              <w:t>月</w:t>
            </w:r>
            <w:r>
              <w:rPr>
                <w:sz w:val="24"/>
              </w:rPr>
              <w:tab/>
            </w:r>
            <w:r>
              <w:rPr>
                <w:sz w:val="24"/>
              </w:rPr>
              <w:t>日</w:t>
            </w:r>
            <w:r>
              <w:rPr>
                <w:sz w:val="24"/>
              </w:rPr>
              <w:tab/>
            </w:r>
            <w:r>
              <w:rPr>
                <w:sz w:val="24"/>
              </w:rPr>
              <w:t>时</w:t>
            </w:r>
            <w:r>
              <w:rPr>
                <w:sz w:val="24"/>
              </w:rPr>
              <w:tab/>
            </w:r>
            <w:r>
              <w:rPr>
                <w:sz w:val="24"/>
              </w:rPr>
              <w:t>分</w:t>
            </w:r>
          </w:p>
        </w:tc>
        <w:tc>
          <w:tcPr>
            <w:tcW w:w="2168" w:type="dxa"/>
            <w:gridSpan w:val="3"/>
            <w:tcBorders>
              <w:top w:val="single" w:color="000000" w:sz="6" w:space="0"/>
              <w:left w:val="single" w:color="000000" w:sz="6" w:space="0"/>
              <w:bottom w:val="single" w:color="000000" w:sz="6" w:space="0"/>
              <w:right w:val="single" w:color="000000" w:sz="6" w:space="0"/>
            </w:tcBorders>
          </w:tcPr>
          <w:p>
            <w:pPr>
              <w:pStyle w:val="24"/>
              <w:spacing w:before="36"/>
              <w:ind w:left="489"/>
              <w:rPr>
                <w:sz w:val="24"/>
              </w:rPr>
            </w:pPr>
            <w:r>
              <w:rPr>
                <w:sz w:val="24"/>
              </w:rPr>
              <w:t>报告人电话</w:t>
            </w:r>
          </w:p>
        </w:tc>
        <w:tc>
          <w:tcPr>
            <w:tcW w:w="1443" w:type="dxa"/>
            <w:tcBorders>
              <w:top w:val="single" w:color="000000" w:sz="6" w:space="0"/>
              <w:left w:val="single" w:color="000000" w:sz="6" w:space="0"/>
              <w:bottom w:val="single" w:color="000000" w:sz="6" w:space="0"/>
            </w:tcBorders>
          </w:tcPr>
          <w:p>
            <w:pPr>
              <w:pStyle w:val="24"/>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2" w:hRule="atLeast"/>
        </w:trPr>
        <w:tc>
          <w:tcPr>
            <w:tcW w:w="3011" w:type="dxa"/>
            <w:tcBorders>
              <w:top w:val="single" w:color="000000" w:sz="6" w:space="0"/>
              <w:bottom w:val="single" w:color="000000" w:sz="6" w:space="0"/>
              <w:right w:val="single" w:color="000000" w:sz="6" w:space="0"/>
            </w:tcBorders>
          </w:tcPr>
          <w:p>
            <w:pPr>
              <w:pStyle w:val="24"/>
              <w:spacing w:before="35"/>
              <w:ind w:left="163" w:right="144"/>
              <w:jc w:val="center"/>
              <w:rPr>
                <w:sz w:val="24"/>
              </w:rPr>
            </w:pPr>
            <w:r>
              <w:rPr>
                <w:sz w:val="24"/>
              </w:rPr>
              <w:t>事故持续时间</w:t>
            </w:r>
          </w:p>
        </w:tc>
        <w:tc>
          <w:tcPr>
            <w:tcW w:w="3231" w:type="dxa"/>
            <w:gridSpan w:val="4"/>
            <w:tcBorders>
              <w:top w:val="single" w:color="000000" w:sz="6" w:space="0"/>
              <w:left w:val="single" w:color="000000" w:sz="6" w:space="0"/>
              <w:bottom w:val="single" w:color="000000" w:sz="6" w:space="0"/>
              <w:right w:val="single" w:color="000000" w:sz="6" w:space="0"/>
            </w:tcBorders>
          </w:tcPr>
          <w:p>
            <w:pPr>
              <w:pStyle w:val="24"/>
              <w:tabs>
                <w:tab w:val="left" w:pos="1675"/>
              </w:tabs>
              <w:spacing w:before="35"/>
              <w:ind w:left="835"/>
              <w:rPr>
                <w:sz w:val="24"/>
              </w:rPr>
            </w:pPr>
            <w:r>
              <w:rPr>
                <w:sz w:val="24"/>
              </w:rPr>
              <w:t>时</w:t>
            </w:r>
            <w:r>
              <w:rPr>
                <w:sz w:val="24"/>
              </w:rPr>
              <w:tab/>
            </w:r>
            <w:r>
              <w:rPr>
                <w:sz w:val="24"/>
              </w:rPr>
              <w:t>分</w:t>
            </w:r>
          </w:p>
        </w:tc>
        <w:tc>
          <w:tcPr>
            <w:tcW w:w="2168" w:type="dxa"/>
            <w:gridSpan w:val="3"/>
            <w:tcBorders>
              <w:top w:val="single" w:color="000000" w:sz="6" w:space="0"/>
              <w:left w:val="single" w:color="000000" w:sz="6" w:space="0"/>
              <w:bottom w:val="single" w:color="000000" w:sz="6" w:space="0"/>
              <w:right w:val="single" w:color="000000" w:sz="6" w:space="0"/>
            </w:tcBorders>
          </w:tcPr>
          <w:p>
            <w:pPr>
              <w:pStyle w:val="24"/>
              <w:spacing w:before="35"/>
              <w:ind w:left="489"/>
              <w:rPr>
                <w:sz w:val="24"/>
              </w:rPr>
            </w:pPr>
            <w:r>
              <w:rPr>
                <w:sz w:val="24"/>
              </w:rPr>
              <w:t>报告人职务</w:t>
            </w:r>
          </w:p>
        </w:tc>
        <w:tc>
          <w:tcPr>
            <w:tcW w:w="1443" w:type="dxa"/>
            <w:tcBorders>
              <w:top w:val="single" w:color="000000" w:sz="6" w:space="0"/>
              <w:left w:val="single" w:color="000000" w:sz="6" w:space="0"/>
              <w:bottom w:val="single" w:color="000000" w:sz="6" w:space="0"/>
            </w:tcBorders>
          </w:tcPr>
          <w:p>
            <w:pPr>
              <w:pStyle w:val="24"/>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1" w:hRule="atLeast"/>
        </w:trPr>
        <w:tc>
          <w:tcPr>
            <w:tcW w:w="3011" w:type="dxa"/>
            <w:tcBorders>
              <w:top w:val="single" w:color="000000" w:sz="6" w:space="0"/>
              <w:bottom w:val="single" w:color="000000" w:sz="6" w:space="0"/>
              <w:right w:val="single" w:color="000000" w:sz="6" w:space="0"/>
            </w:tcBorders>
          </w:tcPr>
          <w:p>
            <w:pPr>
              <w:pStyle w:val="24"/>
              <w:spacing w:before="37"/>
              <w:ind w:left="163" w:right="144"/>
              <w:jc w:val="center"/>
              <w:rPr>
                <w:sz w:val="24"/>
              </w:rPr>
            </w:pPr>
            <w:r>
              <w:rPr>
                <w:sz w:val="24"/>
              </w:rPr>
              <w:t>事故地点</w:t>
            </w:r>
            <w:r>
              <w:rPr>
                <w:rFonts w:ascii="Times New Roman" w:eastAsia="Times New Roman"/>
                <w:sz w:val="24"/>
              </w:rPr>
              <w:t>/</w:t>
            </w:r>
            <w:r>
              <w:rPr>
                <w:sz w:val="24"/>
              </w:rPr>
              <w:t>部位</w:t>
            </w:r>
          </w:p>
        </w:tc>
        <w:tc>
          <w:tcPr>
            <w:tcW w:w="6842" w:type="dxa"/>
            <w:gridSpan w:val="8"/>
            <w:tcBorders>
              <w:top w:val="single" w:color="000000" w:sz="6" w:space="0"/>
              <w:left w:val="single" w:color="000000" w:sz="6" w:space="0"/>
              <w:bottom w:val="single" w:color="000000" w:sz="6" w:space="0"/>
            </w:tcBorders>
          </w:tcPr>
          <w:p>
            <w:pPr>
              <w:pStyle w:val="24"/>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2" w:hRule="atLeast"/>
        </w:trPr>
        <w:tc>
          <w:tcPr>
            <w:tcW w:w="3011" w:type="dxa"/>
            <w:tcBorders>
              <w:top w:val="single" w:color="000000" w:sz="6" w:space="0"/>
              <w:bottom w:val="single" w:color="000000" w:sz="6" w:space="0"/>
              <w:right w:val="single" w:color="000000" w:sz="6" w:space="0"/>
            </w:tcBorders>
          </w:tcPr>
          <w:p>
            <w:pPr>
              <w:pStyle w:val="24"/>
              <w:spacing w:before="36"/>
              <w:ind w:left="163" w:right="144"/>
              <w:jc w:val="center"/>
              <w:rPr>
                <w:sz w:val="24"/>
              </w:rPr>
            </w:pPr>
            <w:r>
              <w:rPr>
                <w:sz w:val="24"/>
              </w:rPr>
              <w:t>泄漏物质的危害特性</w:t>
            </w:r>
          </w:p>
        </w:tc>
        <w:tc>
          <w:tcPr>
            <w:tcW w:w="6842" w:type="dxa"/>
            <w:gridSpan w:val="8"/>
            <w:tcBorders>
              <w:top w:val="single" w:color="000000" w:sz="6" w:space="0"/>
              <w:left w:val="single" w:color="000000" w:sz="6" w:space="0"/>
              <w:bottom w:val="single" w:color="000000" w:sz="6" w:space="0"/>
            </w:tcBorders>
          </w:tcPr>
          <w:p>
            <w:pPr>
              <w:pStyle w:val="24"/>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34" w:hRule="atLeast"/>
        </w:trPr>
        <w:tc>
          <w:tcPr>
            <w:tcW w:w="3011" w:type="dxa"/>
            <w:tcBorders>
              <w:top w:val="single" w:color="000000" w:sz="6" w:space="0"/>
              <w:bottom w:val="single" w:color="000000" w:sz="6" w:space="0"/>
              <w:right w:val="single" w:color="000000" w:sz="6" w:space="0"/>
            </w:tcBorders>
          </w:tcPr>
          <w:p>
            <w:pPr>
              <w:pStyle w:val="24"/>
              <w:spacing w:before="212"/>
              <w:ind w:left="163" w:right="144"/>
              <w:jc w:val="center"/>
              <w:rPr>
                <w:sz w:val="24"/>
              </w:rPr>
            </w:pPr>
            <w:r>
              <w:rPr>
                <w:sz w:val="24"/>
              </w:rPr>
              <w:t>消除泄漏物质危害的物质</w:t>
            </w:r>
          </w:p>
        </w:tc>
        <w:tc>
          <w:tcPr>
            <w:tcW w:w="6842" w:type="dxa"/>
            <w:gridSpan w:val="8"/>
            <w:tcBorders>
              <w:top w:val="single" w:color="000000" w:sz="6" w:space="0"/>
              <w:left w:val="single" w:color="000000" w:sz="6" w:space="0"/>
              <w:bottom w:val="single" w:color="000000" w:sz="6" w:space="0"/>
            </w:tcBorders>
          </w:tcPr>
          <w:p>
            <w:pPr>
              <w:pStyle w:val="24"/>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2" w:hRule="atLeast"/>
        </w:trPr>
        <w:tc>
          <w:tcPr>
            <w:tcW w:w="3011" w:type="dxa"/>
            <w:vMerge w:val="restart"/>
            <w:tcBorders>
              <w:top w:val="single" w:color="000000" w:sz="6" w:space="0"/>
              <w:bottom w:val="single" w:color="000000" w:sz="6" w:space="0"/>
              <w:right w:val="single" w:color="000000" w:sz="6" w:space="0"/>
            </w:tcBorders>
          </w:tcPr>
          <w:p>
            <w:pPr>
              <w:pStyle w:val="24"/>
              <w:spacing w:before="10"/>
              <w:rPr>
                <w:b/>
                <w:sz w:val="33"/>
              </w:rPr>
            </w:pPr>
          </w:p>
          <w:p>
            <w:pPr>
              <w:pStyle w:val="24"/>
              <w:ind w:left="163" w:right="144"/>
              <w:jc w:val="center"/>
              <w:rPr>
                <w:sz w:val="24"/>
              </w:rPr>
            </w:pPr>
            <w:r>
              <w:rPr>
                <w:sz w:val="24"/>
              </w:rPr>
              <w:t>危害情况</w:t>
            </w:r>
          </w:p>
        </w:tc>
        <w:tc>
          <w:tcPr>
            <w:tcW w:w="3738" w:type="dxa"/>
            <w:gridSpan w:val="5"/>
            <w:tcBorders>
              <w:top w:val="single" w:color="000000" w:sz="6" w:space="0"/>
              <w:left w:val="single" w:color="000000" w:sz="6" w:space="0"/>
              <w:bottom w:val="single" w:color="000000" w:sz="6" w:space="0"/>
              <w:right w:val="single" w:color="000000" w:sz="6" w:space="0"/>
            </w:tcBorders>
          </w:tcPr>
          <w:p>
            <w:pPr>
              <w:pStyle w:val="24"/>
              <w:spacing w:before="37"/>
              <w:ind w:left="1375" w:right="1348"/>
              <w:jc w:val="center"/>
              <w:rPr>
                <w:sz w:val="24"/>
              </w:rPr>
            </w:pPr>
            <w:r>
              <w:rPr>
                <w:sz w:val="24"/>
              </w:rPr>
              <w:t>人员伤亡</w:t>
            </w:r>
          </w:p>
        </w:tc>
        <w:tc>
          <w:tcPr>
            <w:tcW w:w="1661" w:type="dxa"/>
            <w:gridSpan w:val="2"/>
            <w:tcBorders>
              <w:top w:val="single" w:color="000000" w:sz="6" w:space="0"/>
              <w:left w:val="single" w:color="000000" w:sz="6" w:space="0"/>
              <w:bottom w:val="single" w:color="000000" w:sz="6" w:space="0"/>
              <w:right w:val="single" w:color="000000" w:sz="6" w:space="0"/>
            </w:tcBorders>
          </w:tcPr>
          <w:p>
            <w:pPr>
              <w:pStyle w:val="24"/>
              <w:spacing w:before="37"/>
              <w:ind w:left="357"/>
              <w:rPr>
                <w:sz w:val="24"/>
              </w:rPr>
            </w:pPr>
            <w:r>
              <w:rPr>
                <w:sz w:val="24"/>
              </w:rPr>
              <w:t>设备受损</w:t>
            </w:r>
          </w:p>
        </w:tc>
        <w:tc>
          <w:tcPr>
            <w:tcW w:w="1443" w:type="dxa"/>
            <w:tcBorders>
              <w:top w:val="single" w:color="000000" w:sz="6" w:space="0"/>
              <w:left w:val="single" w:color="000000" w:sz="6" w:space="0"/>
              <w:bottom w:val="single" w:color="000000" w:sz="6" w:space="0"/>
            </w:tcBorders>
          </w:tcPr>
          <w:p>
            <w:pPr>
              <w:pStyle w:val="24"/>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1" w:hRule="atLeast"/>
        </w:trPr>
        <w:tc>
          <w:tcPr>
            <w:tcW w:w="3011" w:type="dxa"/>
            <w:vMerge w:val="continue"/>
            <w:tcBorders>
              <w:top w:val="nil"/>
              <w:bottom w:val="single" w:color="000000" w:sz="6" w:space="0"/>
              <w:right w:val="single" w:color="000000" w:sz="6" w:space="0"/>
            </w:tcBorders>
          </w:tcPr>
          <w:p>
            <w:pPr>
              <w:rPr>
                <w:sz w:val="2"/>
                <w:szCs w:val="2"/>
              </w:rPr>
            </w:pPr>
          </w:p>
        </w:tc>
        <w:tc>
          <w:tcPr>
            <w:tcW w:w="1245" w:type="dxa"/>
            <w:tcBorders>
              <w:top w:val="single" w:color="000000" w:sz="6" w:space="0"/>
              <w:left w:val="single" w:color="000000" w:sz="6" w:space="0"/>
              <w:bottom w:val="single" w:color="000000" w:sz="6" w:space="0"/>
              <w:right w:val="single" w:color="000000" w:sz="6" w:space="0"/>
            </w:tcBorders>
          </w:tcPr>
          <w:p>
            <w:pPr>
              <w:pStyle w:val="24"/>
              <w:spacing w:before="36"/>
              <w:ind w:left="389"/>
              <w:rPr>
                <w:sz w:val="24"/>
              </w:rPr>
            </w:pPr>
            <w:r>
              <w:rPr>
                <w:sz w:val="24"/>
              </w:rPr>
              <w:t>死亡</w:t>
            </w:r>
          </w:p>
        </w:tc>
        <w:tc>
          <w:tcPr>
            <w:tcW w:w="1247" w:type="dxa"/>
            <w:tcBorders>
              <w:top w:val="single" w:color="000000" w:sz="6" w:space="0"/>
              <w:left w:val="single" w:color="000000" w:sz="6" w:space="0"/>
              <w:bottom w:val="single" w:color="000000" w:sz="6" w:space="0"/>
              <w:right w:val="single" w:color="000000" w:sz="6" w:space="0"/>
            </w:tcBorders>
          </w:tcPr>
          <w:p>
            <w:pPr>
              <w:pStyle w:val="24"/>
              <w:spacing w:before="36"/>
              <w:ind w:left="390"/>
              <w:rPr>
                <w:sz w:val="24"/>
              </w:rPr>
            </w:pPr>
            <w:r>
              <w:rPr>
                <w:sz w:val="24"/>
              </w:rPr>
              <w:t>重伤</w:t>
            </w:r>
          </w:p>
        </w:tc>
        <w:tc>
          <w:tcPr>
            <w:tcW w:w="1246" w:type="dxa"/>
            <w:gridSpan w:val="3"/>
            <w:tcBorders>
              <w:top w:val="single" w:color="000000" w:sz="6" w:space="0"/>
              <w:left w:val="single" w:color="000000" w:sz="6" w:space="0"/>
              <w:bottom w:val="single" w:color="000000" w:sz="6" w:space="0"/>
              <w:right w:val="single" w:color="000000" w:sz="6" w:space="0"/>
            </w:tcBorders>
          </w:tcPr>
          <w:p>
            <w:pPr>
              <w:pStyle w:val="24"/>
              <w:spacing w:before="36"/>
              <w:ind w:left="388"/>
              <w:rPr>
                <w:sz w:val="24"/>
              </w:rPr>
            </w:pPr>
            <w:r>
              <w:rPr>
                <w:sz w:val="24"/>
              </w:rPr>
              <w:t>轻伤</w:t>
            </w:r>
          </w:p>
        </w:tc>
        <w:tc>
          <w:tcPr>
            <w:tcW w:w="1661" w:type="dxa"/>
            <w:gridSpan w:val="2"/>
            <w:tcBorders>
              <w:top w:val="single" w:color="000000" w:sz="6" w:space="0"/>
              <w:left w:val="single" w:color="000000" w:sz="6" w:space="0"/>
              <w:bottom w:val="single" w:color="000000" w:sz="6" w:space="0"/>
              <w:right w:val="single" w:color="000000" w:sz="6" w:space="0"/>
            </w:tcBorders>
          </w:tcPr>
          <w:p>
            <w:pPr>
              <w:pStyle w:val="24"/>
              <w:spacing w:before="36"/>
              <w:ind w:left="237"/>
              <w:rPr>
                <w:sz w:val="24"/>
              </w:rPr>
            </w:pPr>
            <w:r>
              <w:rPr>
                <w:sz w:val="24"/>
              </w:rPr>
              <w:t>建筑物受损</w:t>
            </w:r>
          </w:p>
        </w:tc>
        <w:tc>
          <w:tcPr>
            <w:tcW w:w="1443" w:type="dxa"/>
            <w:tcBorders>
              <w:top w:val="single" w:color="000000" w:sz="6" w:space="0"/>
              <w:left w:val="single" w:color="000000" w:sz="6" w:space="0"/>
              <w:bottom w:val="single" w:color="000000" w:sz="6" w:space="0"/>
            </w:tcBorders>
          </w:tcPr>
          <w:p>
            <w:pPr>
              <w:pStyle w:val="24"/>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2" w:hRule="atLeast"/>
        </w:trPr>
        <w:tc>
          <w:tcPr>
            <w:tcW w:w="3011" w:type="dxa"/>
            <w:vMerge w:val="continue"/>
            <w:tcBorders>
              <w:top w:val="nil"/>
              <w:bottom w:val="single" w:color="000000" w:sz="6" w:space="0"/>
              <w:right w:val="single" w:color="000000" w:sz="6" w:space="0"/>
            </w:tcBorders>
          </w:tcPr>
          <w:p>
            <w:pPr>
              <w:rPr>
                <w:sz w:val="2"/>
                <w:szCs w:val="2"/>
              </w:rPr>
            </w:pPr>
          </w:p>
        </w:tc>
        <w:tc>
          <w:tcPr>
            <w:tcW w:w="1245" w:type="dxa"/>
            <w:tcBorders>
              <w:top w:val="single" w:color="000000" w:sz="6" w:space="0"/>
              <w:left w:val="single" w:color="000000" w:sz="6" w:space="0"/>
              <w:bottom w:val="single" w:color="000000" w:sz="6" w:space="0"/>
              <w:right w:val="single" w:color="000000" w:sz="6" w:space="0"/>
            </w:tcBorders>
          </w:tcPr>
          <w:p>
            <w:pPr>
              <w:pStyle w:val="24"/>
              <w:rPr>
                <w:rFonts w:ascii="Times New Roman"/>
              </w:rPr>
            </w:pPr>
          </w:p>
        </w:tc>
        <w:tc>
          <w:tcPr>
            <w:tcW w:w="1247" w:type="dxa"/>
            <w:tcBorders>
              <w:top w:val="single" w:color="000000" w:sz="6" w:space="0"/>
              <w:left w:val="single" w:color="000000" w:sz="6" w:space="0"/>
              <w:bottom w:val="single" w:color="000000" w:sz="6" w:space="0"/>
              <w:right w:val="single" w:color="000000" w:sz="6" w:space="0"/>
            </w:tcBorders>
          </w:tcPr>
          <w:p>
            <w:pPr>
              <w:pStyle w:val="24"/>
              <w:rPr>
                <w:rFonts w:ascii="Times New Roman"/>
              </w:rPr>
            </w:pPr>
          </w:p>
        </w:tc>
        <w:tc>
          <w:tcPr>
            <w:tcW w:w="1246" w:type="dxa"/>
            <w:gridSpan w:val="3"/>
            <w:tcBorders>
              <w:top w:val="single" w:color="000000" w:sz="6" w:space="0"/>
              <w:left w:val="single" w:color="000000" w:sz="6" w:space="0"/>
              <w:bottom w:val="single" w:color="000000" w:sz="6" w:space="0"/>
              <w:right w:val="single" w:color="000000" w:sz="6" w:space="0"/>
            </w:tcBorders>
          </w:tcPr>
          <w:p>
            <w:pPr>
              <w:pStyle w:val="24"/>
              <w:rPr>
                <w:rFonts w:ascii="Times New Roman"/>
              </w:rPr>
            </w:pPr>
          </w:p>
        </w:tc>
        <w:tc>
          <w:tcPr>
            <w:tcW w:w="1661" w:type="dxa"/>
            <w:gridSpan w:val="2"/>
            <w:tcBorders>
              <w:top w:val="single" w:color="000000" w:sz="6" w:space="0"/>
              <w:left w:val="single" w:color="000000" w:sz="6" w:space="0"/>
              <w:bottom w:val="single" w:color="000000" w:sz="6" w:space="0"/>
              <w:right w:val="single" w:color="000000" w:sz="6" w:space="0"/>
            </w:tcBorders>
          </w:tcPr>
          <w:p>
            <w:pPr>
              <w:pStyle w:val="24"/>
              <w:spacing w:before="35"/>
              <w:ind w:left="357"/>
              <w:rPr>
                <w:sz w:val="24"/>
              </w:rPr>
            </w:pPr>
            <w:r>
              <w:rPr>
                <w:sz w:val="24"/>
              </w:rPr>
              <w:t>财产损失</w:t>
            </w:r>
          </w:p>
        </w:tc>
        <w:tc>
          <w:tcPr>
            <w:tcW w:w="1443" w:type="dxa"/>
            <w:tcBorders>
              <w:top w:val="single" w:color="000000" w:sz="6" w:space="0"/>
              <w:left w:val="single" w:color="000000" w:sz="6" w:space="0"/>
              <w:bottom w:val="single" w:color="000000" w:sz="6" w:space="0"/>
            </w:tcBorders>
          </w:tcPr>
          <w:p>
            <w:pPr>
              <w:pStyle w:val="24"/>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2" w:hRule="atLeast"/>
        </w:trPr>
        <w:tc>
          <w:tcPr>
            <w:tcW w:w="3011" w:type="dxa"/>
            <w:tcBorders>
              <w:top w:val="single" w:color="000000" w:sz="6" w:space="0"/>
              <w:bottom w:val="single" w:color="000000" w:sz="6" w:space="0"/>
              <w:right w:val="single" w:color="000000" w:sz="6" w:space="0"/>
            </w:tcBorders>
          </w:tcPr>
          <w:p>
            <w:pPr>
              <w:pStyle w:val="24"/>
              <w:spacing w:before="36"/>
              <w:ind w:left="163" w:right="144"/>
              <w:jc w:val="center"/>
              <w:rPr>
                <w:sz w:val="24"/>
              </w:rPr>
            </w:pPr>
            <w:r>
              <w:rPr>
                <w:sz w:val="24"/>
              </w:rPr>
              <w:t>波及范围</w:t>
            </w:r>
          </w:p>
        </w:tc>
        <w:tc>
          <w:tcPr>
            <w:tcW w:w="6842" w:type="dxa"/>
            <w:gridSpan w:val="8"/>
            <w:tcBorders>
              <w:top w:val="single" w:color="000000" w:sz="6" w:space="0"/>
              <w:left w:val="single" w:color="000000" w:sz="6" w:space="0"/>
              <w:bottom w:val="single" w:color="000000" w:sz="6" w:space="0"/>
            </w:tcBorders>
          </w:tcPr>
          <w:p>
            <w:pPr>
              <w:pStyle w:val="24"/>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1" w:hRule="atLeast"/>
        </w:trPr>
        <w:tc>
          <w:tcPr>
            <w:tcW w:w="3011" w:type="dxa"/>
            <w:tcBorders>
              <w:top w:val="single" w:color="000000" w:sz="6" w:space="0"/>
              <w:bottom w:val="single" w:color="000000" w:sz="6" w:space="0"/>
              <w:right w:val="single" w:color="000000" w:sz="6" w:space="0"/>
            </w:tcBorders>
          </w:tcPr>
          <w:p>
            <w:pPr>
              <w:pStyle w:val="24"/>
              <w:spacing w:before="35"/>
              <w:ind w:left="163" w:right="144"/>
              <w:jc w:val="center"/>
              <w:rPr>
                <w:sz w:val="24"/>
              </w:rPr>
            </w:pPr>
            <w:r>
              <w:rPr>
                <w:sz w:val="24"/>
              </w:rPr>
              <w:t>设施损坏情况</w:t>
            </w:r>
          </w:p>
        </w:tc>
        <w:tc>
          <w:tcPr>
            <w:tcW w:w="6842" w:type="dxa"/>
            <w:gridSpan w:val="8"/>
            <w:tcBorders>
              <w:top w:val="single" w:color="000000" w:sz="6" w:space="0"/>
              <w:left w:val="single" w:color="000000" w:sz="6" w:space="0"/>
              <w:bottom w:val="single" w:color="000000" w:sz="6" w:space="0"/>
            </w:tcBorders>
          </w:tcPr>
          <w:p>
            <w:pPr>
              <w:pStyle w:val="24"/>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2" w:hRule="atLeast"/>
        </w:trPr>
        <w:tc>
          <w:tcPr>
            <w:tcW w:w="3011" w:type="dxa"/>
            <w:tcBorders>
              <w:top w:val="single" w:color="000000" w:sz="6" w:space="0"/>
              <w:bottom w:val="single" w:color="000000" w:sz="6" w:space="0"/>
              <w:right w:val="single" w:color="000000" w:sz="6" w:space="0"/>
            </w:tcBorders>
          </w:tcPr>
          <w:p>
            <w:pPr>
              <w:pStyle w:val="24"/>
              <w:spacing w:before="37"/>
              <w:ind w:left="163" w:right="144"/>
              <w:jc w:val="center"/>
              <w:rPr>
                <w:sz w:val="24"/>
              </w:rPr>
            </w:pPr>
            <w:r>
              <w:rPr>
                <w:sz w:val="24"/>
              </w:rPr>
              <w:t>已采取的措施</w:t>
            </w:r>
          </w:p>
        </w:tc>
        <w:tc>
          <w:tcPr>
            <w:tcW w:w="6842" w:type="dxa"/>
            <w:gridSpan w:val="8"/>
            <w:tcBorders>
              <w:top w:val="single" w:color="000000" w:sz="6" w:space="0"/>
              <w:left w:val="single" w:color="000000" w:sz="6" w:space="0"/>
              <w:bottom w:val="single" w:color="000000" w:sz="6" w:space="0"/>
            </w:tcBorders>
          </w:tcPr>
          <w:p>
            <w:pPr>
              <w:pStyle w:val="24"/>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2" w:hRule="atLeast"/>
        </w:trPr>
        <w:tc>
          <w:tcPr>
            <w:tcW w:w="3011" w:type="dxa"/>
            <w:tcBorders>
              <w:top w:val="single" w:color="000000" w:sz="6" w:space="0"/>
              <w:bottom w:val="single" w:color="000000" w:sz="6" w:space="0"/>
              <w:right w:val="single" w:color="000000" w:sz="6" w:space="0"/>
            </w:tcBorders>
          </w:tcPr>
          <w:p>
            <w:pPr>
              <w:pStyle w:val="24"/>
              <w:spacing w:before="36"/>
              <w:ind w:left="163" w:right="144"/>
              <w:jc w:val="center"/>
              <w:rPr>
                <w:sz w:val="24"/>
              </w:rPr>
            </w:pPr>
            <w:r>
              <w:rPr>
                <w:sz w:val="24"/>
              </w:rPr>
              <w:t>周边道路情况</w:t>
            </w:r>
          </w:p>
        </w:tc>
        <w:tc>
          <w:tcPr>
            <w:tcW w:w="6842" w:type="dxa"/>
            <w:gridSpan w:val="8"/>
            <w:tcBorders>
              <w:top w:val="single" w:color="000000" w:sz="6" w:space="0"/>
              <w:left w:val="single" w:color="000000" w:sz="6" w:space="0"/>
              <w:bottom w:val="single" w:color="000000" w:sz="6" w:space="0"/>
            </w:tcBorders>
          </w:tcPr>
          <w:p>
            <w:pPr>
              <w:pStyle w:val="24"/>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1" w:hRule="atLeast"/>
        </w:trPr>
        <w:tc>
          <w:tcPr>
            <w:tcW w:w="3011" w:type="dxa"/>
            <w:tcBorders>
              <w:top w:val="single" w:color="000000" w:sz="6" w:space="0"/>
              <w:bottom w:val="single" w:color="000000" w:sz="6" w:space="0"/>
              <w:right w:val="single" w:color="000000" w:sz="6" w:space="0"/>
            </w:tcBorders>
          </w:tcPr>
          <w:p>
            <w:pPr>
              <w:pStyle w:val="24"/>
              <w:spacing w:before="35"/>
              <w:ind w:left="163" w:right="144"/>
              <w:jc w:val="center"/>
              <w:rPr>
                <w:sz w:val="24"/>
              </w:rPr>
            </w:pPr>
            <w:r>
              <w:rPr>
                <w:sz w:val="24"/>
              </w:rPr>
              <w:t>与有关部门协调情况</w:t>
            </w:r>
          </w:p>
        </w:tc>
        <w:tc>
          <w:tcPr>
            <w:tcW w:w="6842" w:type="dxa"/>
            <w:gridSpan w:val="8"/>
            <w:tcBorders>
              <w:top w:val="single" w:color="000000" w:sz="6" w:space="0"/>
              <w:left w:val="single" w:color="000000" w:sz="6" w:space="0"/>
              <w:bottom w:val="single" w:color="000000" w:sz="6" w:space="0"/>
            </w:tcBorders>
          </w:tcPr>
          <w:p>
            <w:pPr>
              <w:pStyle w:val="24"/>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2" w:hRule="atLeast"/>
        </w:trPr>
        <w:tc>
          <w:tcPr>
            <w:tcW w:w="3011" w:type="dxa"/>
            <w:tcBorders>
              <w:top w:val="single" w:color="000000" w:sz="6" w:space="0"/>
              <w:bottom w:val="single" w:color="000000" w:sz="6" w:space="0"/>
              <w:right w:val="single" w:color="000000" w:sz="6" w:space="0"/>
            </w:tcBorders>
          </w:tcPr>
          <w:p>
            <w:pPr>
              <w:pStyle w:val="24"/>
              <w:spacing w:before="36"/>
              <w:ind w:left="163" w:right="144"/>
              <w:jc w:val="center"/>
              <w:rPr>
                <w:sz w:val="24"/>
              </w:rPr>
            </w:pPr>
            <w:r>
              <w:rPr>
                <w:sz w:val="24"/>
              </w:rPr>
              <w:t>应急人员设施到位情况</w:t>
            </w:r>
          </w:p>
        </w:tc>
        <w:tc>
          <w:tcPr>
            <w:tcW w:w="6842" w:type="dxa"/>
            <w:gridSpan w:val="8"/>
            <w:tcBorders>
              <w:top w:val="single" w:color="000000" w:sz="6" w:space="0"/>
              <w:left w:val="single" w:color="000000" w:sz="6" w:space="0"/>
              <w:bottom w:val="single" w:color="000000" w:sz="6" w:space="0"/>
            </w:tcBorders>
          </w:tcPr>
          <w:p>
            <w:pPr>
              <w:pStyle w:val="24"/>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1" w:hRule="atLeast"/>
        </w:trPr>
        <w:tc>
          <w:tcPr>
            <w:tcW w:w="3011" w:type="dxa"/>
            <w:tcBorders>
              <w:top w:val="single" w:color="000000" w:sz="6" w:space="0"/>
              <w:bottom w:val="single" w:color="000000" w:sz="6" w:space="0"/>
              <w:right w:val="single" w:color="000000" w:sz="6" w:space="0"/>
            </w:tcBorders>
          </w:tcPr>
          <w:p>
            <w:pPr>
              <w:pStyle w:val="24"/>
              <w:spacing w:before="35"/>
              <w:ind w:left="163" w:right="144"/>
              <w:jc w:val="center"/>
              <w:rPr>
                <w:sz w:val="24"/>
              </w:rPr>
            </w:pPr>
            <w:r>
              <w:rPr>
                <w:sz w:val="24"/>
              </w:rPr>
              <w:t>应急物资准备情况</w:t>
            </w:r>
          </w:p>
        </w:tc>
        <w:tc>
          <w:tcPr>
            <w:tcW w:w="6842" w:type="dxa"/>
            <w:gridSpan w:val="8"/>
            <w:tcBorders>
              <w:top w:val="single" w:color="000000" w:sz="6" w:space="0"/>
              <w:left w:val="single" w:color="000000" w:sz="6" w:space="0"/>
              <w:bottom w:val="single" w:color="000000" w:sz="6" w:space="0"/>
            </w:tcBorders>
          </w:tcPr>
          <w:p>
            <w:pPr>
              <w:pStyle w:val="24"/>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63" w:hRule="atLeast"/>
        </w:trPr>
        <w:tc>
          <w:tcPr>
            <w:tcW w:w="9853" w:type="dxa"/>
            <w:gridSpan w:val="9"/>
            <w:tcBorders>
              <w:top w:val="single" w:color="000000" w:sz="6" w:space="0"/>
              <w:bottom w:val="single" w:color="000000" w:sz="6" w:space="0"/>
            </w:tcBorders>
          </w:tcPr>
          <w:p>
            <w:pPr>
              <w:pStyle w:val="24"/>
              <w:spacing w:before="1"/>
              <w:ind w:left="107"/>
              <w:rPr>
                <w:sz w:val="24"/>
              </w:rPr>
            </w:pPr>
            <w:r>
              <w:rPr>
                <w:sz w:val="24"/>
              </w:rPr>
              <w:t>事故发生原因及主要经过：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5" w:hRule="atLeast"/>
        </w:trPr>
        <w:tc>
          <w:tcPr>
            <w:tcW w:w="9853" w:type="dxa"/>
            <w:gridSpan w:val="9"/>
            <w:tcBorders>
              <w:top w:val="single" w:color="000000" w:sz="6" w:space="0"/>
              <w:bottom w:val="single" w:color="000000" w:sz="6" w:space="0"/>
            </w:tcBorders>
          </w:tcPr>
          <w:p>
            <w:pPr>
              <w:pStyle w:val="24"/>
              <w:spacing w:before="1"/>
              <w:ind w:left="107"/>
              <w:rPr>
                <w:sz w:val="24"/>
              </w:rPr>
            </w:pPr>
            <w:r>
              <w:rPr>
                <w:sz w:val="24"/>
              </w:rPr>
              <w:t>危险物质泄漏情况：</w:t>
            </w:r>
          </w:p>
          <w:p>
            <w:pPr>
              <w:pStyle w:val="24"/>
              <w:spacing w:before="4" w:line="242" w:lineRule="auto"/>
              <w:ind w:left="707" w:right="5033"/>
              <w:rPr>
                <w:sz w:val="24"/>
              </w:rPr>
            </w:pPr>
            <w:r>
              <w:rPr>
                <w:sz w:val="24"/>
              </w:rPr>
              <w:t>泄漏危险化学品名称（固、液、气）： 泄漏量</w:t>
            </w:r>
            <w:r>
              <w:rPr>
                <w:rFonts w:ascii="Times New Roman" w:eastAsia="Times New Roman"/>
                <w:sz w:val="24"/>
              </w:rPr>
              <w:t>/</w:t>
            </w:r>
            <w:r>
              <w:rPr>
                <w:sz w:val="24"/>
              </w:rPr>
              <w:t>泄漏率：</w:t>
            </w:r>
          </w:p>
          <w:p>
            <w:pPr>
              <w:pStyle w:val="24"/>
              <w:spacing w:before="1" w:line="290" w:lineRule="exact"/>
              <w:ind w:left="707"/>
              <w:rPr>
                <w:sz w:val="24"/>
              </w:rPr>
            </w:pPr>
            <w:r>
              <w:rPr>
                <w:sz w:val="24"/>
              </w:rPr>
              <w:t>毒性</w:t>
            </w:r>
            <w:r>
              <w:rPr>
                <w:rFonts w:ascii="Times New Roman" w:eastAsia="Times New Roman"/>
                <w:sz w:val="24"/>
              </w:rPr>
              <w:t>/</w:t>
            </w:r>
            <w:r>
              <w:rPr>
                <w:sz w:val="24"/>
              </w:rPr>
              <w:t>易燃性：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62" w:hRule="atLeast"/>
        </w:trPr>
        <w:tc>
          <w:tcPr>
            <w:tcW w:w="9853" w:type="dxa"/>
            <w:gridSpan w:val="9"/>
            <w:tcBorders>
              <w:top w:val="single" w:color="000000" w:sz="6" w:space="0"/>
              <w:bottom w:val="single" w:color="000000" w:sz="6" w:space="0"/>
            </w:tcBorders>
          </w:tcPr>
          <w:p>
            <w:pPr>
              <w:pStyle w:val="24"/>
              <w:spacing w:before="1"/>
              <w:ind w:left="107"/>
              <w:rPr>
                <w:sz w:val="24"/>
              </w:rPr>
            </w:pPr>
            <w:r>
              <w:rPr>
                <w:sz w:val="24"/>
              </w:rPr>
              <w:t>火灾爆炸情况：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62" w:hRule="atLeast"/>
        </w:trPr>
        <w:tc>
          <w:tcPr>
            <w:tcW w:w="9853" w:type="dxa"/>
            <w:gridSpan w:val="9"/>
            <w:tcBorders>
              <w:top w:val="single" w:color="000000" w:sz="6" w:space="0"/>
              <w:bottom w:val="single" w:color="000000" w:sz="6" w:space="0"/>
            </w:tcBorders>
          </w:tcPr>
          <w:p>
            <w:pPr>
              <w:pStyle w:val="24"/>
              <w:spacing w:before="1"/>
              <w:ind w:left="107"/>
              <w:rPr>
                <w:sz w:val="24"/>
              </w:rPr>
            </w:pPr>
            <w:r>
              <w:rPr>
                <w:sz w:val="24"/>
              </w:rPr>
              <w:t>环境污染情况：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64" w:hRule="atLeast"/>
        </w:trPr>
        <w:tc>
          <w:tcPr>
            <w:tcW w:w="9853" w:type="dxa"/>
            <w:gridSpan w:val="9"/>
            <w:tcBorders>
              <w:top w:val="single" w:color="000000" w:sz="6" w:space="0"/>
              <w:bottom w:val="single" w:color="000000" w:sz="6" w:space="0"/>
            </w:tcBorders>
          </w:tcPr>
          <w:p>
            <w:pPr>
              <w:pStyle w:val="24"/>
              <w:spacing w:before="2"/>
              <w:ind w:left="107"/>
              <w:rPr>
                <w:sz w:val="24"/>
              </w:rPr>
            </w:pPr>
            <w:r>
              <w:rPr>
                <w:sz w:val="24"/>
              </w:rPr>
              <w:t>事态及次生或衍生事态发展情况预测：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9853" w:type="dxa"/>
            <w:gridSpan w:val="9"/>
            <w:tcBorders>
              <w:top w:val="single" w:color="000000" w:sz="6" w:space="0"/>
              <w:bottom w:val="single" w:color="000000" w:sz="6" w:space="0"/>
            </w:tcBorders>
          </w:tcPr>
          <w:p>
            <w:pPr>
              <w:pStyle w:val="24"/>
              <w:tabs>
                <w:tab w:val="left" w:pos="3347"/>
                <w:tab w:val="left" w:pos="5147"/>
                <w:tab w:val="left" w:pos="6827"/>
              </w:tabs>
              <w:spacing w:before="1" w:line="290" w:lineRule="exact"/>
              <w:ind w:left="107"/>
              <w:rPr>
                <w:sz w:val="24"/>
              </w:rPr>
            </w:pPr>
            <w:r>
              <w:rPr>
                <w:sz w:val="24"/>
              </w:rPr>
              <w:t>天气状况：温度</w:t>
            </w:r>
            <w:r>
              <w:rPr>
                <w:sz w:val="24"/>
              </w:rPr>
              <w:tab/>
            </w:r>
            <w:r>
              <w:rPr>
                <w:sz w:val="24"/>
              </w:rPr>
              <w:t>风速</w:t>
            </w:r>
            <w:r>
              <w:rPr>
                <w:sz w:val="24"/>
              </w:rPr>
              <w:tab/>
            </w:r>
            <w:r>
              <w:rPr>
                <w:sz w:val="24"/>
              </w:rPr>
              <w:t>阴晴</w:t>
            </w:r>
            <w:r>
              <w:rPr>
                <w:sz w:val="24"/>
              </w:rPr>
              <w:tab/>
            </w:r>
            <w:r>
              <w:rPr>
                <w:sz w:val="24"/>
              </w:rPr>
              <w:t>其它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2" w:hRule="atLeast"/>
        </w:trPr>
        <w:tc>
          <w:tcPr>
            <w:tcW w:w="3011" w:type="dxa"/>
            <w:tcBorders>
              <w:top w:val="single" w:color="000000" w:sz="6" w:space="0"/>
              <w:bottom w:val="single" w:color="000000" w:sz="6" w:space="0"/>
              <w:right w:val="single" w:color="000000" w:sz="6" w:space="0"/>
            </w:tcBorders>
          </w:tcPr>
          <w:p>
            <w:pPr>
              <w:pStyle w:val="24"/>
              <w:spacing w:before="119"/>
              <w:ind w:left="163" w:right="144"/>
              <w:jc w:val="center"/>
              <w:rPr>
                <w:sz w:val="24"/>
              </w:rPr>
            </w:pPr>
            <w:r>
              <w:rPr>
                <w:sz w:val="24"/>
              </w:rPr>
              <w:t>单位意见</w:t>
            </w:r>
          </w:p>
        </w:tc>
        <w:tc>
          <w:tcPr>
            <w:tcW w:w="6842" w:type="dxa"/>
            <w:gridSpan w:val="8"/>
            <w:tcBorders>
              <w:top w:val="single" w:color="000000" w:sz="6" w:space="0"/>
              <w:left w:val="single" w:color="000000" w:sz="6" w:space="0"/>
              <w:bottom w:val="single" w:color="000000" w:sz="6" w:space="0"/>
            </w:tcBorders>
          </w:tcPr>
          <w:p>
            <w:pPr>
              <w:pStyle w:val="24"/>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3011" w:type="dxa"/>
            <w:tcBorders>
              <w:top w:val="single" w:color="000000" w:sz="6" w:space="0"/>
              <w:right w:val="single" w:color="000000" w:sz="6" w:space="0"/>
            </w:tcBorders>
          </w:tcPr>
          <w:p>
            <w:pPr>
              <w:pStyle w:val="24"/>
              <w:spacing w:before="1" w:line="289" w:lineRule="exact"/>
              <w:ind w:left="163" w:right="144"/>
              <w:jc w:val="center"/>
              <w:rPr>
                <w:sz w:val="24"/>
              </w:rPr>
            </w:pPr>
            <w:r>
              <w:rPr>
                <w:sz w:val="24"/>
              </w:rPr>
              <w:t>填报时间</w:t>
            </w:r>
          </w:p>
        </w:tc>
        <w:tc>
          <w:tcPr>
            <w:tcW w:w="2823" w:type="dxa"/>
            <w:gridSpan w:val="3"/>
            <w:tcBorders>
              <w:top w:val="single" w:color="000000" w:sz="6" w:space="0"/>
              <w:left w:val="single" w:color="000000" w:sz="6" w:space="0"/>
              <w:right w:val="single" w:color="000000" w:sz="6" w:space="0"/>
            </w:tcBorders>
          </w:tcPr>
          <w:p>
            <w:pPr>
              <w:pStyle w:val="24"/>
              <w:tabs>
                <w:tab w:val="left" w:pos="835"/>
                <w:tab w:val="left" w:pos="1315"/>
                <w:tab w:val="left" w:pos="1795"/>
                <w:tab w:val="left" w:pos="2275"/>
              </w:tabs>
              <w:spacing w:before="1" w:line="289" w:lineRule="exact"/>
              <w:ind w:left="355"/>
              <w:rPr>
                <w:sz w:val="24"/>
              </w:rPr>
            </w:pPr>
            <w:r>
              <w:rPr>
                <w:sz w:val="24"/>
              </w:rPr>
              <w:t>年</w:t>
            </w:r>
            <w:r>
              <w:rPr>
                <w:sz w:val="24"/>
              </w:rPr>
              <w:tab/>
            </w:r>
            <w:r>
              <w:rPr>
                <w:sz w:val="24"/>
              </w:rPr>
              <w:t>月</w:t>
            </w:r>
            <w:r>
              <w:rPr>
                <w:sz w:val="24"/>
              </w:rPr>
              <w:tab/>
            </w:r>
            <w:r>
              <w:rPr>
                <w:sz w:val="24"/>
              </w:rPr>
              <w:t>日</w:t>
            </w:r>
            <w:r>
              <w:rPr>
                <w:sz w:val="24"/>
              </w:rPr>
              <w:tab/>
            </w:r>
            <w:r>
              <w:rPr>
                <w:sz w:val="24"/>
              </w:rPr>
              <w:t>时</w:t>
            </w:r>
            <w:r>
              <w:rPr>
                <w:sz w:val="24"/>
              </w:rPr>
              <w:tab/>
            </w:r>
            <w:r>
              <w:rPr>
                <w:sz w:val="24"/>
              </w:rPr>
              <w:t>分</w:t>
            </w:r>
          </w:p>
        </w:tc>
        <w:tc>
          <w:tcPr>
            <w:tcW w:w="1964" w:type="dxa"/>
            <w:gridSpan w:val="3"/>
            <w:tcBorders>
              <w:top w:val="single" w:color="000000" w:sz="6" w:space="0"/>
              <w:left w:val="single" w:color="000000" w:sz="6" w:space="0"/>
              <w:right w:val="single" w:color="000000" w:sz="6" w:space="0"/>
            </w:tcBorders>
          </w:tcPr>
          <w:p>
            <w:pPr>
              <w:pStyle w:val="24"/>
              <w:spacing w:before="1" w:line="289" w:lineRule="exact"/>
              <w:ind w:left="728" w:right="700"/>
              <w:jc w:val="center"/>
              <w:rPr>
                <w:sz w:val="24"/>
              </w:rPr>
            </w:pPr>
            <w:r>
              <w:rPr>
                <w:sz w:val="24"/>
              </w:rPr>
              <w:t>签发</w:t>
            </w:r>
          </w:p>
        </w:tc>
        <w:tc>
          <w:tcPr>
            <w:tcW w:w="2055" w:type="dxa"/>
            <w:gridSpan w:val="2"/>
            <w:tcBorders>
              <w:top w:val="single" w:color="000000" w:sz="6" w:space="0"/>
              <w:left w:val="single" w:color="000000" w:sz="6" w:space="0"/>
            </w:tcBorders>
          </w:tcPr>
          <w:p>
            <w:pPr>
              <w:pStyle w:val="24"/>
              <w:rPr>
                <w:rFonts w:ascii="Times New Roman"/>
              </w:rPr>
            </w:pPr>
          </w:p>
        </w:tc>
      </w:tr>
    </w:tbl>
    <w:p>
      <w:pPr>
        <w:rPr>
          <w:rFonts w:ascii="Times New Roman"/>
        </w:rPr>
        <w:sectPr>
          <w:footerReference r:id="rId15" w:type="default"/>
          <w:pgSz w:w="11910" w:h="16840"/>
          <w:pgMar w:top="1360" w:right="839" w:bottom="1180" w:left="840" w:header="882" w:footer="993" w:gutter="0"/>
          <w:pgNumType w:start="70"/>
          <w:cols w:space="720" w:num="1"/>
        </w:sectPr>
      </w:pPr>
    </w:p>
    <w:p>
      <w:pPr>
        <w:pStyle w:val="10"/>
        <w:spacing w:before="9"/>
        <w:rPr>
          <w:b/>
          <w:sz w:val="11"/>
        </w:rPr>
      </w:pPr>
    </w:p>
    <w:p>
      <w:pPr>
        <w:spacing w:before="70"/>
        <w:ind w:left="240"/>
        <w:rPr>
          <w:b/>
          <w:sz w:val="28"/>
        </w:rPr>
      </w:pPr>
      <w:r>
        <w:rPr>
          <w:b/>
          <w:sz w:val="28"/>
        </w:rPr>
        <w:t xml:space="preserve">附件 </w:t>
      </w:r>
      <w:r>
        <w:rPr>
          <w:rFonts w:ascii="Times New Roman" w:eastAsia="Times New Roman"/>
          <w:b/>
          <w:sz w:val="28"/>
        </w:rPr>
        <w:t xml:space="preserve">5  </w:t>
      </w:r>
      <w:r>
        <w:rPr>
          <w:b/>
          <w:sz w:val="28"/>
        </w:rPr>
        <w:t>突发环境事件应急预案演练记录表</w:t>
      </w:r>
    </w:p>
    <w:p>
      <w:pPr>
        <w:pStyle w:val="10"/>
        <w:spacing w:before="8"/>
        <w:rPr>
          <w:b/>
          <w:sz w:val="26"/>
        </w:rPr>
      </w:pPr>
    </w:p>
    <w:tbl>
      <w:tblPr>
        <w:tblStyle w:val="15"/>
        <w:tblW w:w="0" w:type="auto"/>
        <w:tblInd w:w="14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88"/>
        <w:gridCol w:w="1194"/>
        <w:gridCol w:w="956"/>
        <w:gridCol w:w="1113"/>
        <w:gridCol w:w="1072"/>
        <w:gridCol w:w="1520"/>
        <w:gridCol w:w="321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2" w:type="dxa"/>
            <w:gridSpan w:val="2"/>
            <w:tcBorders>
              <w:bottom w:val="single" w:color="000000" w:sz="4" w:space="0"/>
              <w:right w:val="single" w:color="000000" w:sz="4" w:space="0"/>
            </w:tcBorders>
          </w:tcPr>
          <w:p>
            <w:pPr>
              <w:pStyle w:val="24"/>
              <w:spacing w:before="2" w:line="289" w:lineRule="exact"/>
              <w:ind w:left="510"/>
              <w:rPr>
                <w:sz w:val="24"/>
              </w:rPr>
            </w:pPr>
            <w:r>
              <w:rPr>
                <w:sz w:val="24"/>
              </w:rPr>
              <w:t>预案名称</w:t>
            </w:r>
          </w:p>
        </w:tc>
        <w:tc>
          <w:tcPr>
            <w:tcW w:w="3141" w:type="dxa"/>
            <w:gridSpan w:val="3"/>
            <w:tcBorders>
              <w:left w:val="single" w:color="000000" w:sz="4" w:space="0"/>
              <w:bottom w:val="single" w:color="000000" w:sz="4" w:space="0"/>
              <w:right w:val="single" w:color="000000" w:sz="4" w:space="0"/>
            </w:tcBorders>
          </w:tcPr>
          <w:p>
            <w:pPr>
              <w:pStyle w:val="24"/>
              <w:rPr>
                <w:rFonts w:ascii="Times New Roman"/>
              </w:rPr>
            </w:pPr>
          </w:p>
        </w:tc>
        <w:tc>
          <w:tcPr>
            <w:tcW w:w="1520" w:type="dxa"/>
            <w:tcBorders>
              <w:left w:val="single" w:color="000000" w:sz="4" w:space="0"/>
              <w:bottom w:val="single" w:color="000000" w:sz="4" w:space="0"/>
              <w:right w:val="single" w:color="000000" w:sz="4" w:space="0"/>
            </w:tcBorders>
          </w:tcPr>
          <w:p>
            <w:pPr>
              <w:pStyle w:val="24"/>
              <w:spacing w:before="2" w:line="289" w:lineRule="exact"/>
              <w:ind w:right="259"/>
              <w:jc w:val="right"/>
              <w:rPr>
                <w:sz w:val="24"/>
              </w:rPr>
            </w:pPr>
            <w:r>
              <w:rPr>
                <w:sz w:val="24"/>
              </w:rPr>
              <w:t>演练地点</w:t>
            </w:r>
          </w:p>
        </w:tc>
        <w:tc>
          <w:tcPr>
            <w:tcW w:w="3211" w:type="dxa"/>
            <w:tcBorders>
              <w:left w:val="single" w:color="000000" w:sz="4" w:space="0"/>
              <w:bottom w:val="single" w:color="000000" w:sz="4" w:space="0"/>
            </w:tcBorders>
          </w:tcPr>
          <w:p>
            <w:pPr>
              <w:pStyle w:val="24"/>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1982" w:type="dxa"/>
            <w:gridSpan w:val="2"/>
            <w:tcBorders>
              <w:top w:val="single" w:color="000000" w:sz="4" w:space="0"/>
              <w:bottom w:val="single" w:color="000000" w:sz="4" w:space="0"/>
              <w:right w:val="single" w:color="000000" w:sz="4" w:space="0"/>
            </w:tcBorders>
          </w:tcPr>
          <w:p>
            <w:pPr>
              <w:pStyle w:val="24"/>
              <w:spacing w:line="291" w:lineRule="exact"/>
              <w:ind w:left="510"/>
              <w:rPr>
                <w:sz w:val="24"/>
              </w:rPr>
            </w:pPr>
            <w:r>
              <w:rPr>
                <w:sz w:val="24"/>
              </w:rPr>
              <w:t>组织部门</w:t>
            </w:r>
          </w:p>
        </w:tc>
        <w:tc>
          <w:tcPr>
            <w:tcW w:w="956" w:type="dxa"/>
            <w:tcBorders>
              <w:top w:val="single" w:color="000000" w:sz="4" w:space="0"/>
              <w:left w:val="single" w:color="000000" w:sz="4" w:space="0"/>
              <w:bottom w:val="single" w:color="000000" w:sz="4" w:space="0"/>
              <w:right w:val="single" w:color="000000" w:sz="4" w:space="0"/>
            </w:tcBorders>
          </w:tcPr>
          <w:p>
            <w:pPr>
              <w:pStyle w:val="24"/>
              <w:rPr>
                <w:rFonts w:ascii="Times New Roman"/>
              </w:rPr>
            </w:pPr>
          </w:p>
        </w:tc>
        <w:tc>
          <w:tcPr>
            <w:tcW w:w="1113" w:type="dxa"/>
            <w:tcBorders>
              <w:top w:val="single" w:color="000000" w:sz="4" w:space="0"/>
              <w:left w:val="single" w:color="000000" w:sz="4" w:space="0"/>
              <w:bottom w:val="single" w:color="000000" w:sz="4" w:space="0"/>
              <w:right w:val="single" w:color="000000" w:sz="4" w:space="0"/>
            </w:tcBorders>
          </w:tcPr>
          <w:p>
            <w:pPr>
              <w:pStyle w:val="24"/>
              <w:spacing w:line="291" w:lineRule="exact"/>
              <w:ind w:left="205"/>
              <w:rPr>
                <w:sz w:val="24"/>
              </w:rPr>
            </w:pPr>
            <w:r>
              <w:rPr>
                <w:sz w:val="24"/>
              </w:rPr>
              <w:t>总指挥</w:t>
            </w:r>
          </w:p>
        </w:tc>
        <w:tc>
          <w:tcPr>
            <w:tcW w:w="1072" w:type="dxa"/>
            <w:tcBorders>
              <w:top w:val="single" w:color="000000" w:sz="4" w:space="0"/>
              <w:left w:val="single" w:color="000000" w:sz="4" w:space="0"/>
              <w:bottom w:val="single" w:color="000000" w:sz="4" w:space="0"/>
              <w:right w:val="single" w:color="000000" w:sz="4" w:space="0"/>
            </w:tcBorders>
          </w:tcPr>
          <w:p>
            <w:pPr>
              <w:pStyle w:val="24"/>
              <w:rPr>
                <w:rFonts w:ascii="Times New Roman"/>
              </w:rPr>
            </w:pPr>
          </w:p>
        </w:tc>
        <w:tc>
          <w:tcPr>
            <w:tcW w:w="1520" w:type="dxa"/>
            <w:tcBorders>
              <w:top w:val="single" w:color="000000" w:sz="4" w:space="0"/>
              <w:left w:val="single" w:color="000000" w:sz="4" w:space="0"/>
              <w:bottom w:val="single" w:color="000000" w:sz="4" w:space="0"/>
              <w:right w:val="single" w:color="000000" w:sz="4" w:space="0"/>
            </w:tcBorders>
          </w:tcPr>
          <w:p>
            <w:pPr>
              <w:pStyle w:val="24"/>
              <w:spacing w:line="291" w:lineRule="exact"/>
              <w:ind w:right="259"/>
              <w:jc w:val="right"/>
              <w:rPr>
                <w:sz w:val="24"/>
              </w:rPr>
            </w:pPr>
            <w:r>
              <w:rPr>
                <w:sz w:val="24"/>
              </w:rPr>
              <w:t>演练时间</w:t>
            </w:r>
          </w:p>
        </w:tc>
        <w:tc>
          <w:tcPr>
            <w:tcW w:w="3211" w:type="dxa"/>
            <w:tcBorders>
              <w:top w:val="single" w:color="000000" w:sz="4" w:space="0"/>
              <w:left w:val="single" w:color="000000" w:sz="4" w:space="0"/>
              <w:bottom w:val="single" w:color="000000" w:sz="4" w:space="0"/>
            </w:tcBorders>
          </w:tcPr>
          <w:p>
            <w:pPr>
              <w:pStyle w:val="24"/>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982" w:type="dxa"/>
            <w:gridSpan w:val="2"/>
            <w:tcBorders>
              <w:top w:val="single" w:color="000000" w:sz="4" w:space="0"/>
              <w:bottom w:val="single" w:color="000000" w:sz="4" w:space="0"/>
              <w:right w:val="single" w:color="000000" w:sz="4" w:space="0"/>
            </w:tcBorders>
          </w:tcPr>
          <w:p>
            <w:pPr>
              <w:pStyle w:val="24"/>
              <w:spacing w:before="1" w:line="290" w:lineRule="exact"/>
              <w:ind w:left="150"/>
              <w:rPr>
                <w:sz w:val="24"/>
              </w:rPr>
            </w:pPr>
            <w:r>
              <w:rPr>
                <w:sz w:val="24"/>
              </w:rPr>
              <w:t>参加部门和单位</w:t>
            </w:r>
          </w:p>
        </w:tc>
        <w:tc>
          <w:tcPr>
            <w:tcW w:w="3141" w:type="dxa"/>
            <w:gridSpan w:val="3"/>
            <w:tcBorders>
              <w:top w:val="single" w:color="000000" w:sz="4" w:space="0"/>
              <w:left w:val="single" w:color="000000" w:sz="4" w:space="0"/>
              <w:bottom w:val="single" w:color="000000" w:sz="4" w:space="0"/>
              <w:right w:val="single" w:color="000000" w:sz="4" w:space="0"/>
            </w:tcBorders>
          </w:tcPr>
          <w:p>
            <w:pPr>
              <w:pStyle w:val="24"/>
              <w:rPr>
                <w:rFonts w:ascii="Times New Roman"/>
              </w:rPr>
            </w:pPr>
          </w:p>
        </w:tc>
        <w:tc>
          <w:tcPr>
            <w:tcW w:w="1520" w:type="dxa"/>
            <w:tcBorders>
              <w:top w:val="single" w:color="000000" w:sz="4" w:space="0"/>
              <w:left w:val="single" w:color="000000" w:sz="4" w:space="0"/>
              <w:bottom w:val="single" w:color="000000" w:sz="4" w:space="0"/>
              <w:right w:val="single" w:color="000000" w:sz="4" w:space="0"/>
            </w:tcBorders>
          </w:tcPr>
          <w:p>
            <w:pPr>
              <w:pStyle w:val="24"/>
              <w:spacing w:before="1" w:line="290" w:lineRule="exact"/>
              <w:ind w:right="259"/>
              <w:jc w:val="right"/>
              <w:rPr>
                <w:sz w:val="24"/>
              </w:rPr>
            </w:pPr>
            <w:r>
              <w:rPr>
                <w:sz w:val="24"/>
              </w:rPr>
              <w:t>演练方式</w:t>
            </w:r>
          </w:p>
        </w:tc>
        <w:tc>
          <w:tcPr>
            <w:tcW w:w="3211" w:type="dxa"/>
            <w:tcBorders>
              <w:top w:val="single" w:color="000000" w:sz="4" w:space="0"/>
              <w:left w:val="single" w:color="000000" w:sz="4" w:space="0"/>
              <w:bottom w:val="single" w:color="000000" w:sz="4" w:space="0"/>
            </w:tcBorders>
          </w:tcPr>
          <w:p>
            <w:pPr>
              <w:pStyle w:val="24"/>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1982" w:type="dxa"/>
            <w:gridSpan w:val="2"/>
            <w:tcBorders>
              <w:top w:val="single" w:color="000000" w:sz="4" w:space="0"/>
              <w:bottom w:val="single" w:color="000000" w:sz="4" w:space="0"/>
              <w:right w:val="single" w:color="000000" w:sz="4" w:space="0"/>
            </w:tcBorders>
          </w:tcPr>
          <w:p>
            <w:pPr>
              <w:pStyle w:val="24"/>
              <w:spacing w:before="1" w:line="290" w:lineRule="exact"/>
              <w:ind w:left="510"/>
              <w:rPr>
                <w:sz w:val="24"/>
              </w:rPr>
            </w:pPr>
            <w:r>
              <w:rPr>
                <w:sz w:val="24"/>
              </w:rPr>
              <w:t>演练类别</w:t>
            </w:r>
          </w:p>
        </w:tc>
        <w:tc>
          <w:tcPr>
            <w:tcW w:w="3141" w:type="dxa"/>
            <w:gridSpan w:val="3"/>
            <w:tcBorders>
              <w:top w:val="single" w:color="000000" w:sz="4" w:space="0"/>
              <w:left w:val="single" w:color="000000" w:sz="4" w:space="0"/>
              <w:bottom w:val="single" w:color="000000" w:sz="4" w:space="0"/>
              <w:right w:val="single" w:color="000000" w:sz="4" w:space="0"/>
            </w:tcBorders>
          </w:tcPr>
          <w:p>
            <w:pPr>
              <w:pStyle w:val="24"/>
              <w:rPr>
                <w:rFonts w:ascii="Times New Roman"/>
              </w:rPr>
            </w:pPr>
          </w:p>
        </w:tc>
        <w:tc>
          <w:tcPr>
            <w:tcW w:w="4731" w:type="dxa"/>
            <w:gridSpan w:val="2"/>
            <w:tcBorders>
              <w:top w:val="single" w:color="000000" w:sz="4" w:space="0"/>
              <w:left w:val="single" w:color="000000" w:sz="4" w:space="0"/>
              <w:bottom w:val="single" w:color="000000" w:sz="4" w:space="0"/>
            </w:tcBorders>
          </w:tcPr>
          <w:p>
            <w:pPr>
              <w:pStyle w:val="24"/>
              <w:spacing w:before="1" w:line="290" w:lineRule="exact"/>
              <w:ind w:left="118"/>
              <w:rPr>
                <w:sz w:val="24"/>
              </w:rPr>
            </w:pPr>
            <w:r>
              <w:rPr>
                <w:sz w:val="24"/>
              </w:rPr>
              <w:t>演练程序：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91" w:hRule="atLeast"/>
        </w:trPr>
        <w:tc>
          <w:tcPr>
            <w:tcW w:w="1982" w:type="dxa"/>
            <w:gridSpan w:val="2"/>
            <w:tcBorders>
              <w:top w:val="single" w:color="000000" w:sz="4" w:space="0"/>
              <w:bottom w:val="single" w:color="000000" w:sz="4" w:space="0"/>
              <w:right w:val="single" w:color="000000" w:sz="4" w:space="0"/>
            </w:tcBorders>
          </w:tcPr>
          <w:p>
            <w:pPr>
              <w:pStyle w:val="24"/>
              <w:rPr>
                <w:b/>
                <w:sz w:val="24"/>
              </w:rPr>
            </w:pPr>
          </w:p>
          <w:p>
            <w:pPr>
              <w:pStyle w:val="24"/>
              <w:spacing w:before="2"/>
              <w:rPr>
                <w:b/>
              </w:rPr>
            </w:pPr>
          </w:p>
          <w:p>
            <w:pPr>
              <w:pStyle w:val="24"/>
              <w:ind w:left="510"/>
              <w:rPr>
                <w:sz w:val="24"/>
              </w:rPr>
            </w:pPr>
            <w:r>
              <w:rPr>
                <w:sz w:val="24"/>
              </w:rPr>
              <w:t>预案评审</w:t>
            </w:r>
          </w:p>
        </w:tc>
        <w:tc>
          <w:tcPr>
            <w:tcW w:w="3141" w:type="dxa"/>
            <w:gridSpan w:val="3"/>
            <w:tcBorders>
              <w:top w:val="single" w:color="000000" w:sz="4" w:space="0"/>
              <w:left w:val="single" w:color="000000" w:sz="4" w:space="0"/>
              <w:bottom w:val="single" w:color="000000" w:sz="4" w:space="0"/>
              <w:right w:val="single" w:color="000000" w:sz="4" w:space="0"/>
            </w:tcBorders>
          </w:tcPr>
          <w:p>
            <w:pPr>
              <w:pStyle w:val="24"/>
              <w:spacing w:before="123"/>
              <w:ind w:left="117"/>
              <w:rPr>
                <w:sz w:val="24"/>
              </w:rPr>
            </w:pPr>
            <w:r>
              <w:rPr>
                <w:sz w:val="24"/>
              </w:rPr>
              <w:t>适宜性：</w:t>
            </w:r>
          </w:p>
          <w:p>
            <w:pPr>
              <w:pStyle w:val="24"/>
              <w:spacing w:before="5"/>
              <w:ind w:left="117"/>
              <w:rPr>
                <w:sz w:val="24"/>
              </w:rPr>
            </w:pPr>
            <w:r>
              <w:rPr>
                <w:rFonts w:ascii="Times New Roman" w:hAnsi="Times New Roman" w:eastAsia="Times New Roman"/>
                <w:sz w:val="24"/>
              </w:rPr>
              <w:t>□</w:t>
            </w:r>
            <w:r>
              <w:rPr>
                <w:sz w:val="24"/>
              </w:rPr>
              <w:t>全部能够执行</w:t>
            </w:r>
          </w:p>
          <w:p>
            <w:pPr>
              <w:pStyle w:val="24"/>
              <w:spacing w:before="2"/>
              <w:ind w:left="117"/>
              <w:rPr>
                <w:sz w:val="24"/>
              </w:rPr>
            </w:pPr>
            <w:r>
              <w:rPr>
                <w:rFonts w:ascii="Times New Roman" w:hAnsi="Times New Roman" w:eastAsia="Times New Roman"/>
                <w:sz w:val="24"/>
              </w:rPr>
              <w:t>□</w:t>
            </w:r>
            <w:r>
              <w:rPr>
                <w:sz w:val="24"/>
              </w:rPr>
              <w:t>执行过程不够顺利</w:t>
            </w:r>
          </w:p>
          <w:p>
            <w:pPr>
              <w:pStyle w:val="24"/>
              <w:spacing w:before="4"/>
              <w:ind w:left="117"/>
              <w:rPr>
                <w:sz w:val="24"/>
              </w:rPr>
            </w:pPr>
            <w:r>
              <w:rPr>
                <w:rFonts w:ascii="Times New Roman" w:hAnsi="Times New Roman" w:eastAsia="Times New Roman"/>
                <w:sz w:val="24"/>
              </w:rPr>
              <w:t>□</w:t>
            </w:r>
            <w:r>
              <w:rPr>
                <w:sz w:val="24"/>
              </w:rPr>
              <w:t>明显不适宜</w:t>
            </w:r>
          </w:p>
        </w:tc>
        <w:tc>
          <w:tcPr>
            <w:tcW w:w="4731" w:type="dxa"/>
            <w:gridSpan w:val="2"/>
            <w:tcBorders>
              <w:top w:val="single" w:color="000000" w:sz="4" w:space="0"/>
              <w:left w:val="single" w:color="000000" w:sz="4" w:space="0"/>
              <w:bottom w:val="single" w:color="000000" w:sz="4" w:space="0"/>
            </w:tcBorders>
          </w:tcPr>
          <w:p>
            <w:pPr>
              <w:pStyle w:val="24"/>
              <w:spacing w:before="123"/>
              <w:ind w:left="118"/>
              <w:rPr>
                <w:sz w:val="24"/>
              </w:rPr>
            </w:pPr>
            <w:r>
              <w:rPr>
                <w:sz w:val="24"/>
              </w:rPr>
              <w:t>充分性：</w:t>
            </w:r>
          </w:p>
          <w:p>
            <w:pPr>
              <w:pStyle w:val="24"/>
              <w:spacing w:before="5"/>
              <w:ind w:left="118"/>
              <w:rPr>
                <w:sz w:val="24"/>
              </w:rPr>
            </w:pPr>
            <w:r>
              <w:rPr>
                <w:rFonts w:ascii="Times New Roman" w:hAnsi="Times New Roman" w:eastAsia="Times New Roman"/>
                <w:spacing w:val="-1"/>
                <w:sz w:val="24"/>
              </w:rPr>
              <w:t>□</w:t>
            </w:r>
            <w:r>
              <w:rPr>
                <w:sz w:val="24"/>
              </w:rPr>
              <w:t>完全满足应急要求</w:t>
            </w:r>
          </w:p>
          <w:p>
            <w:pPr>
              <w:pStyle w:val="24"/>
              <w:spacing w:before="2"/>
              <w:ind w:left="118"/>
              <w:rPr>
                <w:sz w:val="24"/>
              </w:rPr>
            </w:pPr>
            <w:r>
              <w:rPr>
                <w:rFonts w:ascii="Times New Roman" w:hAnsi="Times New Roman" w:eastAsia="Times New Roman"/>
                <w:spacing w:val="-1"/>
                <w:sz w:val="24"/>
              </w:rPr>
              <w:t>□</w:t>
            </w:r>
            <w:r>
              <w:rPr>
                <w:sz w:val="24"/>
              </w:rPr>
              <w:t>基本满足需要完善</w:t>
            </w:r>
          </w:p>
          <w:p>
            <w:pPr>
              <w:pStyle w:val="24"/>
              <w:spacing w:before="4"/>
              <w:ind w:left="118"/>
              <w:rPr>
                <w:sz w:val="24"/>
              </w:rPr>
            </w:pPr>
            <w:r>
              <w:rPr>
                <w:rFonts w:ascii="Times New Roman" w:hAnsi="Times New Roman" w:eastAsia="Times New Roman"/>
                <w:spacing w:val="-1"/>
                <w:sz w:val="24"/>
              </w:rPr>
              <w:t>□</w:t>
            </w:r>
            <w:r>
              <w:rPr>
                <w:sz w:val="24"/>
              </w:rPr>
              <w:t>不充分，必须修改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176" w:hRule="atLeast"/>
        </w:trPr>
        <w:tc>
          <w:tcPr>
            <w:tcW w:w="788" w:type="dxa"/>
            <w:vMerge w:val="restart"/>
            <w:tcBorders>
              <w:top w:val="single" w:color="000000" w:sz="4" w:space="0"/>
              <w:bottom w:val="single" w:color="000000" w:sz="4" w:space="0"/>
              <w:right w:val="single" w:color="000000" w:sz="4" w:space="0"/>
            </w:tcBorders>
          </w:tcPr>
          <w:p>
            <w:pPr>
              <w:pStyle w:val="24"/>
              <w:rPr>
                <w:b/>
                <w:sz w:val="24"/>
              </w:rPr>
            </w:pPr>
          </w:p>
          <w:p>
            <w:pPr>
              <w:pStyle w:val="24"/>
              <w:rPr>
                <w:b/>
                <w:sz w:val="24"/>
              </w:rPr>
            </w:pPr>
          </w:p>
          <w:p>
            <w:pPr>
              <w:pStyle w:val="24"/>
              <w:rPr>
                <w:b/>
                <w:sz w:val="24"/>
              </w:rPr>
            </w:pPr>
          </w:p>
          <w:p>
            <w:pPr>
              <w:pStyle w:val="24"/>
              <w:rPr>
                <w:b/>
                <w:sz w:val="24"/>
              </w:rPr>
            </w:pPr>
          </w:p>
          <w:p>
            <w:pPr>
              <w:pStyle w:val="24"/>
              <w:rPr>
                <w:b/>
                <w:sz w:val="24"/>
              </w:rPr>
            </w:pPr>
          </w:p>
          <w:p>
            <w:pPr>
              <w:pStyle w:val="24"/>
              <w:rPr>
                <w:b/>
                <w:sz w:val="24"/>
              </w:rPr>
            </w:pPr>
          </w:p>
          <w:p>
            <w:pPr>
              <w:pStyle w:val="24"/>
              <w:rPr>
                <w:b/>
                <w:sz w:val="24"/>
              </w:rPr>
            </w:pPr>
          </w:p>
          <w:p>
            <w:pPr>
              <w:pStyle w:val="24"/>
              <w:rPr>
                <w:b/>
                <w:sz w:val="24"/>
              </w:rPr>
            </w:pPr>
          </w:p>
          <w:p>
            <w:pPr>
              <w:pStyle w:val="24"/>
              <w:rPr>
                <w:b/>
                <w:sz w:val="24"/>
              </w:rPr>
            </w:pPr>
          </w:p>
          <w:p>
            <w:pPr>
              <w:pStyle w:val="24"/>
              <w:rPr>
                <w:b/>
                <w:sz w:val="24"/>
              </w:rPr>
            </w:pPr>
          </w:p>
          <w:p>
            <w:pPr>
              <w:pStyle w:val="24"/>
              <w:rPr>
                <w:b/>
                <w:sz w:val="24"/>
              </w:rPr>
            </w:pPr>
          </w:p>
          <w:p>
            <w:pPr>
              <w:pStyle w:val="24"/>
              <w:spacing w:before="183" w:line="242" w:lineRule="auto"/>
              <w:ind w:left="152" w:right="134"/>
              <w:jc w:val="both"/>
              <w:rPr>
                <w:sz w:val="24"/>
              </w:rPr>
            </w:pPr>
            <w:r>
              <w:rPr>
                <w:sz w:val="24"/>
              </w:rPr>
              <w:t>演练效果评审</w:t>
            </w:r>
          </w:p>
        </w:tc>
        <w:tc>
          <w:tcPr>
            <w:tcW w:w="1194" w:type="dxa"/>
            <w:tcBorders>
              <w:top w:val="single" w:color="000000" w:sz="4" w:space="0"/>
              <w:left w:val="single" w:color="000000" w:sz="4" w:space="0"/>
              <w:bottom w:val="single" w:color="000000" w:sz="4" w:space="0"/>
              <w:right w:val="single" w:color="000000" w:sz="4" w:space="0"/>
            </w:tcBorders>
          </w:tcPr>
          <w:p>
            <w:pPr>
              <w:pStyle w:val="24"/>
              <w:rPr>
                <w:b/>
                <w:sz w:val="24"/>
              </w:rPr>
            </w:pPr>
          </w:p>
          <w:p>
            <w:pPr>
              <w:pStyle w:val="24"/>
              <w:rPr>
                <w:b/>
                <w:sz w:val="24"/>
              </w:rPr>
            </w:pPr>
          </w:p>
          <w:p>
            <w:pPr>
              <w:pStyle w:val="24"/>
              <w:spacing w:before="162" w:line="242" w:lineRule="auto"/>
              <w:ind w:left="366" w:right="95" w:hanging="240"/>
              <w:rPr>
                <w:sz w:val="24"/>
              </w:rPr>
            </w:pPr>
            <w:r>
              <w:rPr>
                <w:sz w:val="24"/>
              </w:rPr>
              <w:t>人员到位情况</w:t>
            </w:r>
          </w:p>
        </w:tc>
        <w:tc>
          <w:tcPr>
            <w:tcW w:w="7872" w:type="dxa"/>
            <w:gridSpan w:val="5"/>
            <w:tcBorders>
              <w:top w:val="single" w:color="000000" w:sz="4" w:space="0"/>
              <w:left w:val="single" w:color="000000" w:sz="4" w:space="0"/>
              <w:bottom w:val="single" w:color="000000" w:sz="4" w:space="0"/>
            </w:tcBorders>
          </w:tcPr>
          <w:p>
            <w:pPr>
              <w:pStyle w:val="24"/>
              <w:spacing w:before="155"/>
              <w:ind w:left="117"/>
              <w:rPr>
                <w:sz w:val="24"/>
              </w:rPr>
            </w:pPr>
            <w:r>
              <w:rPr>
                <w:rFonts w:ascii="Times New Roman" w:hAnsi="Times New Roman" w:eastAsia="Times New Roman"/>
                <w:sz w:val="24"/>
              </w:rPr>
              <w:t>□</w:t>
            </w:r>
            <w:r>
              <w:rPr>
                <w:sz w:val="24"/>
              </w:rPr>
              <w:t>迅速准确，基本按时到位</w:t>
            </w:r>
          </w:p>
          <w:p>
            <w:pPr>
              <w:pStyle w:val="24"/>
              <w:spacing w:before="4"/>
              <w:ind w:left="117"/>
              <w:rPr>
                <w:sz w:val="24"/>
              </w:rPr>
            </w:pPr>
            <w:r>
              <w:rPr>
                <w:rFonts w:ascii="Times New Roman" w:hAnsi="Times New Roman" w:eastAsia="Times New Roman"/>
                <w:sz w:val="24"/>
              </w:rPr>
              <w:t>□</w:t>
            </w:r>
            <w:r>
              <w:rPr>
                <w:sz w:val="24"/>
              </w:rPr>
              <w:t>个别人员不到位</w:t>
            </w:r>
          </w:p>
          <w:p>
            <w:pPr>
              <w:pStyle w:val="24"/>
              <w:spacing w:before="3"/>
              <w:ind w:left="117"/>
              <w:rPr>
                <w:sz w:val="24"/>
              </w:rPr>
            </w:pPr>
            <w:r>
              <w:rPr>
                <w:rFonts w:ascii="Times New Roman" w:hAnsi="Times New Roman" w:eastAsia="Times New Roman"/>
                <w:spacing w:val="-1"/>
                <w:sz w:val="24"/>
              </w:rPr>
              <w:t>□</w:t>
            </w:r>
            <w:r>
              <w:rPr>
                <w:sz w:val="24"/>
              </w:rPr>
              <w:t>重点部位人员不到位</w:t>
            </w:r>
          </w:p>
          <w:p>
            <w:pPr>
              <w:pStyle w:val="24"/>
              <w:spacing w:before="4"/>
              <w:ind w:left="117"/>
              <w:rPr>
                <w:sz w:val="24"/>
              </w:rPr>
            </w:pPr>
            <w:r>
              <w:rPr>
                <w:rFonts w:ascii="Times New Roman" w:hAnsi="Times New Roman" w:eastAsia="Times New Roman"/>
                <w:spacing w:val="-1"/>
                <w:sz w:val="24"/>
              </w:rPr>
              <w:t>□</w:t>
            </w:r>
            <w:r>
              <w:rPr>
                <w:sz w:val="24"/>
              </w:rPr>
              <w:t>职责明确，操作熟练</w:t>
            </w:r>
          </w:p>
          <w:p>
            <w:pPr>
              <w:pStyle w:val="24"/>
              <w:spacing w:before="4"/>
              <w:ind w:left="117"/>
              <w:rPr>
                <w:sz w:val="24"/>
              </w:rPr>
            </w:pPr>
            <w:r>
              <w:rPr>
                <w:rFonts w:ascii="Times New Roman" w:hAnsi="Times New Roman" w:eastAsia="Times New Roman"/>
                <w:sz w:val="24"/>
              </w:rPr>
              <w:t>□</w:t>
            </w:r>
            <w:r>
              <w:rPr>
                <w:sz w:val="24"/>
              </w:rPr>
              <w:t>职责明确，操作不够熟练</w:t>
            </w:r>
          </w:p>
          <w:p>
            <w:pPr>
              <w:pStyle w:val="24"/>
              <w:spacing w:before="3"/>
              <w:ind w:left="117"/>
              <w:rPr>
                <w:sz w:val="24"/>
              </w:rPr>
            </w:pPr>
            <w:r>
              <w:rPr>
                <w:rFonts w:ascii="Times New Roman" w:hAnsi="Times New Roman" w:eastAsia="Times New Roman"/>
                <w:sz w:val="24"/>
              </w:rPr>
              <w:t>□</w:t>
            </w:r>
            <w:r>
              <w:rPr>
                <w:sz w:val="24"/>
              </w:rPr>
              <w:t>职责不明，操作不熟练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66" w:hRule="atLeast"/>
        </w:trPr>
        <w:tc>
          <w:tcPr>
            <w:tcW w:w="788" w:type="dxa"/>
            <w:vMerge w:val="continue"/>
            <w:tcBorders>
              <w:top w:val="nil"/>
              <w:bottom w:val="single" w:color="000000" w:sz="4" w:space="0"/>
              <w:right w:val="single" w:color="000000" w:sz="4" w:space="0"/>
            </w:tcBorders>
          </w:tcPr>
          <w:p>
            <w:pPr>
              <w:rPr>
                <w:sz w:val="2"/>
                <w:szCs w:val="2"/>
              </w:rPr>
            </w:pPr>
          </w:p>
        </w:tc>
        <w:tc>
          <w:tcPr>
            <w:tcW w:w="1194" w:type="dxa"/>
            <w:tcBorders>
              <w:top w:val="single" w:color="000000" w:sz="4" w:space="0"/>
              <w:left w:val="single" w:color="000000" w:sz="4" w:space="0"/>
              <w:bottom w:val="single" w:color="000000" w:sz="4" w:space="0"/>
              <w:right w:val="single" w:color="000000" w:sz="4" w:space="0"/>
            </w:tcBorders>
          </w:tcPr>
          <w:p>
            <w:pPr>
              <w:pStyle w:val="24"/>
              <w:rPr>
                <w:b/>
                <w:sz w:val="24"/>
              </w:rPr>
            </w:pPr>
          </w:p>
          <w:p>
            <w:pPr>
              <w:pStyle w:val="24"/>
              <w:spacing w:before="165" w:line="242" w:lineRule="auto"/>
              <w:ind w:left="366" w:right="95" w:hanging="240"/>
              <w:rPr>
                <w:sz w:val="24"/>
              </w:rPr>
            </w:pPr>
            <w:r>
              <w:rPr>
                <w:sz w:val="24"/>
              </w:rPr>
              <w:t>物资到位情况</w:t>
            </w:r>
          </w:p>
        </w:tc>
        <w:tc>
          <w:tcPr>
            <w:tcW w:w="3141" w:type="dxa"/>
            <w:gridSpan w:val="3"/>
            <w:tcBorders>
              <w:top w:val="single" w:color="000000" w:sz="4" w:space="0"/>
              <w:left w:val="single" w:color="000000" w:sz="4" w:space="0"/>
              <w:bottom w:val="single" w:color="000000" w:sz="4" w:space="0"/>
              <w:right w:val="single" w:color="000000" w:sz="4" w:space="0"/>
            </w:tcBorders>
          </w:tcPr>
          <w:p>
            <w:pPr>
              <w:pStyle w:val="24"/>
              <w:spacing w:before="163"/>
              <w:ind w:left="117"/>
              <w:rPr>
                <w:sz w:val="24"/>
              </w:rPr>
            </w:pPr>
            <w:r>
              <w:rPr>
                <w:sz w:val="24"/>
              </w:rPr>
              <w:t>现场物资：</w:t>
            </w:r>
          </w:p>
          <w:p>
            <w:pPr>
              <w:pStyle w:val="24"/>
              <w:spacing w:before="2"/>
              <w:ind w:left="117"/>
              <w:rPr>
                <w:sz w:val="24"/>
              </w:rPr>
            </w:pPr>
            <w:r>
              <w:rPr>
                <w:rFonts w:ascii="Times New Roman" w:hAnsi="Times New Roman" w:eastAsia="Times New Roman"/>
                <w:sz w:val="24"/>
              </w:rPr>
              <w:t>□</w:t>
            </w:r>
            <w:r>
              <w:rPr>
                <w:sz w:val="24"/>
              </w:rPr>
              <w:t>现场物资充分，全部有效</w:t>
            </w:r>
          </w:p>
          <w:p>
            <w:pPr>
              <w:pStyle w:val="24"/>
              <w:spacing w:before="4"/>
              <w:ind w:left="117"/>
              <w:rPr>
                <w:sz w:val="24"/>
              </w:rPr>
            </w:pPr>
            <w:r>
              <w:rPr>
                <w:rFonts w:ascii="Times New Roman" w:hAnsi="Times New Roman" w:eastAsia="Times New Roman"/>
                <w:sz w:val="24"/>
              </w:rPr>
              <w:t>□</w:t>
            </w:r>
            <w:r>
              <w:rPr>
                <w:sz w:val="24"/>
              </w:rPr>
              <w:t>现场准备不充分</w:t>
            </w:r>
          </w:p>
          <w:p>
            <w:pPr>
              <w:pStyle w:val="24"/>
              <w:spacing w:before="2"/>
              <w:ind w:left="117"/>
              <w:rPr>
                <w:sz w:val="24"/>
              </w:rPr>
            </w:pPr>
            <w:r>
              <w:rPr>
                <w:rFonts w:ascii="Times New Roman" w:hAnsi="Times New Roman" w:eastAsia="Times New Roman"/>
                <w:sz w:val="24"/>
              </w:rPr>
              <w:t>□</w:t>
            </w:r>
            <w:r>
              <w:rPr>
                <w:sz w:val="24"/>
              </w:rPr>
              <w:t>现场物资严重缺乏</w:t>
            </w:r>
          </w:p>
        </w:tc>
        <w:tc>
          <w:tcPr>
            <w:tcW w:w="4731" w:type="dxa"/>
            <w:gridSpan w:val="2"/>
            <w:tcBorders>
              <w:top w:val="single" w:color="000000" w:sz="4" w:space="0"/>
              <w:left w:val="single" w:color="000000" w:sz="4" w:space="0"/>
              <w:bottom w:val="single" w:color="000000" w:sz="4" w:space="0"/>
            </w:tcBorders>
          </w:tcPr>
          <w:p>
            <w:pPr>
              <w:pStyle w:val="24"/>
              <w:spacing w:before="163"/>
              <w:ind w:left="118"/>
              <w:rPr>
                <w:sz w:val="24"/>
              </w:rPr>
            </w:pPr>
            <w:r>
              <w:rPr>
                <w:sz w:val="24"/>
              </w:rPr>
              <w:t>个人防护：</w:t>
            </w:r>
          </w:p>
          <w:p>
            <w:pPr>
              <w:pStyle w:val="24"/>
              <w:spacing w:before="2"/>
              <w:ind w:left="118"/>
              <w:rPr>
                <w:sz w:val="24"/>
              </w:rPr>
            </w:pPr>
            <w:r>
              <w:rPr>
                <w:rFonts w:ascii="Times New Roman" w:hAnsi="Times New Roman" w:eastAsia="Times New Roman"/>
                <w:sz w:val="24"/>
              </w:rPr>
              <w:t>□</w:t>
            </w:r>
            <w:r>
              <w:rPr>
                <w:sz w:val="24"/>
              </w:rPr>
              <w:t>全部人员防护到位</w:t>
            </w:r>
          </w:p>
          <w:p>
            <w:pPr>
              <w:pStyle w:val="24"/>
              <w:spacing w:before="4"/>
              <w:ind w:left="118"/>
              <w:rPr>
                <w:sz w:val="24"/>
              </w:rPr>
            </w:pPr>
            <w:r>
              <w:rPr>
                <w:rFonts w:ascii="Times New Roman" w:hAnsi="Times New Roman" w:eastAsia="Times New Roman"/>
                <w:sz w:val="24"/>
              </w:rPr>
              <w:t>□</w:t>
            </w:r>
            <w:r>
              <w:rPr>
                <w:sz w:val="24"/>
              </w:rPr>
              <w:t>个别人员防护不到位</w:t>
            </w:r>
          </w:p>
          <w:p>
            <w:pPr>
              <w:pStyle w:val="24"/>
              <w:spacing w:before="2"/>
              <w:ind w:left="118"/>
              <w:rPr>
                <w:sz w:val="24"/>
              </w:rPr>
            </w:pPr>
            <w:r>
              <w:rPr>
                <w:rFonts w:ascii="Times New Roman" w:hAnsi="Times New Roman" w:eastAsia="Times New Roman"/>
                <w:sz w:val="24"/>
              </w:rPr>
              <w:t>□</w:t>
            </w:r>
            <w:r>
              <w:rPr>
                <w:sz w:val="24"/>
              </w:rPr>
              <w:t>大部分人员防护不到位</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33" w:hRule="atLeast"/>
        </w:trPr>
        <w:tc>
          <w:tcPr>
            <w:tcW w:w="788" w:type="dxa"/>
            <w:vMerge w:val="continue"/>
            <w:tcBorders>
              <w:top w:val="nil"/>
              <w:bottom w:val="single" w:color="000000" w:sz="4" w:space="0"/>
              <w:right w:val="single" w:color="000000" w:sz="4" w:space="0"/>
            </w:tcBorders>
          </w:tcPr>
          <w:p>
            <w:pPr>
              <w:rPr>
                <w:sz w:val="2"/>
                <w:szCs w:val="2"/>
              </w:rPr>
            </w:pPr>
          </w:p>
        </w:tc>
        <w:tc>
          <w:tcPr>
            <w:tcW w:w="1194" w:type="dxa"/>
            <w:tcBorders>
              <w:top w:val="single" w:color="000000" w:sz="4" w:space="0"/>
              <w:left w:val="single" w:color="000000" w:sz="4" w:space="0"/>
              <w:bottom w:val="single" w:color="000000" w:sz="4" w:space="0"/>
              <w:right w:val="single" w:color="000000" w:sz="4" w:space="0"/>
            </w:tcBorders>
          </w:tcPr>
          <w:p>
            <w:pPr>
              <w:pStyle w:val="24"/>
              <w:spacing w:before="7"/>
              <w:rPr>
                <w:b/>
                <w:sz w:val="31"/>
              </w:rPr>
            </w:pPr>
          </w:p>
          <w:p>
            <w:pPr>
              <w:pStyle w:val="24"/>
              <w:spacing w:before="1" w:line="242" w:lineRule="auto"/>
              <w:ind w:left="366" w:right="95" w:hanging="240"/>
              <w:rPr>
                <w:sz w:val="24"/>
              </w:rPr>
            </w:pPr>
            <w:r>
              <w:rPr>
                <w:sz w:val="24"/>
              </w:rPr>
              <w:t>协调组织情况</w:t>
            </w:r>
          </w:p>
        </w:tc>
        <w:tc>
          <w:tcPr>
            <w:tcW w:w="3141" w:type="dxa"/>
            <w:gridSpan w:val="3"/>
            <w:tcBorders>
              <w:top w:val="single" w:color="000000" w:sz="4" w:space="0"/>
              <w:left w:val="single" w:color="000000" w:sz="4" w:space="0"/>
              <w:bottom w:val="single" w:color="000000" w:sz="4" w:space="0"/>
              <w:right w:val="single" w:color="000000" w:sz="4" w:space="0"/>
            </w:tcBorders>
          </w:tcPr>
          <w:p>
            <w:pPr>
              <w:pStyle w:val="24"/>
              <w:spacing w:before="95"/>
              <w:ind w:left="117"/>
              <w:rPr>
                <w:sz w:val="24"/>
              </w:rPr>
            </w:pPr>
            <w:r>
              <w:rPr>
                <w:sz w:val="24"/>
              </w:rPr>
              <w:t>整体组织：</w:t>
            </w:r>
          </w:p>
          <w:p>
            <w:pPr>
              <w:pStyle w:val="24"/>
              <w:spacing w:before="2"/>
              <w:ind w:left="117"/>
              <w:rPr>
                <w:sz w:val="24"/>
              </w:rPr>
            </w:pPr>
            <w:r>
              <w:rPr>
                <w:rFonts w:ascii="Times New Roman" w:hAnsi="Times New Roman" w:eastAsia="Times New Roman"/>
                <w:sz w:val="24"/>
              </w:rPr>
              <w:t>□</w:t>
            </w:r>
            <w:r>
              <w:rPr>
                <w:sz w:val="24"/>
              </w:rPr>
              <w:t>准确、高效</w:t>
            </w:r>
          </w:p>
          <w:p>
            <w:pPr>
              <w:pStyle w:val="24"/>
              <w:spacing w:before="5"/>
              <w:ind w:left="117"/>
              <w:rPr>
                <w:sz w:val="24"/>
              </w:rPr>
            </w:pPr>
            <w:r>
              <w:rPr>
                <w:rFonts w:ascii="Times New Roman" w:hAnsi="Times New Roman" w:eastAsia="Times New Roman"/>
                <w:sz w:val="24"/>
              </w:rPr>
              <w:t>□</w:t>
            </w:r>
            <w:r>
              <w:rPr>
                <w:spacing w:val="-11"/>
                <w:sz w:val="24"/>
              </w:rPr>
              <w:t>协调基本顺利，能满足要求</w:t>
            </w:r>
          </w:p>
          <w:p>
            <w:pPr>
              <w:pStyle w:val="24"/>
              <w:spacing w:before="4"/>
              <w:ind w:left="117"/>
              <w:rPr>
                <w:sz w:val="24"/>
              </w:rPr>
            </w:pPr>
            <w:r>
              <w:rPr>
                <w:rFonts w:ascii="Times New Roman" w:hAnsi="Times New Roman" w:eastAsia="Times New Roman"/>
                <w:sz w:val="24"/>
              </w:rPr>
              <w:t>□</w:t>
            </w:r>
            <w:r>
              <w:rPr>
                <w:sz w:val="24"/>
              </w:rPr>
              <w:t>效率低，有待改进</w:t>
            </w:r>
          </w:p>
        </w:tc>
        <w:tc>
          <w:tcPr>
            <w:tcW w:w="4731" w:type="dxa"/>
            <w:gridSpan w:val="2"/>
            <w:tcBorders>
              <w:top w:val="single" w:color="000000" w:sz="4" w:space="0"/>
              <w:left w:val="single" w:color="000000" w:sz="4" w:space="0"/>
              <w:bottom w:val="single" w:color="000000" w:sz="4" w:space="0"/>
            </w:tcBorders>
          </w:tcPr>
          <w:p>
            <w:pPr>
              <w:pStyle w:val="24"/>
              <w:spacing w:before="95"/>
              <w:ind w:left="118"/>
              <w:rPr>
                <w:sz w:val="24"/>
              </w:rPr>
            </w:pPr>
            <w:r>
              <w:rPr>
                <w:sz w:val="24"/>
              </w:rPr>
              <w:t>疏散组分工：</w:t>
            </w:r>
          </w:p>
          <w:p>
            <w:pPr>
              <w:pStyle w:val="24"/>
              <w:spacing w:before="2"/>
              <w:ind w:left="118"/>
              <w:rPr>
                <w:sz w:val="24"/>
              </w:rPr>
            </w:pPr>
            <w:r>
              <w:rPr>
                <w:rFonts w:ascii="Times New Roman" w:hAnsi="Times New Roman" w:eastAsia="Times New Roman"/>
                <w:spacing w:val="-1"/>
                <w:sz w:val="24"/>
              </w:rPr>
              <w:t>□</w:t>
            </w:r>
            <w:r>
              <w:rPr>
                <w:sz w:val="24"/>
              </w:rPr>
              <w:t>安全、快速</w:t>
            </w:r>
          </w:p>
          <w:p>
            <w:pPr>
              <w:pStyle w:val="24"/>
              <w:spacing w:before="5"/>
              <w:ind w:left="118"/>
              <w:rPr>
                <w:sz w:val="24"/>
              </w:rPr>
            </w:pPr>
            <w:r>
              <w:rPr>
                <w:rFonts w:ascii="Times New Roman" w:hAnsi="Times New Roman" w:eastAsia="Times New Roman"/>
                <w:sz w:val="24"/>
              </w:rPr>
              <w:t>□</w:t>
            </w:r>
            <w:r>
              <w:rPr>
                <w:sz w:val="24"/>
              </w:rPr>
              <w:t>基本能完成任务</w:t>
            </w:r>
          </w:p>
          <w:p>
            <w:pPr>
              <w:pStyle w:val="24"/>
              <w:spacing w:before="4"/>
              <w:ind w:left="118"/>
              <w:rPr>
                <w:sz w:val="24"/>
              </w:rPr>
            </w:pPr>
            <w:r>
              <w:rPr>
                <w:rFonts w:ascii="Times New Roman" w:hAnsi="Times New Roman" w:eastAsia="Times New Roman"/>
                <w:sz w:val="24"/>
              </w:rPr>
              <w:t>□</w:t>
            </w:r>
            <w:r>
              <w:rPr>
                <w:sz w:val="24"/>
              </w:rPr>
              <w:t>效率低，没有完成任务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24" w:hRule="atLeast"/>
        </w:trPr>
        <w:tc>
          <w:tcPr>
            <w:tcW w:w="788" w:type="dxa"/>
            <w:vMerge w:val="continue"/>
            <w:tcBorders>
              <w:top w:val="nil"/>
              <w:bottom w:val="single" w:color="000000" w:sz="4" w:space="0"/>
              <w:right w:val="single" w:color="000000" w:sz="4" w:space="0"/>
            </w:tcBorders>
          </w:tcPr>
          <w:p>
            <w:pPr>
              <w:rPr>
                <w:sz w:val="2"/>
                <w:szCs w:val="2"/>
              </w:rPr>
            </w:pPr>
          </w:p>
        </w:tc>
        <w:tc>
          <w:tcPr>
            <w:tcW w:w="1194" w:type="dxa"/>
            <w:tcBorders>
              <w:top w:val="single" w:color="000000" w:sz="4" w:space="0"/>
              <w:left w:val="single" w:color="000000" w:sz="4" w:space="0"/>
              <w:bottom w:val="single" w:color="000000" w:sz="4" w:space="0"/>
              <w:right w:val="single" w:color="000000" w:sz="4" w:space="0"/>
            </w:tcBorders>
          </w:tcPr>
          <w:p>
            <w:pPr>
              <w:pStyle w:val="24"/>
              <w:spacing w:before="5"/>
              <w:rPr>
                <w:b/>
                <w:sz w:val="23"/>
              </w:rPr>
            </w:pPr>
          </w:p>
          <w:p>
            <w:pPr>
              <w:pStyle w:val="24"/>
              <w:spacing w:line="242" w:lineRule="auto"/>
              <w:ind w:left="366" w:right="95" w:hanging="240"/>
              <w:rPr>
                <w:sz w:val="24"/>
              </w:rPr>
            </w:pPr>
            <w:r>
              <w:rPr>
                <w:sz w:val="24"/>
              </w:rPr>
              <w:t>实战效果评价</w:t>
            </w:r>
          </w:p>
        </w:tc>
        <w:tc>
          <w:tcPr>
            <w:tcW w:w="7872" w:type="dxa"/>
            <w:gridSpan w:val="5"/>
            <w:tcBorders>
              <w:top w:val="single" w:color="000000" w:sz="4" w:space="0"/>
              <w:left w:val="single" w:color="000000" w:sz="4" w:space="0"/>
              <w:bottom w:val="single" w:color="000000" w:sz="4" w:space="0"/>
            </w:tcBorders>
          </w:tcPr>
          <w:p>
            <w:pPr>
              <w:pStyle w:val="24"/>
              <w:spacing w:before="146"/>
              <w:ind w:left="117"/>
              <w:rPr>
                <w:sz w:val="24"/>
              </w:rPr>
            </w:pPr>
            <w:r>
              <w:rPr>
                <w:sz w:val="24"/>
              </w:rPr>
              <w:t>达到预期目标</w:t>
            </w:r>
          </w:p>
          <w:p>
            <w:pPr>
              <w:pStyle w:val="24"/>
              <w:spacing w:before="2"/>
              <w:ind w:left="117"/>
              <w:rPr>
                <w:sz w:val="24"/>
              </w:rPr>
            </w:pPr>
            <w:r>
              <w:rPr>
                <w:rFonts w:ascii="Times New Roman" w:hAnsi="Times New Roman" w:eastAsia="Times New Roman"/>
                <w:sz w:val="24"/>
              </w:rPr>
              <w:t>□</w:t>
            </w:r>
            <w:r>
              <w:rPr>
                <w:sz w:val="24"/>
              </w:rPr>
              <w:t>基本达到目的，部分环节有待改进</w:t>
            </w:r>
          </w:p>
          <w:p>
            <w:pPr>
              <w:pStyle w:val="24"/>
              <w:spacing w:before="5"/>
              <w:ind w:left="117"/>
              <w:rPr>
                <w:sz w:val="24"/>
              </w:rPr>
            </w:pPr>
            <w:r>
              <w:rPr>
                <w:rFonts w:ascii="Times New Roman" w:hAnsi="Times New Roman" w:eastAsia="Times New Roman"/>
                <w:sz w:val="24"/>
              </w:rPr>
              <w:t>□</w:t>
            </w:r>
            <w:r>
              <w:rPr>
                <w:sz w:val="24"/>
              </w:rPr>
              <w:t>没有达到目标，须重新演练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22" w:hRule="atLeast"/>
        </w:trPr>
        <w:tc>
          <w:tcPr>
            <w:tcW w:w="788" w:type="dxa"/>
            <w:vMerge w:val="continue"/>
            <w:tcBorders>
              <w:top w:val="nil"/>
              <w:bottom w:val="single" w:color="000000" w:sz="4" w:space="0"/>
              <w:right w:val="single" w:color="000000" w:sz="4" w:space="0"/>
            </w:tcBorders>
          </w:tcPr>
          <w:p>
            <w:pPr>
              <w:rPr>
                <w:sz w:val="2"/>
                <w:szCs w:val="2"/>
              </w:rPr>
            </w:pPr>
          </w:p>
        </w:tc>
        <w:tc>
          <w:tcPr>
            <w:tcW w:w="1194" w:type="dxa"/>
            <w:tcBorders>
              <w:top w:val="single" w:color="000000" w:sz="4" w:space="0"/>
              <w:left w:val="single" w:color="000000" w:sz="4" w:space="0"/>
              <w:bottom w:val="single" w:color="000000" w:sz="4" w:space="0"/>
              <w:right w:val="single" w:color="000000" w:sz="4" w:space="0"/>
            </w:tcBorders>
          </w:tcPr>
          <w:p>
            <w:pPr>
              <w:pStyle w:val="24"/>
              <w:spacing w:before="12"/>
              <w:rPr>
                <w:b/>
                <w:sz w:val="26"/>
              </w:rPr>
            </w:pPr>
          </w:p>
          <w:p>
            <w:pPr>
              <w:pStyle w:val="24"/>
              <w:spacing w:line="242" w:lineRule="auto"/>
              <w:ind w:left="126" w:right="95"/>
              <w:jc w:val="center"/>
              <w:rPr>
                <w:sz w:val="24"/>
              </w:rPr>
            </w:pPr>
            <w:r>
              <w:rPr>
                <w:sz w:val="24"/>
              </w:rPr>
              <w:t>支援部门和协作有效性</w:t>
            </w:r>
          </w:p>
        </w:tc>
        <w:tc>
          <w:tcPr>
            <w:tcW w:w="7872" w:type="dxa"/>
            <w:gridSpan w:val="5"/>
            <w:tcBorders>
              <w:top w:val="single" w:color="000000" w:sz="4" w:space="0"/>
              <w:left w:val="single" w:color="000000" w:sz="4" w:space="0"/>
              <w:bottom w:val="single" w:color="000000" w:sz="4" w:space="0"/>
            </w:tcBorders>
          </w:tcPr>
          <w:p>
            <w:pPr>
              <w:pStyle w:val="24"/>
              <w:tabs>
                <w:tab w:val="left" w:pos="4341"/>
              </w:tabs>
              <w:spacing w:before="189"/>
              <w:ind w:left="117"/>
              <w:jc w:val="both"/>
              <w:rPr>
                <w:sz w:val="24"/>
              </w:rPr>
            </w:pPr>
            <w:r>
              <w:rPr>
                <w:sz w:val="24"/>
              </w:rPr>
              <w:t>报告上级：</w:t>
            </w:r>
            <w:r>
              <w:rPr>
                <w:rFonts w:ascii="Times New Roman" w:hAnsi="Times New Roman" w:eastAsia="Times New Roman"/>
                <w:sz w:val="24"/>
              </w:rPr>
              <w:t>□</w:t>
            </w:r>
            <w:r>
              <w:rPr>
                <w:sz w:val="24"/>
              </w:rPr>
              <w:t>报告及时</w:t>
            </w:r>
            <w:r>
              <w:rPr>
                <w:sz w:val="24"/>
              </w:rPr>
              <w:tab/>
            </w:r>
            <w:r>
              <w:rPr>
                <w:rFonts w:ascii="Times New Roman" w:hAnsi="Times New Roman" w:eastAsia="Times New Roman"/>
                <w:sz w:val="24"/>
              </w:rPr>
              <w:t>□</w:t>
            </w:r>
            <w:r>
              <w:rPr>
                <w:sz w:val="24"/>
              </w:rPr>
              <w:t>联系不上</w:t>
            </w:r>
          </w:p>
          <w:p>
            <w:pPr>
              <w:pStyle w:val="24"/>
              <w:tabs>
                <w:tab w:val="left" w:pos="4341"/>
              </w:tabs>
              <w:spacing w:before="2" w:line="242" w:lineRule="auto"/>
              <w:ind w:left="117" w:right="2404"/>
              <w:jc w:val="both"/>
              <w:rPr>
                <w:sz w:val="24"/>
              </w:rPr>
            </w:pPr>
            <w:r>
              <w:rPr>
                <w:sz w:val="24"/>
              </w:rPr>
              <w:t>安全部门：</w:t>
            </w:r>
            <w:r>
              <w:rPr>
                <w:rFonts w:ascii="Times New Roman" w:hAnsi="Times New Roman" w:eastAsia="Times New Roman"/>
                <w:sz w:val="24"/>
              </w:rPr>
              <w:t>□</w:t>
            </w:r>
            <w:r>
              <w:rPr>
                <w:sz w:val="24"/>
              </w:rPr>
              <w:t>按要求协作</w:t>
            </w:r>
            <w:r>
              <w:rPr>
                <w:sz w:val="24"/>
              </w:rPr>
              <w:tab/>
            </w:r>
            <w:r>
              <w:rPr>
                <w:rFonts w:ascii="Times New Roman" w:hAnsi="Times New Roman" w:eastAsia="Times New Roman"/>
                <w:sz w:val="24"/>
              </w:rPr>
              <w:t>□</w:t>
            </w:r>
            <w:r>
              <w:rPr>
                <w:sz w:val="24"/>
              </w:rPr>
              <w:t>行动迟</w:t>
            </w:r>
            <w:r>
              <w:rPr>
                <w:spacing w:val="-17"/>
                <w:sz w:val="24"/>
              </w:rPr>
              <w:t>缓</w:t>
            </w:r>
            <w:r>
              <w:rPr>
                <w:sz w:val="24"/>
              </w:rPr>
              <w:t>救援、后勤部门：</w:t>
            </w:r>
            <w:r>
              <w:rPr>
                <w:rFonts w:ascii="Times New Roman" w:hAnsi="Times New Roman" w:eastAsia="Times New Roman"/>
                <w:sz w:val="24"/>
              </w:rPr>
              <w:t>□</w:t>
            </w:r>
            <w:r>
              <w:rPr>
                <w:sz w:val="24"/>
              </w:rPr>
              <w:t xml:space="preserve">按要求协作     </w:t>
            </w:r>
            <w:r>
              <w:rPr>
                <w:spacing w:val="118"/>
                <w:sz w:val="24"/>
              </w:rPr>
              <w:t xml:space="preserve"> </w:t>
            </w:r>
            <w:r>
              <w:rPr>
                <w:rFonts w:ascii="Times New Roman" w:hAnsi="Times New Roman" w:eastAsia="Times New Roman"/>
                <w:sz w:val="24"/>
              </w:rPr>
              <w:t>□</w:t>
            </w:r>
            <w:r>
              <w:rPr>
                <w:sz w:val="24"/>
              </w:rPr>
              <w:t>行动迟</w:t>
            </w:r>
            <w:r>
              <w:rPr>
                <w:spacing w:val="-17"/>
                <w:sz w:val="24"/>
              </w:rPr>
              <w:t>缓</w:t>
            </w:r>
            <w:r>
              <w:rPr>
                <w:sz w:val="24"/>
              </w:rPr>
              <w:t>警戒、撤离配合：</w:t>
            </w:r>
            <w:r>
              <w:rPr>
                <w:rFonts w:ascii="Times New Roman" w:hAnsi="Times New Roman" w:eastAsia="Times New Roman"/>
                <w:sz w:val="24"/>
              </w:rPr>
              <w:t>□</w:t>
            </w:r>
            <w:r>
              <w:rPr>
                <w:sz w:val="24"/>
              </w:rPr>
              <w:t>按要求配合</w:t>
            </w:r>
            <w:r>
              <w:rPr>
                <w:spacing w:val="118"/>
                <w:sz w:val="24"/>
              </w:rPr>
              <w:t xml:space="preserve"> </w:t>
            </w:r>
            <w:r>
              <w:rPr>
                <w:rFonts w:ascii="Times New Roman" w:hAnsi="Times New Roman" w:eastAsia="Times New Roman"/>
                <w:sz w:val="24"/>
              </w:rPr>
              <w:t>□</w:t>
            </w:r>
            <w:r>
              <w:rPr>
                <w:sz w:val="24"/>
              </w:rPr>
              <w:t>不配合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0" w:hRule="atLeast"/>
        </w:trPr>
        <w:tc>
          <w:tcPr>
            <w:tcW w:w="1982" w:type="dxa"/>
            <w:gridSpan w:val="2"/>
            <w:tcBorders>
              <w:top w:val="single" w:color="000000" w:sz="4" w:space="0"/>
              <w:bottom w:val="single" w:color="000000" w:sz="4" w:space="0"/>
              <w:right w:val="single" w:color="000000" w:sz="4" w:space="0"/>
            </w:tcBorders>
          </w:tcPr>
          <w:p>
            <w:pPr>
              <w:pStyle w:val="24"/>
              <w:spacing w:before="91"/>
              <w:ind w:left="510"/>
              <w:rPr>
                <w:sz w:val="24"/>
              </w:rPr>
            </w:pPr>
            <w:r>
              <w:rPr>
                <w:sz w:val="24"/>
              </w:rPr>
              <w:t>存在问题</w:t>
            </w:r>
          </w:p>
        </w:tc>
        <w:tc>
          <w:tcPr>
            <w:tcW w:w="7872" w:type="dxa"/>
            <w:gridSpan w:val="5"/>
            <w:tcBorders>
              <w:top w:val="single" w:color="000000" w:sz="4" w:space="0"/>
              <w:left w:val="single" w:color="000000" w:sz="4" w:space="0"/>
              <w:bottom w:val="single" w:color="000000" w:sz="4" w:space="0"/>
            </w:tcBorders>
          </w:tcPr>
          <w:p>
            <w:pPr>
              <w:pStyle w:val="24"/>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1982" w:type="dxa"/>
            <w:gridSpan w:val="2"/>
            <w:tcBorders>
              <w:top w:val="single" w:color="000000" w:sz="4" w:space="0"/>
              <w:right w:val="single" w:color="000000" w:sz="4" w:space="0"/>
            </w:tcBorders>
          </w:tcPr>
          <w:p>
            <w:pPr>
              <w:pStyle w:val="24"/>
              <w:spacing w:before="42"/>
              <w:ind w:left="510"/>
              <w:rPr>
                <w:sz w:val="24"/>
              </w:rPr>
            </w:pPr>
            <w:r>
              <w:rPr>
                <w:sz w:val="24"/>
              </w:rPr>
              <w:t>改进措施</w:t>
            </w:r>
          </w:p>
        </w:tc>
        <w:tc>
          <w:tcPr>
            <w:tcW w:w="7872" w:type="dxa"/>
            <w:gridSpan w:val="5"/>
            <w:tcBorders>
              <w:top w:val="single" w:color="000000" w:sz="4" w:space="0"/>
              <w:left w:val="single" w:color="000000" w:sz="4" w:space="0"/>
            </w:tcBorders>
          </w:tcPr>
          <w:p>
            <w:pPr>
              <w:pStyle w:val="24"/>
              <w:rPr>
                <w:rFonts w:ascii="Times New Roman"/>
              </w:rPr>
            </w:pPr>
          </w:p>
        </w:tc>
      </w:tr>
    </w:tbl>
    <w:p>
      <w:pPr>
        <w:rPr>
          <w:rFonts w:ascii="Times New Roman"/>
        </w:rPr>
        <w:sectPr>
          <w:pgSz w:w="11910" w:h="16840"/>
          <w:pgMar w:top="1360" w:right="840" w:bottom="1180" w:left="840" w:header="882" w:footer="993" w:gutter="0"/>
          <w:cols w:space="720" w:num="1"/>
        </w:sectPr>
      </w:pPr>
    </w:p>
    <w:p>
      <w:pPr>
        <w:pStyle w:val="10"/>
        <w:spacing w:before="9"/>
        <w:rPr>
          <w:b/>
          <w:sz w:val="11"/>
        </w:rPr>
      </w:pPr>
    </w:p>
    <w:p>
      <w:pPr>
        <w:spacing w:before="70"/>
        <w:ind w:left="240"/>
        <w:rPr>
          <w:b/>
          <w:sz w:val="28"/>
        </w:rPr>
      </w:pPr>
      <w:r>
        <w:rPr>
          <w:b/>
          <w:sz w:val="28"/>
        </w:rPr>
        <w:t xml:space="preserve">附件 </w:t>
      </w:r>
      <w:r>
        <w:rPr>
          <w:rFonts w:ascii="Times New Roman" w:eastAsia="Times New Roman"/>
          <w:b/>
          <w:sz w:val="28"/>
        </w:rPr>
        <w:t xml:space="preserve">6  </w:t>
      </w:r>
      <w:r>
        <w:rPr>
          <w:b/>
          <w:sz w:val="28"/>
        </w:rPr>
        <w:t>突发环境事件应急预案演练考核记录表</w:t>
      </w:r>
    </w:p>
    <w:p>
      <w:pPr>
        <w:pStyle w:val="10"/>
        <w:spacing w:before="8"/>
        <w:rPr>
          <w:b/>
          <w:sz w:val="26"/>
        </w:rPr>
      </w:pPr>
    </w:p>
    <w:tbl>
      <w:tblPr>
        <w:tblStyle w:val="15"/>
        <w:tblW w:w="0" w:type="auto"/>
        <w:tblInd w:w="20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49"/>
        <w:gridCol w:w="898"/>
        <w:gridCol w:w="897"/>
        <w:gridCol w:w="1201"/>
        <w:gridCol w:w="1060"/>
        <w:gridCol w:w="1733"/>
        <w:gridCol w:w="311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847" w:type="dxa"/>
            <w:gridSpan w:val="2"/>
            <w:tcBorders>
              <w:bottom w:val="single" w:color="000000" w:sz="4" w:space="0"/>
              <w:right w:val="single" w:color="000000" w:sz="4" w:space="0"/>
            </w:tcBorders>
          </w:tcPr>
          <w:p>
            <w:pPr>
              <w:pStyle w:val="24"/>
              <w:spacing w:before="43"/>
              <w:ind w:left="442"/>
              <w:rPr>
                <w:sz w:val="24"/>
              </w:rPr>
            </w:pPr>
            <w:r>
              <w:rPr>
                <w:sz w:val="24"/>
              </w:rPr>
              <w:t>预案名称</w:t>
            </w:r>
          </w:p>
        </w:tc>
        <w:tc>
          <w:tcPr>
            <w:tcW w:w="3158" w:type="dxa"/>
            <w:gridSpan w:val="3"/>
            <w:tcBorders>
              <w:left w:val="single" w:color="000000" w:sz="4" w:space="0"/>
              <w:bottom w:val="single" w:color="000000" w:sz="4" w:space="0"/>
              <w:right w:val="single" w:color="000000" w:sz="4" w:space="0"/>
            </w:tcBorders>
          </w:tcPr>
          <w:p>
            <w:pPr>
              <w:pStyle w:val="24"/>
              <w:rPr>
                <w:rFonts w:ascii="Times New Roman"/>
                <w:sz w:val="24"/>
              </w:rPr>
            </w:pPr>
          </w:p>
        </w:tc>
        <w:tc>
          <w:tcPr>
            <w:tcW w:w="1733" w:type="dxa"/>
            <w:tcBorders>
              <w:left w:val="single" w:color="000000" w:sz="4" w:space="0"/>
              <w:bottom w:val="single" w:color="000000" w:sz="4" w:space="0"/>
              <w:right w:val="single" w:color="000000" w:sz="4" w:space="0"/>
            </w:tcBorders>
          </w:tcPr>
          <w:p>
            <w:pPr>
              <w:pStyle w:val="24"/>
              <w:spacing w:before="43"/>
              <w:ind w:left="376" w:right="347"/>
              <w:jc w:val="center"/>
              <w:rPr>
                <w:sz w:val="24"/>
              </w:rPr>
            </w:pPr>
            <w:r>
              <w:rPr>
                <w:sz w:val="24"/>
              </w:rPr>
              <w:t>演练地点</w:t>
            </w:r>
          </w:p>
        </w:tc>
        <w:tc>
          <w:tcPr>
            <w:tcW w:w="3116" w:type="dxa"/>
            <w:tcBorders>
              <w:left w:val="single" w:color="000000" w:sz="4" w:space="0"/>
              <w:bottom w:val="single" w:color="000000" w:sz="4" w:space="0"/>
            </w:tcBorders>
          </w:tcPr>
          <w:p>
            <w:pPr>
              <w:pStyle w:val="24"/>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847" w:type="dxa"/>
            <w:gridSpan w:val="2"/>
            <w:tcBorders>
              <w:top w:val="single" w:color="000000" w:sz="4" w:space="0"/>
              <w:bottom w:val="single" w:color="000000" w:sz="4" w:space="0"/>
              <w:right w:val="single" w:color="000000" w:sz="4" w:space="0"/>
            </w:tcBorders>
          </w:tcPr>
          <w:p>
            <w:pPr>
              <w:pStyle w:val="24"/>
              <w:spacing w:before="44"/>
              <w:ind w:left="442"/>
              <w:rPr>
                <w:sz w:val="24"/>
              </w:rPr>
            </w:pPr>
            <w:r>
              <w:rPr>
                <w:sz w:val="24"/>
              </w:rPr>
              <w:t>组织部门</w:t>
            </w:r>
          </w:p>
        </w:tc>
        <w:tc>
          <w:tcPr>
            <w:tcW w:w="89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4"/>
              </w:rPr>
            </w:pPr>
          </w:p>
        </w:tc>
        <w:tc>
          <w:tcPr>
            <w:tcW w:w="1201" w:type="dxa"/>
            <w:tcBorders>
              <w:top w:val="single" w:color="000000" w:sz="4" w:space="0"/>
              <w:left w:val="single" w:color="000000" w:sz="4" w:space="0"/>
              <w:bottom w:val="single" w:color="000000" w:sz="4" w:space="0"/>
              <w:right w:val="single" w:color="000000" w:sz="4" w:space="0"/>
            </w:tcBorders>
          </w:tcPr>
          <w:p>
            <w:pPr>
              <w:pStyle w:val="24"/>
              <w:spacing w:before="44"/>
              <w:ind w:left="249"/>
              <w:rPr>
                <w:sz w:val="24"/>
              </w:rPr>
            </w:pPr>
            <w:r>
              <w:rPr>
                <w:sz w:val="24"/>
              </w:rPr>
              <w:t>总指挥</w:t>
            </w:r>
          </w:p>
        </w:tc>
        <w:tc>
          <w:tcPr>
            <w:tcW w:w="1060" w:type="dxa"/>
            <w:tcBorders>
              <w:top w:val="single" w:color="000000" w:sz="4" w:space="0"/>
              <w:left w:val="single" w:color="000000" w:sz="4" w:space="0"/>
              <w:bottom w:val="single" w:color="000000" w:sz="4" w:space="0"/>
              <w:right w:val="single" w:color="000000" w:sz="4" w:space="0"/>
            </w:tcBorders>
          </w:tcPr>
          <w:p>
            <w:pPr>
              <w:pStyle w:val="24"/>
              <w:rPr>
                <w:rFonts w:ascii="Times New Roman"/>
                <w:sz w:val="24"/>
              </w:rPr>
            </w:pPr>
          </w:p>
        </w:tc>
        <w:tc>
          <w:tcPr>
            <w:tcW w:w="1733" w:type="dxa"/>
            <w:tcBorders>
              <w:top w:val="single" w:color="000000" w:sz="4" w:space="0"/>
              <w:left w:val="single" w:color="000000" w:sz="4" w:space="0"/>
              <w:bottom w:val="single" w:color="000000" w:sz="4" w:space="0"/>
              <w:right w:val="single" w:color="000000" w:sz="4" w:space="0"/>
            </w:tcBorders>
          </w:tcPr>
          <w:p>
            <w:pPr>
              <w:pStyle w:val="24"/>
              <w:spacing w:before="44"/>
              <w:ind w:left="376" w:right="347"/>
              <w:jc w:val="center"/>
              <w:rPr>
                <w:sz w:val="24"/>
              </w:rPr>
            </w:pPr>
            <w:r>
              <w:rPr>
                <w:sz w:val="24"/>
              </w:rPr>
              <w:t>演练时间</w:t>
            </w:r>
          </w:p>
        </w:tc>
        <w:tc>
          <w:tcPr>
            <w:tcW w:w="3116" w:type="dxa"/>
            <w:tcBorders>
              <w:top w:val="single" w:color="000000" w:sz="4" w:space="0"/>
              <w:left w:val="single" w:color="000000" w:sz="4" w:space="0"/>
              <w:bottom w:val="single" w:color="000000" w:sz="4" w:space="0"/>
            </w:tcBorders>
          </w:tcPr>
          <w:p>
            <w:pPr>
              <w:pStyle w:val="24"/>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847" w:type="dxa"/>
            <w:gridSpan w:val="2"/>
            <w:vMerge w:val="restart"/>
            <w:tcBorders>
              <w:top w:val="single" w:color="000000" w:sz="4" w:space="0"/>
              <w:bottom w:val="single" w:color="000000" w:sz="4" w:space="0"/>
              <w:right w:val="single" w:color="000000" w:sz="4" w:space="0"/>
            </w:tcBorders>
          </w:tcPr>
          <w:p>
            <w:pPr>
              <w:pStyle w:val="24"/>
              <w:spacing w:before="90" w:line="242" w:lineRule="auto"/>
              <w:ind w:left="562" w:right="422" w:hanging="120"/>
              <w:rPr>
                <w:sz w:val="24"/>
              </w:rPr>
            </w:pPr>
            <w:r>
              <w:rPr>
                <w:sz w:val="24"/>
              </w:rPr>
              <w:t>参加部门和单位</w:t>
            </w:r>
          </w:p>
        </w:tc>
        <w:tc>
          <w:tcPr>
            <w:tcW w:w="3158" w:type="dxa"/>
            <w:gridSpan w:val="3"/>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4"/>
              </w:rPr>
            </w:pPr>
          </w:p>
        </w:tc>
        <w:tc>
          <w:tcPr>
            <w:tcW w:w="1733" w:type="dxa"/>
            <w:tcBorders>
              <w:top w:val="single" w:color="000000" w:sz="4" w:space="0"/>
              <w:left w:val="single" w:color="000000" w:sz="4" w:space="0"/>
              <w:bottom w:val="single" w:color="000000" w:sz="4" w:space="0"/>
              <w:right w:val="single" w:color="000000" w:sz="4" w:space="0"/>
            </w:tcBorders>
          </w:tcPr>
          <w:p>
            <w:pPr>
              <w:pStyle w:val="24"/>
              <w:spacing w:before="42"/>
              <w:ind w:left="376" w:right="347"/>
              <w:jc w:val="center"/>
              <w:rPr>
                <w:sz w:val="24"/>
              </w:rPr>
            </w:pPr>
            <w:r>
              <w:rPr>
                <w:sz w:val="24"/>
              </w:rPr>
              <w:t>演练类别</w:t>
            </w:r>
          </w:p>
        </w:tc>
        <w:tc>
          <w:tcPr>
            <w:tcW w:w="3116" w:type="dxa"/>
            <w:tcBorders>
              <w:top w:val="single" w:color="000000" w:sz="4" w:space="0"/>
              <w:left w:val="single" w:color="000000" w:sz="4" w:space="0"/>
              <w:bottom w:val="single" w:color="000000" w:sz="4" w:space="0"/>
            </w:tcBorders>
          </w:tcPr>
          <w:p>
            <w:pPr>
              <w:pStyle w:val="24"/>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847" w:type="dxa"/>
            <w:gridSpan w:val="2"/>
            <w:vMerge w:val="continue"/>
            <w:tcBorders>
              <w:top w:val="nil"/>
              <w:bottom w:val="single" w:color="000000" w:sz="4" w:space="0"/>
              <w:right w:val="single" w:color="000000" w:sz="4" w:space="0"/>
            </w:tcBorders>
          </w:tcPr>
          <w:p>
            <w:pPr>
              <w:rPr>
                <w:sz w:val="2"/>
                <w:szCs w:val="2"/>
              </w:rPr>
            </w:pPr>
          </w:p>
        </w:tc>
        <w:tc>
          <w:tcPr>
            <w:tcW w:w="3158" w:type="dxa"/>
            <w:gridSpan w:val="3"/>
            <w:vMerge w:val="continue"/>
            <w:tcBorders>
              <w:top w:val="nil"/>
              <w:left w:val="single" w:color="000000" w:sz="4" w:space="0"/>
              <w:bottom w:val="single" w:color="000000" w:sz="4" w:space="0"/>
              <w:right w:val="single" w:color="000000" w:sz="4" w:space="0"/>
            </w:tcBorders>
          </w:tcPr>
          <w:p>
            <w:pPr>
              <w:rPr>
                <w:sz w:val="2"/>
                <w:szCs w:val="2"/>
              </w:rPr>
            </w:pPr>
          </w:p>
        </w:tc>
        <w:tc>
          <w:tcPr>
            <w:tcW w:w="1733" w:type="dxa"/>
            <w:tcBorders>
              <w:top w:val="single" w:color="000000" w:sz="4" w:space="0"/>
              <w:left w:val="single" w:color="000000" w:sz="4" w:space="0"/>
              <w:bottom w:val="single" w:color="000000" w:sz="4" w:space="0"/>
              <w:right w:val="single" w:color="000000" w:sz="4" w:space="0"/>
            </w:tcBorders>
          </w:tcPr>
          <w:p>
            <w:pPr>
              <w:pStyle w:val="24"/>
              <w:spacing w:before="43"/>
              <w:ind w:left="376" w:right="347"/>
              <w:jc w:val="center"/>
              <w:rPr>
                <w:sz w:val="24"/>
              </w:rPr>
            </w:pPr>
            <w:r>
              <w:rPr>
                <w:sz w:val="24"/>
              </w:rPr>
              <w:t>演练方式</w:t>
            </w:r>
          </w:p>
        </w:tc>
        <w:tc>
          <w:tcPr>
            <w:tcW w:w="3116" w:type="dxa"/>
            <w:tcBorders>
              <w:top w:val="single" w:color="000000" w:sz="4" w:space="0"/>
              <w:left w:val="single" w:color="000000" w:sz="4" w:space="0"/>
              <w:bottom w:val="single" w:color="000000" w:sz="4" w:space="0"/>
            </w:tcBorders>
          </w:tcPr>
          <w:p>
            <w:pPr>
              <w:pStyle w:val="24"/>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9854" w:type="dxa"/>
            <w:gridSpan w:val="7"/>
            <w:tcBorders>
              <w:top w:val="single" w:color="000000" w:sz="4" w:space="0"/>
              <w:bottom w:val="single" w:color="000000" w:sz="4" w:space="0"/>
            </w:tcBorders>
          </w:tcPr>
          <w:p>
            <w:pPr>
              <w:pStyle w:val="24"/>
              <w:spacing w:before="42"/>
              <w:ind w:left="4305" w:right="4279"/>
              <w:jc w:val="center"/>
              <w:rPr>
                <w:sz w:val="24"/>
              </w:rPr>
            </w:pPr>
            <w:r>
              <w:rPr>
                <w:sz w:val="24"/>
              </w:rPr>
              <w:t>演练程序：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1" w:hRule="atLeast"/>
        </w:trPr>
        <w:tc>
          <w:tcPr>
            <w:tcW w:w="1847" w:type="dxa"/>
            <w:gridSpan w:val="2"/>
            <w:tcBorders>
              <w:top w:val="single" w:color="000000" w:sz="4" w:space="0"/>
              <w:bottom w:val="single" w:color="000000" w:sz="4" w:space="0"/>
              <w:right w:val="single" w:color="000000" w:sz="4" w:space="0"/>
            </w:tcBorders>
          </w:tcPr>
          <w:p>
            <w:pPr>
              <w:pStyle w:val="24"/>
              <w:spacing w:before="120"/>
              <w:ind w:left="442"/>
              <w:rPr>
                <w:sz w:val="24"/>
              </w:rPr>
            </w:pPr>
            <w:r>
              <w:rPr>
                <w:sz w:val="24"/>
              </w:rPr>
              <w:t>演练描述</w:t>
            </w:r>
          </w:p>
        </w:tc>
        <w:tc>
          <w:tcPr>
            <w:tcW w:w="8007" w:type="dxa"/>
            <w:gridSpan w:val="5"/>
            <w:tcBorders>
              <w:top w:val="single" w:color="000000" w:sz="4" w:space="0"/>
              <w:left w:val="single" w:color="000000" w:sz="4" w:space="0"/>
              <w:bottom w:val="single" w:color="000000" w:sz="4" w:space="0"/>
            </w:tcBorders>
          </w:tcPr>
          <w:p>
            <w:pPr>
              <w:pStyle w:val="24"/>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3" w:hRule="atLeast"/>
        </w:trPr>
        <w:tc>
          <w:tcPr>
            <w:tcW w:w="949" w:type="dxa"/>
            <w:vMerge w:val="restart"/>
            <w:tcBorders>
              <w:top w:val="single" w:color="000000" w:sz="4" w:space="0"/>
              <w:bottom w:val="single" w:color="000000" w:sz="4" w:space="0"/>
              <w:right w:val="single" w:color="000000" w:sz="4" w:space="0"/>
            </w:tcBorders>
          </w:tcPr>
          <w:p>
            <w:pPr>
              <w:pStyle w:val="24"/>
              <w:rPr>
                <w:b/>
                <w:sz w:val="24"/>
              </w:rPr>
            </w:pPr>
          </w:p>
          <w:p>
            <w:pPr>
              <w:pStyle w:val="24"/>
              <w:rPr>
                <w:b/>
                <w:sz w:val="24"/>
              </w:rPr>
            </w:pPr>
          </w:p>
          <w:p>
            <w:pPr>
              <w:pStyle w:val="24"/>
              <w:rPr>
                <w:b/>
                <w:sz w:val="24"/>
              </w:rPr>
            </w:pPr>
          </w:p>
          <w:p>
            <w:pPr>
              <w:pStyle w:val="24"/>
              <w:rPr>
                <w:b/>
                <w:sz w:val="24"/>
              </w:rPr>
            </w:pPr>
          </w:p>
          <w:p>
            <w:pPr>
              <w:pStyle w:val="24"/>
              <w:rPr>
                <w:b/>
                <w:sz w:val="24"/>
              </w:rPr>
            </w:pPr>
          </w:p>
          <w:p>
            <w:pPr>
              <w:pStyle w:val="24"/>
              <w:spacing w:before="195" w:line="242" w:lineRule="auto"/>
              <w:ind w:left="353" w:right="333"/>
              <w:jc w:val="both"/>
              <w:rPr>
                <w:sz w:val="24"/>
              </w:rPr>
            </w:pPr>
            <w:r>
              <w:rPr>
                <w:sz w:val="24"/>
              </w:rPr>
              <w:t>演习效果评审</w:t>
            </w:r>
          </w:p>
        </w:tc>
        <w:tc>
          <w:tcPr>
            <w:tcW w:w="898" w:type="dxa"/>
            <w:tcBorders>
              <w:top w:val="single" w:color="000000" w:sz="4" w:space="0"/>
              <w:left w:val="single" w:color="000000" w:sz="4" w:space="0"/>
              <w:bottom w:val="single" w:color="000000" w:sz="4" w:space="0"/>
              <w:right w:val="single" w:color="000000" w:sz="4" w:space="0"/>
            </w:tcBorders>
          </w:tcPr>
          <w:p>
            <w:pPr>
              <w:pStyle w:val="24"/>
              <w:spacing w:before="2" w:line="242" w:lineRule="auto"/>
              <w:ind w:left="218" w:right="187"/>
              <w:rPr>
                <w:sz w:val="24"/>
              </w:rPr>
            </w:pPr>
            <w:r>
              <w:rPr>
                <w:spacing w:val="-9"/>
                <w:sz w:val="24"/>
              </w:rPr>
              <w:t>人员到位</w:t>
            </w:r>
          </w:p>
          <w:p>
            <w:pPr>
              <w:pStyle w:val="24"/>
              <w:spacing w:line="289" w:lineRule="exact"/>
              <w:ind w:left="218"/>
              <w:rPr>
                <w:sz w:val="24"/>
              </w:rPr>
            </w:pPr>
            <w:r>
              <w:rPr>
                <w:sz w:val="24"/>
              </w:rPr>
              <w:t>情况</w:t>
            </w:r>
          </w:p>
        </w:tc>
        <w:tc>
          <w:tcPr>
            <w:tcW w:w="3158" w:type="dxa"/>
            <w:gridSpan w:val="3"/>
            <w:tcBorders>
              <w:top w:val="single" w:color="000000" w:sz="4" w:space="0"/>
              <w:left w:val="single" w:color="000000" w:sz="4" w:space="0"/>
              <w:bottom w:val="single" w:color="000000" w:sz="4" w:space="0"/>
              <w:right w:val="single" w:color="000000" w:sz="4" w:space="0"/>
            </w:tcBorders>
          </w:tcPr>
          <w:p>
            <w:pPr>
              <w:pStyle w:val="24"/>
              <w:rPr>
                <w:rFonts w:ascii="Times New Roman"/>
                <w:sz w:val="24"/>
              </w:rPr>
            </w:pPr>
          </w:p>
        </w:tc>
        <w:tc>
          <w:tcPr>
            <w:tcW w:w="4849" w:type="dxa"/>
            <w:gridSpan w:val="2"/>
            <w:tcBorders>
              <w:top w:val="single" w:color="000000" w:sz="4" w:space="0"/>
              <w:left w:val="single" w:color="000000" w:sz="4" w:space="0"/>
              <w:bottom w:val="single" w:color="000000" w:sz="4" w:space="0"/>
            </w:tcBorders>
          </w:tcPr>
          <w:p>
            <w:pPr>
              <w:pStyle w:val="24"/>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3" w:hRule="atLeast"/>
        </w:trPr>
        <w:tc>
          <w:tcPr>
            <w:tcW w:w="949" w:type="dxa"/>
            <w:vMerge w:val="continue"/>
            <w:tcBorders>
              <w:top w:val="nil"/>
              <w:bottom w:val="single" w:color="000000" w:sz="4" w:space="0"/>
              <w:right w:val="single" w:color="000000" w:sz="4" w:space="0"/>
            </w:tcBorders>
          </w:tcPr>
          <w:p>
            <w:pPr>
              <w:rPr>
                <w:sz w:val="2"/>
                <w:szCs w:val="2"/>
              </w:rPr>
            </w:pPr>
          </w:p>
        </w:tc>
        <w:tc>
          <w:tcPr>
            <w:tcW w:w="898" w:type="dxa"/>
            <w:tcBorders>
              <w:top w:val="single" w:color="000000" w:sz="4" w:space="0"/>
              <w:left w:val="single" w:color="000000" w:sz="4" w:space="0"/>
              <w:bottom w:val="single" w:color="000000" w:sz="4" w:space="0"/>
              <w:right w:val="single" w:color="000000" w:sz="4" w:space="0"/>
            </w:tcBorders>
          </w:tcPr>
          <w:p>
            <w:pPr>
              <w:pStyle w:val="24"/>
              <w:spacing w:before="2"/>
              <w:ind w:left="218"/>
              <w:rPr>
                <w:sz w:val="24"/>
              </w:rPr>
            </w:pPr>
            <w:r>
              <w:rPr>
                <w:sz w:val="24"/>
              </w:rPr>
              <w:t>物资</w:t>
            </w:r>
          </w:p>
          <w:p>
            <w:pPr>
              <w:pStyle w:val="24"/>
              <w:spacing w:before="2" w:line="310" w:lineRule="atLeast"/>
              <w:ind w:left="218" w:right="187"/>
              <w:rPr>
                <w:sz w:val="24"/>
              </w:rPr>
            </w:pPr>
            <w:r>
              <w:rPr>
                <w:spacing w:val="-9"/>
                <w:sz w:val="24"/>
              </w:rPr>
              <w:t>到位情况</w:t>
            </w:r>
          </w:p>
        </w:tc>
        <w:tc>
          <w:tcPr>
            <w:tcW w:w="3158" w:type="dxa"/>
            <w:gridSpan w:val="3"/>
            <w:tcBorders>
              <w:top w:val="single" w:color="000000" w:sz="4" w:space="0"/>
              <w:left w:val="single" w:color="000000" w:sz="4" w:space="0"/>
              <w:bottom w:val="single" w:color="000000" w:sz="4" w:space="0"/>
              <w:right w:val="single" w:color="000000" w:sz="4" w:space="0"/>
            </w:tcBorders>
          </w:tcPr>
          <w:p>
            <w:pPr>
              <w:pStyle w:val="24"/>
              <w:rPr>
                <w:rFonts w:ascii="Times New Roman"/>
                <w:sz w:val="24"/>
              </w:rPr>
            </w:pPr>
          </w:p>
        </w:tc>
        <w:tc>
          <w:tcPr>
            <w:tcW w:w="4849" w:type="dxa"/>
            <w:gridSpan w:val="2"/>
            <w:tcBorders>
              <w:top w:val="single" w:color="000000" w:sz="4" w:space="0"/>
              <w:left w:val="single" w:color="000000" w:sz="4" w:space="0"/>
              <w:bottom w:val="single" w:color="000000" w:sz="4" w:space="0"/>
            </w:tcBorders>
          </w:tcPr>
          <w:p>
            <w:pPr>
              <w:pStyle w:val="24"/>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3" w:hRule="atLeast"/>
        </w:trPr>
        <w:tc>
          <w:tcPr>
            <w:tcW w:w="949" w:type="dxa"/>
            <w:vMerge w:val="continue"/>
            <w:tcBorders>
              <w:top w:val="nil"/>
              <w:bottom w:val="single" w:color="000000" w:sz="4" w:space="0"/>
              <w:right w:val="single" w:color="000000" w:sz="4" w:space="0"/>
            </w:tcBorders>
          </w:tcPr>
          <w:p>
            <w:pPr>
              <w:rPr>
                <w:sz w:val="2"/>
                <w:szCs w:val="2"/>
              </w:rPr>
            </w:pPr>
          </w:p>
        </w:tc>
        <w:tc>
          <w:tcPr>
            <w:tcW w:w="898" w:type="dxa"/>
            <w:tcBorders>
              <w:top w:val="single" w:color="000000" w:sz="4" w:space="0"/>
              <w:left w:val="single" w:color="000000" w:sz="4" w:space="0"/>
              <w:bottom w:val="single" w:color="000000" w:sz="4" w:space="0"/>
              <w:right w:val="single" w:color="000000" w:sz="4" w:space="0"/>
            </w:tcBorders>
          </w:tcPr>
          <w:p>
            <w:pPr>
              <w:pStyle w:val="24"/>
              <w:spacing w:before="1"/>
              <w:ind w:left="218"/>
              <w:rPr>
                <w:sz w:val="24"/>
              </w:rPr>
            </w:pPr>
            <w:r>
              <w:rPr>
                <w:sz w:val="24"/>
              </w:rPr>
              <w:t>协调</w:t>
            </w:r>
          </w:p>
          <w:p>
            <w:pPr>
              <w:pStyle w:val="24"/>
              <w:spacing w:before="2" w:line="310" w:lineRule="atLeast"/>
              <w:ind w:left="218" w:right="187"/>
              <w:rPr>
                <w:sz w:val="24"/>
              </w:rPr>
            </w:pPr>
            <w:r>
              <w:rPr>
                <w:spacing w:val="-9"/>
                <w:sz w:val="24"/>
              </w:rPr>
              <w:t>组织情况</w:t>
            </w:r>
          </w:p>
        </w:tc>
        <w:tc>
          <w:tcPr>
            <w:tcW w:w="3158" w:type="dxa"/>
            <w:gridSpan w:val="3"/>
            <w:tcBorders>
              <w:top w:val="single" w:color="000000" w:sz="4" w:space="0"/>
              <w:left w:val="single" w:color="000000" w:sz="4" w:space="0"/>
              <w:bottom w:val="single" w:color="000000" w:sz="4" w:space="0"/>
              <w:right w:val="single" w:color="000000" w:sz="4" w:space="0"/>
            </w:tcBorders>
          </w:tcPr>
          <w:p>
            <w:pPr>
              <w:pStyle w:val="24"/>
              <w:rPr>
                <w:rFonts w:ascii="Times New Roman"/>
                <w:sz w:val="24"/>
              </w:rPr>
            </w:pPr>
          </w:p>
        </w:tc>
        <w:tc>
          <w:tcPr>
            <w:tcW w:w="4849" w:type="dxa"/>
            <w:gridSpan w:val="2"/>
            <w:tcBorders>
              <w:top w:val="single" w:color="000000" w:sz="4" w:space="0"/>
              <w:left w:val="single" w:color="000000" w:sz="4" w:space="0"/>
              <w:bottom w:val="single" w:color="000000" w:sz="4" w:space="0"/>
            </w:tcBorders>
          </w:tcPr>
          <w:p>
            <w:pPr>
              <w:pStyle w:val="24"/>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56" w:hRule="atLeast"/>
        </w:trPr>
        <w:tc>
          <w:tcPr>
            <w:tcW w:w="949" w:type="dxa"/>
            <w:vMerge w:val="continue"/>
            <w:tcBorders>
              <w:top w:val="nil"/>
              <w:bottom w:val="single" w:color="000000" w:sz="4" w:space="0"/>
              <w:right w:val="single" w:color="000000" w:sz="4" w:space="0"/>
            </w:tcBorders>
          </w:tcPr>
          <w:p>
            <w:pPr>
              <w:rPr>
                <w:sz w:val="2"/>
                <w:szCs w:val="2"/>
              </w:rPr>
            </w:pPr>
          </w:p>
        </w:tc>
        <w:tc>
          <w:tcPr>
            <w:tcW w:w="898" w:type="dxa"/>
            <w:tcBorders>
              <w:top w:val="single" w:color="000000" w:sz="4" w:space="0"/>
              <w:left w:val="single" w:color="000000" w:sz="4" w:space="0"/>
              <w:bottom w:val="single" w:color="000000" w:sz="4" w:space="0"/>
              <w:right w:val="single" w:color="000000" w:sz="4" w:space="0"/>
            </w:tcBorders>
          </w:tcPr>
          <w:p>
            <w:pPr>
              <w:pStyle w:val="24"/>
              <w:spacing w:line="242" w:lineRule="auto"/>
              <w:ind w:left="218" w:right="187"/>
              <w:jc w:val="both"/>
              <w:rPr>
                <w:sz w:val="24"/>
              </w:rPr>
            </w:pPr>
            <w:r>
              <w:rPr>
                <w:sz w:val="24"/>
              </w:rPr>
              <w:t>支援部门协作有效</w:t>
            </w:r>
          </w:p>
          <w:p>
            <w:pPr>
              <w:pStyle w:val="24"/>
              <w:spacing w:before="4" w:line="290" w:lineRule="exact"/>
              <w:ind w:left="28"/>
              <w:jc w:val="center"/>
              <w:rPr>
                <w:sz w:val="24"/>
              </w:rPr>
            </w:pPr>
            <w:r>
              <w:rPr>
                <w:sz w:val="24"/>
              </w:rPr>
              <w:t>性</w:t>
            </w:r>
          </w:p>
        </w:tc>
        <w:tc>
          <w:tcPr>
            <w:tcW w:w="3158" w:type="dxa"/>
            <w:gridSpan w:val="3"/>
            <w:tcBorders>
              <w:top w:val="single" w:color="000000" w:sz="4" w:space="0"/>
              <w:left w:val="single" w:color="000000" w:sz="4" w:space="0"/>
              <w:bottom w:val="single" w:color="000000" w:sz="4" w:space="0"/>
              <w:right w:val="single" w:color="000000" w:sz="4" w:space="0"/>
            </w:tcBorders>
          </w:tcPr>
          <w:p>
            <w:pPr>
              <w:pStyle w:val="24"/>
              <w:rPr>
                <w:rFonts w:ascii="Times New Roman"/>
                <w:sz w:val="24"/>
              </w:rPr>
            </w:pPr>
          </w:p>
        </w:tc>
        <w:tc>
          <w:tcPr>
            <w:tcW w:w="4849" w:type="dxa"/>
            <w:gridSpan w:val="2"/>
            <w:tcBorders>
              <w:top w:val="single" w:color="000000" w:sz="4" w:space="0"/>
              <w:left w:val="single" w:color="000000" w:sz="4" w:space="0"/>
              <w:bottom w:val="single" w:color="000000" w:sz="4" w:space="0"/>
            </w:tcBorders>
          </w:tcPr>
          <w:p>
            <w:pPr>
              <w:pStyle w:val="24"/>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3" w:hRule="atLeast"/>
        </w:trPr>
        <w:tc>
          <w:tcPr>
            <w:tcW w:w="949" w:type="dxa"/>
            <w:vMerge w:val="continue"/>
            <w:tcBorders>
              <w:top w:val="nil"/>
              <w:bottom w:val="single" w:color="000000" w:sz="4" w:space="0"/>
              <w:right w:val="single" w:color="000000" w:sz="4" w:space="0"/>
            </w:tcBorders>
          </w:tcPr>
          <w:p>
            <w:pPr>
              <w:rPr>
                <w:sz w:val="2"/>
                <w:szCs w:val="2"/>
              </w:rPr>
            </w:pPr>
          </w:p>
        </w:tc>
        <w:tc>
          <w:tcPr>
            <w:tcW w:w="898" w:type="dxa"/>
            <w:tcBorders>
              <w:top w:val="single" w:color="000000" w:sz="4" w:space="0"/>
              <w:left w:val="single" w:color="000000" w:sz="4" w:space="0"/>
              <w:bottom w:val="single" w:color="000000" w:sz="4" w:space="0"/>
              <w:right w:val="single" w:color="000000" w:sz="4" w:space="0"/>
            </w:tcBorders>
          </w:tcPr>
          <w:p>
            <w:pPr>
              <w:pStyle w:val="24"/>
              <w:spacing w:before="2"/>
              <w:ind w:left="218"/>
              <w:rPr>
                <w:sz w:val="24"/>
              </w:rPr>
            </w:pPr>
            <w:r>
              <w:rPr>
                <w:sz w:val="24"/>
              </w:rPr>
              <w:t>演练</w:t>
            </w:r>
          </w:p>
          <w:p>
            <w:pPr>
              <w:pStyle w:val="24"/>
              <w:spacing w:before="1" w:line="310" w:lineRule="atLeast"/>
              <w:ind w:left="218" w:right="187"/>
              <w:rPr>
                <w:sz w:val="24"/>
              </w:rPr>
            </w:pPr>
            <w:r>
              <w:rPr>
                <w:spacing w:val="-9"/>
                <w:sz w:val="24"/>
              </w:rPr>
              <w:t>效果评价</w:t>
            </w:r>
          </w:p>
        </w:tc>
        <w:tc>
          <w:tcPr>
            <w:tcW w:w="3158" w:type="dxa"/>
            <w:gridSpan w:val="3"/>
            <w:tcBorders>
              <w:top w:val="single" w:color="000000" w:sz="4" w:space="0"/>
              <w:left w:val="single" w:color="000000" w:sz="4" w:space="0"/>
              <w:bottom w:val="single" w:color="000000" w:sz="4" w:space="0"/>
              <w:right w:val="single" w:color="000000" w:sz="4" w:space="0"/>
            </w:tcBorders>
          </w:tcPr>
          <w:p>
            <w:pPr>
              <w:pStyle w:val="24"/>
              <w:rPr>
                <w:rFonts w:ascii="Times New Roman"/>
                <w:sz w:val="24"/>
              </w:rPr>
            </w:pPr>
          </w:p>
        </w:tc>
        <w:tc>
          <w:tcPr>
            <w:tcW w:w="4849" w:type="dxa"/>
            <w:gridSpan w:val="2"/>
            <w:tcBorders>
              <w:top w:val="single" w:color="000000" w:sz="4" w:space="0"/>
              <w:left w:val="single" w:color="000000" w:sz="4" w:space="0"/>
              <w:bottom w:val="single" w:color="000000" w:sz="4" w:space="0"/>
            </w:tcBorders>
          </w:tcPr>
          <w:p>
            <w:pPr>
              <w:pStyle w:val="24"/>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07" w:hRule="atLeast"/>
        </w:trPr>
        <w:tc>
          <w:tcPr>
            <w:tcW w:w="949" w:type="dxa"/>
            <w:tcBorders>
              <w:top w:val="single" w:color="000000" w:sz="4" w:space="0"/>
              <w:bottom w:val="single" w:color="000000" w:sz="4" w:space="0"/>
              <w:right w:val="single" w:color="000000" w:sz="4" w:space="0"/>
            </w:tcBorders>
          </w:tcPr>
          <w:p>
            <w:pPr>
              <w:pStyle w:val="24"/>
              <w:spacing w:before="11"/>
              <w:rPr>
                <w:b/>
              </w:rPr>
            </w:pPr>
          </w:p>
          <w:p>
            <w:pPr>
              <w:pStyle w:val="24"/>
              <w:spacing w:before="1" w:line="242" w:lineRule="auto"/>
              <w:ind w:left="113" w:right="93"/>
              <w:rPr>
                <w:sz w:val="24"/>
              </w:rPr>
            </w:pPr>
            <w:r>
              <w:rPr>
                <w:sz w:val="24"/>
              </w:rPr>
              <w:t>参演人员签名</w:t>
            </w:r>
          </w:p>
        </w:tc>
        <w:tc>
          <w:tcPr>
            <w:tcW w:w="8905" w:type="dxa"/>
            <w:gridSpan w:val="6"/>
            <w:tcBorders>
              <w:top w:val="single" w:color="000000" w:sz="4" w:space="0"/>
              <w:left w:val="single" w:color="000000" w:sz="4" w:space="0"/>
              <w:bottom w:val="single" w:color="000000" w:sz="4" w:space="0"/>
            </w:tcBorders>
          </w:tcPr>
          <w:p>
            <w:pPr>
              <w:pStyle w:val="24"/>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45" w:hRule="atLeast"/>
        </w:trPr>
        <w:tc>
          <w:tcPr>
            <w:tcW w:w="949" w:type="dxa"/>
            <w:tcBorders>
              <w:top w:val="single" w:color="000000" w:sz="4" w:space="0"/>
              <w:bottom w:val="single" w:color="000000" w:sz="4" w:space="0"/>
              <w:right w:val="single" w:color="000000" w:sz="4" w:space="0"/>
            </w:tcBorders>
          </w:tcPr>
          <w:p>
            <w:pPr>
              <w:pStyle w:val="24"/>
              <w:spacing w:before="4"/>
              <w:rPr>
                <w:b/>
                <w:sz w:val="28"/>
              </w:rPr>
            </w:pPr>
          </w:p>
          <w:p>
            <w:pPr>
              <w:pStyle w:val="24"/>
              <w:spacing w:line="242" w:lineRule="auto"/>
              <w:ind w:left="233" w:right="213"/>
              <w:rPr>
                <w:sz w:val="24"/>
              </w:rPr>
            </w:pPr>
            <w:r>
              <w:rPr>
                <w:sz w:val="24"/>
              </w:rPr>
              <w:t>存在问题</w:t>
            </w:r>
          </w:p>
        </w:tc>
        <w:tc>
          <w:tcPr>
            <w:tcW w:w="8905" w:type="dxa"/>
            <w:gridSpan w:val="6"/>
            <w:tcBorders>
              <w:top w:val="single" w:color="000000" w:sz="4" w:space="0"/>
              <w:left w:val="single" w:color="000000" w:sz="4" w:space="0"/>
              <w:bottom w:val="single" w:color="000000" w:sz="4" w:space="0"/>
            </w:tcBorders>
          </w:tcPr>
          <w:p>
            <w:pPr>
              <w:pStyle w:val="24"/>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79" w:hRule="atLeast"/>
        </w:trPr>
        <w:tc>
          <w:tcPr>
            <w:tcW w:w="949" w:type="dxa"/>
            <w:tcBorders>
              <w:top w:val="single" w:color="000000" w:sz="4" w:space="0"/>
              <w:right w:val="single" w:color="000000" w:sz="4" w:space="0"/>
            </w:tcBorders>
          </w:tcPr>
          <w:p>
            <w:pPr>
              <w:pStyle w:val="24"/>
              <w:spacing w:before="8"/>
              <w:rPr>
                <w:b/>
                <w:sz w:val="29"/>
              </w:rPr>
            </w:pPr>
          </w:p>
          <w:p>
            <w:pPr>
              <w:pStyle w:val="24"/>
              <w:spacing w:line="242" w:lineRule="auto"/>
              <w:ind w:left="233" w:right="213"/>
              <w:rPr>
                <w:sz w:val="24"/>
              </w:rPr>
            </w:pPr>
            <w:r>
              <w:rPr>
                <w:sz w:val="24"/>
              </w:rPr>
              <w:t>改进措施</w:t>
            </w:r>
          </w:p>
        </w:tc>
        <w:tc>
          <w:tcPr>
            <w:tcW w:w="8905" w:type="dxa"/>
            <w:gridSpan w:val="6"/>
            <w:tcBorders>
              <w:top w:val="single" w:color="000000" w:sz="4" w:space="0"/>
              <w:left w:val="single" w:color="000000" w:sz="4" w:space="0"/>
            </w:tcBorders>
          </w:tcPr>
          <w:p>
            <w:pPr>
              <w:pStyle w:val="24"/>
              <w:rPr>
                <w:rFonts w:ascii="Times New Roman"/>
                <w:sz w:val="24"/>
              </w:rPr>
            </w:pPr>
          </w:p>
        </w:tc>
      </w:tr>
    </w:tbl>
    <w:p>
      <w:pPr>
        <w:rPr>
          <w:rFonts w:ascii="Times New Roman"/>
          <w:sz w:val="24"/>
        </w:rPr>
        <w:sectPr>
          <w:pgSz w:w="11910" w:h="16840"/>
          <w:pgMar w:top="1360" w:right="840" w:bottom="1180" w:left="840" w:header="882" w:footer="993" w:gutter="0"/>
          <w:cols w:space="720" w:num="1"/>
        </w:sectPr>
      </w:pPr>
    </w:p>
    <w:p>
      <w:pPr>
        <w:pStyle w:val="10"/>
        <w:spacing w:before="11"/>
        <w:rPr>
          <w:b/>
          <w:sz w:val="11"/>
        </w:rPr>
      </w:pPr>
    </w:p>
    <w:p>
      <w:pPr>
        <w:spacing w:before="73"/>
        <w:ind w:left="240"/>
        <w:rPr>
          <w:b/>
          <w:sz w:val="28"/>
        </w:rPr>
      </w:pPr>
      <w:r>
        <w:rPr>
          <w:b/>
          <w:sz w:val="28"/>
        </w:rPr>
        <w:t xml:space="preserve">附件 </w:t>
      </w:r>
      <w:r>
        <w:rPr>
          <w:rFonts w:ascii="Times New Roman" w:eastAsia="Times New Roman"/>
          <w:b/>
          <w:sz w:val="28"/>
        </w:rPr>
        <w:t xml:space="preserve">7  </w:t>
      </w:r>
      <w:r>
        <w:rPr>
          <w:b/>
          <w:sz w:val="28"/>
        </w:rPr>
        <w:t>危险化学品理化性质及危险特性</w:t>
      </w:r>
    </w:p>
    <w:p>
      <w:pPr>
        <w:pStyle w:val="10"/>
        <w:spacing w:before="11"/>
        <w:rPr>
          <w:b/>
          <w:sz w:val="26"/>
        </w:rPr>
      </w:pPr>
    </w:p>
    <w:p>
      <w:pPr>
        <w:pStyle w:val="9"/>
        <w:spacing w:before="64"/>
        <w:ind w:left="0"/>
      </w:pPr>
      <w:r>
        <w:rPr>
          <w:rFonts w:hint="eastAsia"/>
        </w:rPr>
        <w:t>油墨</w:t>
      </w:r>
    </w:p>
    <w:p>
      <w:pPr>
        <w:pStyle w:val="10"/>
        <w:spacing w:before="3" w:after="1"/>
        <w:rPr>
          <w:b/>
          <w:sz w:val="12"/>
        </w:rPr>
      </w:pPr>
    </w:p>
    <w:tbl>
      <w:tblPr>
        <w:tblStyle w:val="15"/>
        <w:tblW w:w="0" w:type="auto"/>
        <w:tblInd w:w="14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84"/>
        <w:gridCol w:w="1962"/>
        <w:gridCol w:w="1347"/>
        <w:gridCol w:w="2016"/>
        <w:gridCol w:w="2487"/>
        <w:gridCol w:w="146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684" w:type="dxa"/>
            <w:tcBorders>
              <w:bottom w:val="single" w:color="000000" w:sz="4" w:space="0"/>
              <w:right w:val="single" w:color="000000" w:sz="4" w:space="0"/>
            </w:tcBorders>
          </w:tcPr>
          <w:p>
            <w:pPr>
              <w:pStyle w:val="24"/>
              <w:spacing w:before="1" w:line="251" w:lineRule="exact"/>
              <w:ind w:left="131"/>
              <w:rPr>
                <w:sz w:val="21"/>
              </w:rPr>
            </w:pPr>
            <w:r>
              <w:rPr>
                <w:sz w:val="21"/>
              </w:rPr>
              <w:t>标识</w:t>
            </w:r>
          </w:p>
        </w:tc>
        <w:tc>
          <w:tcPr>
            <w:tcW w:w="1962" w:type="dxa"/>
            <w:tcBorders>
              <w:left w:val="single" w:color="000000" w:sz="4" w:space="0"/>
              <w:bottom w:val="single" w:color="000000" w:sz="4" w:space="0"/>
              <w:right w:val="single" w:color="000000" w:sz="4" w:space="0"/>
            </w:tcBorders>
          </w:tcPr>
          <w:p>
            <w:pPr>
              <w:pStyle w:val="24"/>
              <w:spacing w:before="1" w:line="251" w:lineRule="exact"/>
              <w:ind w:left="117"/>
              <w:rPr>
                <w:sz w:val="21"/>
              </w:rPr>
            </w:pPr>
            <w:r>
              <w:rPr>
                <w:sz w:val="21"/>
              </w:rPr>
              <w:t>中文名</w:t>
            </w:r>
          </w:p>
        </w:tc>
        <w:tc>
          <w:tcPr>
            <w:tcW w:w="1347" w:type="dxa"/>
            <w:tcBorders>
              <w:left w:val="single" w:color="000000" w:sz="4" w:space="0"/>
              <w:bottom w:val="single" w:color="000000" w:sz="4" w:space="0"/>
              <w:right w:val="single" w:color="000000" w:sz="4" w:space="0"/>
            </w:tcBorders>
          </w:tcPr>
          <w:p>
            <w:pPr>
              <w:pStyle w:val="24"/>
              <w:spacing w:before="1" w:line="251" w:lineRule="exact"/>
              <w:ind w:left="266"/>
              <w:rPr>
                <w:sz w:val="21"/>
              </w:rPr>
            </w:pPr>
            <w:r>
              <w:rPr>
                <w:rFonts w:hint="eastAsia"/>
                <w:sz w:val="21"/>
              </w:rPr>
              <w:t>油墨</w:t>
            </w:r>
          </w:p>
        </w:tc>
        <w:tc>
          <w:tcPr>
            <w:tcW w:w="2016" w:type="dxa"/>
            <w:tcBorders>
              <w:left w:val="single" w:color="000000" w:sz="4" w:space="0"/>
              <w:bottom w:val="single" w:color="000000" w:sz="4" w:space="0"/>
              <w:right w:val="single" w:color="000000" w:sz="4" w:space="0"/>
            </w:tcBorders>
          </w:tcPr>
          <w:p>
            <w:pPr>
              <w:pStyle w:val="24"/>
              <w:spacing w:before="1" w:line="251" w:lineRule="exact"/>
              <w:ind w:left="680" w:right="655"/>
              <w:jc w:val="center"/>
              <w:rPr>
                <w:sz w:val="21"/>
              </w:rPr>
            </w:pPr>
            <w:r>
              <w:rPr>
                <w:sz w:val="21"/>
              </w:rPr>
              <w:t>英文名</w:t>
            </w:r>
          </w:p>
        </w:tc>
        <w:tc>
          <w:tcPr>
            <w:tcW w:w="3948" w:type="dxa"/>
            <w:gridSpan w:val="2"/>
            <w:tcBorders>
              <w:left w:val="single" w:color="000000" w:sz="4" w:space="0"/>
              <w:bottom w:val="single" w:color="000000" w:sz="4" w:space="0"/>
            </w:tcBorders>
          </w:tcPr>
          <w:p>
            <w:pPr>
              <w:pStyle w:val="24"/>
              <w:spacing w:before="1" w:line="251" w:lineRule="exact"/>
              <w:ind w:left="118"/>
              <w:rPr>
                <w:rFonts w:ascii="Times New Roman" w:eastAsia="宋体"/>
                <w:sz w:val="21"/>
                <w:lang w:val="en-US"/>
              </w:rPr>
            </w:pPr>
            <w:r>
              <w:rPr>
                <w:rFonts w:hint="eastAsia" w:ascii="Times New Roman" w:eastAsia="宋体"/>
                <w:sz w:val="21"/>
                <w:lang w:val="en-US"/>
              </w:rPr>
              <w:t>Printing ink</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1" w:hRule="atLeast"/>
        </w:trPr>
        <w:tc>
          <w:tcPr>
            <w:tcW w:w="684" w:type="dxa"/>
            <w:vMerge w:val="restart"/>
            <w:tcBorders>
              <w:top w:val="single" w:color="000000" w:sz="4" w:space="0"/>
              <w:bottom w:val="single" w:color="000000" w:sz="4" w:space="0"/>
              <w:right w:val="single" w:color="000000" w:sz="4" w:space="0"/>
            </w:tcBorders>
          </w:tcPr>
          <w:p>
            <w:pPr>
              <w:pStyle w:val="24"/>
              <w:rPr>
                <w:b/>
                <w:sz w:val="20"/>
              </w:rPr>
            </w:pPr>
          </w:p>
          <w:p>
            <w:pPr>
              <w:pStyle w:val="24"/>
              <w:spacing w:before="4"/>
              <w:rPr>
                <w:b/>
                <w:sz w:val="24"/>
              </w:rPr>
            </w:pPr>
          </w:p>
          <w:p>
            <w:pPr>
              <w:pStyle w:val="24"/>
              <w:spacing w:line="244" w:lineRule="auto"/>
              <w:ind w:left="131" w:right="112"/>
              <w:rPr>
                <w:sz w:val="21"/>
              </w:rPr>
            </w:pPr>
            <w:r>
              <w:rPr>
                <w:sz w:val="21"/>
              </w:rPr>
              <w:t>理化性质</w:t>
            </w:r>
          </w:p>
        </w:tc>
        <w:tc>
          <w:tcPr>
            <w:tcW w:w="1962" w:type="dxa"/>
            <w:tcBorders>
              <w:top w:val="single" w:color="000000" w:sz="4" w:space="0"/>
              <w:left w:val="single" w:color="000000" w:sz="4" w:space="0"/>
              <w:bottom w:val="single" w:color="000000" w:sz="4" w:space="0"/>
              <w:right w:val="single" w:color="000000" w:sz="4" w:space="0"/>
            </w:tcBorders>
          </w:tcPr>
          <w:p>
            <w:pPr>
              <w:pStyle w:val="24"/>
              <w:spacing w:line="252" w:lineRule="exact"/>
              <w:ind w:left="117"/>
              <w:rPr>
                <w:sz w:val="21"/>
              </w:rPr>
            </w:pPr>
            <w:r>
              <w:rPr>
                <w:sz w:val="21"/>
              </w:rPr>
              <w:t>外观与性状</w:t>
            </w:r>
          </w:p>
        </w:tc>
        <w:tc>
          <w:tcPr>
            <w:tcW w:w="7311" w:type="dxa"/>
            <w:gridSpan w:val="4"/>
            <w:tcBorders>
              <w:top w:val="single" w:color="000000" w:sz="4" w:space="0"/>
              <w:left w:val="single" w:color="000000" w:sz="4" w:space="0"/>
              <w:bottom w:val="single" w:color="000000" w:sz="4" w:space="0"/>
            </w:tcBorders>
          </w:tcPr>
          <w:p>
            <w:pPr>
              <w:pStyle w:val="24"/>
              <w:spacing w:line="252" w:lineRule="exact"/>
              <w:ind w:left="117"/>
              <w:rPr>
                <w:sz w:val="21"/>
                <w:lang w:val="en-US"/>
              </w:rPr>
            </w:pPr>
            <w:r>
              <w:rPr>
                <w:rFonts w:hint="eastAsia"/>
                <w:sz w:val="21"/>
                <w:lang w:val="en-US"/>
              </w:rPr>
              <w:t>有特定味道的粘性液体</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3" w:hRule="atLeast"/>
        </w:trPr>
        <w:tc>
          <w:tcPr>
            <w:tcW w:w="684" w:type="dxa"/>
            <w:vMerge w:val="continue"/>
            <w:tcBorders>
              <w:top w:val="nil"/>
              <w:bottom w:val="single" w:color="000000" w:sz="4" w:space="0"/>
              <w:right w:val="single" w:color="000000" w:sz="4" w:space="0"/>
            </w:tcBorders>
          </w:tcPr>
          <w:p>
            <w:pPr>
              <w:rPr>
                <w:sz w:val="2"/>
                <w:szCs w:val="2"/>
              </w:rPr>
            </w:pPr>
          </w:p>
        </w:tc>
        <w:tc>
          <w:tcPr>
            <w:tcW w:w="1962" w:type="dxa"/>
            <w:tcBorders>
              <w:top w:val="single" w:color="000000" w:sz="4" w:space="0"/>
              <w:left w:val="single" w:color="000000" w:sz="4" w:space="0"/>
              <w:bottom w:val="single" w:color="000000" w:sz="4" w:space="0"/>
              <w:right w:val="single" w:color="000000" w:sz="4" w:space="0"/>
            </w:tcBorders>
          </w:tcPr>
          <w:p>
            <w:pPr>
              <w:pStyle w:val="24"/>
              <w:spacing w:before="1" w:line="252" w:lineRule="exact"/>
              <w:ind w:left="117"/>
              <w:rPr>
                <w:sz w:val="21"/>
              </w:rPr>
            </w:pPr>
            <w:r>
              <w:rPr>
                <w:rFonts w:hint="eastAsia"/>
                <w:sz w:val="21"/>
              </w:rPr>
              <w:t>沸点</w:t>
            </w:r>
            <w:r>
              <w:rPr>
                <w:sz w:val="21"/>
              </w:rPr>
              <w:t>（</w:t>
            </w:r>
            <w:r>
              <w:rPr>
                <w:rFonts w:hint="eastAsia" w:ascii="宋体" w:hAnsi="宋体" w:eastAsia="宋体"/>
                <w:sz w:val="21"/>
              </w:rPr>
              <w:t>℃</w:t>
            </w:r>
            <w:r>
              <w:rPr>
                <w:sz w:val="21"/>
              </w:rPr>
              <w:t>）</w:t>
            </w:r>
          </w:p>
        </w:tc>
        <w:tc>
          <w:tcPr>
            <w:tcW w:w="3363" w:type="dxa"/>
            <w:gridSpan w:val="2"/>
            <w:tcBorders>
              <w:top w:val="single" w:color="000000" w:sz="4" w:space="0"/>
              <w:left w:val="single" w:color="000000" w:sz="4" w:space="0"/>
              <w:bottom w:val="single" w:color="000000" w:sz="4" w:space="0"/>
              <w:right w:val="single" w:color="000000" w:sz="4" w:space="0"/>
            </w:tcBorders>
          </w:tcPr>
          <w:p>
            <w:pPr>
              <w:pStyle w:val="24"/>
              <w:spacing w:before="14" w:line="238" w:lineRule="exact"/>
              <w:ind w:left="117"/>
              <w:rPr>
                <w:rFonts w:ascii="Times New Roman"/>
                <w:sz w:val="21"/>
                <w:lang w:val="en-US"/>
              </w:rPr>
            </w:pPr>
            <w:r>
              <w:rPr>
                <w:rFonts w:hint="eastAsia" w:ascii="Times New Roman"/>
                <w:sz w:val="21"/>
                <w:lang w:val="en-US"/>
              </w:rPr>
              <w:t>80-170</w:t>
            </w:r>
          </w:p>
        </w:tc>
        <w:tc>
          <w:tcPr>
            <w:tcW w:w="2487" w:type="dxa"/>
            <w:tcBorders>
              <w:top w:val="single" w:color="000000" w:sz="4" w:space="0"/>
              <w:left w:val="single" w:color="000000" w:sz="4" w:space="0"/>
              <w:bottom w:val="single" w:color="000000" w:sz="4" w:space="0"/>
              <w:right w:val="single" w:color="000000" w:sz="4" w:space="0"/>
            </w:tcBorders>
          </w:tcPr>
          <w:p>
            <w:pPr>
              <w:pStyle w:val="24"/>
              <w:spacing w:before="1" w:line="252" w:lineRule="exact"/>
              <w:ind w:left="118"/>
              <w:rPr>
                <w:sz w:val="21"/>
              </w:rPr>
            </w:pPr>
            <w:r>
              <w:rPr>
                <w:rFonts w:hint="eastAsia"/>
                <w:sz w:val="21"/>
              </w:rPr>
              <w:t>饱和蒸汽压（看</w:t>
            </w:r>
            <w:r>
              <w:rPr>
                <w:rFonts w:hint="eastAsia"/>
                <w:sz w:val="21"/>
                <w:lang w:val="en-US"/>
              </w:rPr>
              <w:t>Pa</w:t>
            </w:r>
            <w:r>
              <w:rPr>
                <w:rFonts w:hint="eastAsia"/>
                <w:sz w:val="21"/>
              </w:rPr>
              <w:t>）</w:t>
            </w:r>
          </w:p>
        </w:tc>
        <w:tc>
          <w:tcPr>
            <w:tcW w:w="1461" w:type="dxa"/>
            <w:tcBorders>
              <w:top w:val="single" w:color="000000" w:sz="4" w:space="0"/>
              <w:left w:val="single" w:color="000000" w:sz="4" w:space="0"/>
              <w:bottom w:val="single" w:color="000000" w:sz="4" w:space="0"/>
            </w:tcBorders>
          </w:tcPr>
          <w:p>
            <w:pPr>
              <w:pStyle w:val="24"/>
              <w:spacing w:before="1" w:line="252" w:lineRule="exact"/>
              <w:rPr>
                <w:rFonts w:ascii="Times New Roman" w:eastAsia="宋体"/>
                <w:sz w:val="21"/>
                <w:lang w:val="en-US"/>
              </w:rPr>
            </w:pPr>
            <w:r>
              <w:rPr>
                <w:rFonts w:hint="eastAsia" w:ascii="Times New Roman" w:eastAsia="宋体"/>
                <w:sz w:val="21"/>
                <w:lang w:val="en-US"/>
              </w:rPr>
              <w:t>33mmHg(TAP)</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1" w:hRule="atLeast"/>
        </w:trPr>
        <w:tc>
          <w:tcPr>
            <w:tcW w:w="684" w:type="dxa"/>
            <w:vMerge w:val="continue"/>
            <w:tcBorders>
              <w:top w:val="nil"/>
              <w:bottom w:val="single" w:color="000000" w:sz="4" w:space="0"/>
              <w:right w:val="single" w:color="000000" w:sz="4" w:space="0"/>
            </w:tcBorders>
          </w:tcPr>
          <w:p>
            <w:pPr>
              <w:rPr>
                <w:sz w:val="2"/>
                <w:szCs w:val="2"/>
              </w:rPr>
            </w:pPr>
          </w:p>
        </w:tc>
        <w:tc>
          <w:tcPr>
            <w:tcW w:w="1962" w:type="dxa"/>
            <w:tcBorders>
              <w:top w:val="single" w:color="000000" w:sz="4" w:space="0"/>
              <w:left w:val="single" w:color="000000" w:sz="4" w:space="0"/>
              <w:bottom w:val="single" w:color="000000" w:sz="4" w:space="0"/>
              <w:right w:val="single" w:color="000000" w:sz="4" w:space="0"/>
            </w:tcBorders>
          </w:tcPr>
          <w:p>
            <w:pPr>
              <w:pStyle w:val="24"/>
              <w:spacing w:before="1" w:line="251" w:lineRule="exact"/>
              <w:ind w:left="117" w:right="-29"/>
              <w:rPr>
                <w:sz w:val="21"/>
                <w:lang w:val="en-US"/>
              </w:rPr>
            </w:pPr>
            <w:r>
              <w:rPr>
                <w:rFonts w:hint="eastAsia"/>
                <w:sz w:val="21"/>
                <w:lang w:val="en-US"/>
              </w:rPr>
              <w:t>临界温度</w:t>
            </w:r>
          </w:p>
        </w:tc>
        <w:tc>
          <w:tcPr>
            <w:tcW w:w="3363" w:type="dxa"/>
            <w:gridSpan w:val="2"/>
            <w:tcBorders>
              <w:top w:val="single" w:color="000000" w:sz="4" w:space="0"/>
              <w:left w:val="single" w:color="000000" w:sz="4" w:space="0"/>
              <w:bottom w:val="single" w:color="000000" w:sz="4" w:space="0"/>
              <w:right w:val="single" w:color="000000" w:sz="4" w:space="0"/>
            </w:tcBorders>
          </w:tcPr>
          <w:p>
            <w:pPr>
              <w:pStyle w:val="24"/>
              <w:spacing w:before="15" w:line="237" w:lineRule="exact"/>
              <w:ind w:left="117" w:firstLine="420" w:firstLineChars="200"/>
              <w:rPr>
                <w:rFonts w:ascii="Times New Roman"/>
                <w:sz w:val="21"/>
                <w:lang w:val="en-US"/>
              </w:rPr>
            </w:pPr>
            <w:r>
              <w:rPr>
                <w:rFonts w:hint="eastAsia" w:ascii="Times New Roman"/>
                <w:sz w:val="21"/>
                <w:lang w:val="en-US"/>
              </w:rPr>
              <w:t>---</w:t>
            </w:r>
          </w:p>
        </w:tc>
        <w:tc>
          <w:tcPr>
            <w:tcW w:w="2487" w:type="dxa"/>
            <w:tcBorders>
              <w:top w:val="single" w:color="000000" w:sz="4" w:space="0"/>
              <w:left w:val="single" w:color="000000" w:sz="4" w:space="0"/>
              <w:bottom w:val="single" w:color="000000" w:sz="4" w:space="0"/>
              <w:right w:val="single" w:color="000000" w:sz="4" w:space="0"/>
            </w:tcBorders>
          </w:tcPr>
          <w:p>
            <w:pPr>
              <w:pStyle w:val="24"/>
              <w:spacing w:before="1" w:line="251" w:lineRule="exact"/>
              <w:ind w:left="118"/>
              <w:rPr>
                <w:sz w:val="21"/>
              </w:rPr>
            </w:pPr>
            <w:r>
              <w:rPr>
                <w:sz w:val="21"/>
              </w:rPr>
              <w:t>相对蒸气密度（空气</w:t>
            </w:r>
            <w:r>
              <w:rPr>
                <w:rFonts w:ascii="Times New Roman" w:eastAsia="Times New Roman"/>
                <w:sz w:val="21"/>
              </w:rPr>
              <w:t>=1</w:t>
            </w:r>
            <w:r>
              <w:rPr>
                <w:sz w:val="21"/>
              </w:rPr>
              <w:t>）</w:t>
            </w:r>
          </w:p>
        </w:tc>
        <w:tc>
          <w:tcPr>
            <w:tcW w:w="1461" w:type="dxa"/>
            <w:tcBorders>
              <w:top w:val="single" w:color="000000" w:sz="4" w:space="0"/>
              <w:left w:val="single" w:color="000000" w:sz="4" w:space="0"/>
              <w:bottom w:val="single" w:color="000000" w:sz="4" w:space="0"/>
            </w:tcBorders>
          </w:tcPr>
          <w:p>
            <w:pPr>
              <w:pStyle w:val="24"/>
              <w:spacing w:before="1" w:line="251" w:lineRule="exact"/>
              <w:ind w:left="118"/>
              <w:rPr>
                <w:sz w:val="21"/>
              </w:rPr>
            </w:pPr>
            <w:r>
              <w:rPr>
                <w:sz w:val="21"/>
              </w:rPr>
              <w:t>无资料</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684" w:type="dxa"/>
            <w:vMerge w:val="continue"/>
            <w:tcBorders>
              <w:top w:val="nil"/>
              <w:bottom w:val="single" w:color="000000" w:sz="4" w:space="0"/>
              <w:right w:val="single" w:color="000000" w:sz="4" w:space="0"/>
            </w:tcBorders>
          </w:tcPr>
          <w:p>
            <w:pPr>
              <w:rPr>
                <w:sz w:val="2"/>
                <w:szCs w:val="2"/>
              </w:rPr>
            </w:pPr>
          </w:p>
        </w:tc>
        <w:tc>
          <w:tcPr>
            <w:tcW w:w="1962" w:type="dxa"/>
            <w:tcBorders>
              <w:top w:val="single" w:color="000000" w:sz="4" w:space="0"/>
              <w:left w:val="single" w:color="000000" w:sz="4" w:space="0"/>
              <w:bottom w:val="single" w:color="000000" w:sz="4" w:space="0"/>
              <w:right w:val="single" w:color="000000" w:sz="4" w:space="0"/>
            </w:tcBorders>
          </w:tcPr>
          <w:p>
            <w:pPr>
              <w:pStyle w:val="24"/>
              <w:spacing w:line="252" w:lineRule="exact"/>
              <w:ind w:left="117" w:right="-29"/>
              <w:rPr>
                <w:sz w:val="21"/>
                <w:lang w:val="en-US"/>
              </w:rPr>
            </w:pPr>
            <w:r>
              <w:rPr>
                <w:spacing w:val="-2"/>
                <w:sz w:val="21"/>
              </w:rPr>
              <w:t>爆炸</w:t>
            </w:r>
            <w:r>
              <w:rPr>
                <w:rFonts w:hint="eastAsia"/>
                <w:spacing w:val="-2"/>
                <w:sz w:val="21"/>
              </w:rPr>
              <w:t>上</w:t>
            </w:r>
            <w:r>
              <w:rPr>
                <w:spacing w:val="-2"/>
                <w:sz w:val="21"/>
              </w:rPr>
              <w:t>限</w:t>
            </w:r>
            <w:r>
              <w:rPr>
                <w:sz w:val="21"/>
              </w:rPr>
              <w:t>（</w:t>
            </w:r>
            <w:r>
              <w:rPr>
                <w:rFonts w:ascii="Times New Roman" w:eastAsia="Times New Roman"/>
                <w:sz w:val="21"/>
              </w:rPr>
              <w:t>%</w:t>
            </w:r>
            <w:r>
              <w:rPr>
                <w:sz w:val="21"/>
              </w:rPr>
              <w:t>）</w:t>
            </w:r>
            <w:r>
              <w:rPr>
                <w:rFonts w:hint="eastAsia"/>
                <w:sz w:val="21"/>
                <w:lang w:val="en-US"/>
              </w:rPr>
              <w:t>V/V</w:t>
            </w:r>
          </w:p>
        </w:tc>
        <w:tc>
          <w:tcPr>
            <w:tcW w:w="3363" w:type="dxa"/>
            <w:gridSpan w:val="2"/>
            <w:tcBorders>
              <w:top w:val="single" w:color="000000" w:sz="4" w:space="0"/>
              <w:left w:val="single" w:color="000000" w:sz="4" w:space="0"/>
              <w:bottom w:val="single" w:color="000000" w:sz="4" w:space="0"/>
              <w:right w:val="single" w:color="000000" w:sz="4" w:space="0"/>
            </w:tcBorders>
          </w:tcPr>
          <w:p>
            <w:pPr>
              <w:pStyle w:val="24"/>
              <w:spacing w:line="252" w:lineRule="exact"/>
              <w:ind w:left="117"/>
              <w:rPr>
                <w:sz w:val="21"/>
              </w:rPr>
            </w:pPr>
            <w:r>
              <w:rPr>
                <w:sz w:val="21"/>
              </w:rPr>
              <w:t>无资料</w:t>
            </w:r>
          </w:p>
        </w:tc>
        <w:tc>
          <w:tcPr>
            <w:tcW w:w="2487" w:type="dxa"/>
            <w:tcBorders>
              <w:top w:val="single" w:color="000000" w:sz="4" w:space="0"/>
              <w:left w:val="single" w:color="000000" w:sz="4" w:space="0"/>
              <w:bottom w:val="single" w:color="000000" w:sz="4" w:space="0"/>
              <w:right w:val="single" w:color="000000" w:sz="4" w:space="0"/>
            </w:tcBorders>
          </w:tcPr>
          <w:p>
            <w:pPr>
              <w:pStyle w:val="24"/>
              <w:spacing w:line="252" w:lineRule="exact"/>
              <w:ind w:left="118"/>
              <w:rPr>
                <w:sz w:val="21"/>
              </w:rPr>
            </w:pPr>
            <w:r>
              <w:rPr>
                <w:rFonts w:hint="eastAsia"/>
                <w:sz w:val="21"/>
              </w:rPr>
              <w:t>闪点</w:t>
            </w:r>
            <w:r>
              <w:rPr>
                <w:sz w:val="21"/>
              </w:rPr>
              <w:t>（</w:t>
            </w:r>
            <w:r>
              <w:rPr>
                <w:rFonts w:hint="eastAsia" w:ascii="宋体" w:hAnsi="宋体" w:eastAsia="宋体"/>
                <w:sz w:val="21"/>
              </w:rPr>
              <w:t>℃</w:t>
            </w:r>
            <w:r>
              <w:rPr>
                <w:sz w:val="21"/>
              </w:rPr>
              <w:t>）</w:t>
            </w:r>
          </w:p>
        </w:tc>
        <w:tc>
          <w:tcPr>
            <w:tcW w:w="1461" w:type="dxa"/>
            <w:tcBorders>
              <w:top w:val="single" w:color="000000" w:sz="4" w:space="0"/>
              <w:left w:val="single" w:color="000000" w:sz="4" w:space="0"/>
              <w:bottom w:val="single" w:color="000000" w:sz="4" w:space="0"/>
            </w:tcBorders>
          </w:tcPr>
          <w:p>
            <w:pPr>
              <w:pStyle w:val="24"/>
              <w:spacing w:line="252" w:lineRule="exact"/>
              <w:ind w:left="118"/>
              <w:rPr>
                <w:sz w:val="21"/>
              </w:rPr>
            </w:pPr>
            <w:r>
              <w:rPr>
                <w:sz w:val="21"/>
              </w:rPr>
              <w:t>无资料</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684" w:type="dxa"/>
            <w:vMerge w:val="continue"/>
            <w:tcBorders>
              <w:top w:val="nil"/>
              <w:bottom w:val="single" w:color="000000" w:sz="4" w:space="0"/>
              <w:right w:val="single" w:color="000000" w:sz="4" w:space="0"/>
            </w:tcBorders>
          </w:tcPr>
          <w:p>
            <w:pPr>
              <w:rPr>
                <w:sz w:val="2"/>
                <w:szCs w:val="2"/>
              </w:rPr>
            </w:pPr>
          </w:p>
        </w:tc>
        <w:tc>
          <w:tcPr>
            <w:tcW w:w="1962" w:type="dxa"/>
            <w:tcBorders>
              <w:top w:val="single" w:color="000000" w:sz="4" w:space="0"/>
              <w:left w:val="single" w:color="000000" w:sz="4" w:space="0"/>
              <w:bottom w:val="single" w:color="000000" w:sz="4" w:space="0"/>
              <w:right w:val="single" w:color="000000" w:sz="4" w:space="0"/>
            </w:tcBorders>
          </w:tcPr>
          <w:p>
            <w:pPr>
              <w:pStyle w:val="24"/>
              <w:spacing w:before="1" w:line="252" w:lineRule="exact"/>
              <w:ind w:left="117"/>
              <w:rPr>
                <w:sz w:val="21"/>
              </w:rPr>
            </w:pPr>
            <w:r>
              <w:rPr>
                <w:rFonts w:hint="eastAsia"/>
                <w:sz w:val="21"/>
              </w:rPr>
              <w:t>溶解性</w:t>
            </w:r>
          </w:p>
        </w:tc>
        <w:tc>
          <w:tcPr>
            <w:tcW w:w="7311" w:type="dxa"/>
            <w:gridSpan w:val="4"/>
            <w:tcBorders>
              <w:top w:val="single" w:color="000000" w:sz="4" w:space="0"/>
              <w:left w:val="single" w:color="000000" w:sz="4" w:space="0"/>
              <w:bottom w:val="single" w:color="000000" w:sz="4" w:space="0"/>
            </w:tcBorders>
          </w:tcPr>
          <w:p>
            <w:pPr>
              <w:pStyle w:val="24"/>
              <w:spacing w:before="1" w:line="252" w:lineRule="exact"/>
              <w:ind w:left="117"/>
              <w:rPr>
                <w:sz w:val="21"/>
              </w:rPr>
            </w:pPr>
            <w:r>
              <w:rPr>
                <w:rFonts w:hint="eastAsia"/>
                <w:sz w:val="21"/>
              </w:rPr>
              <w:t>不容于水、可与醇、醚、丙酮等混溶</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6" w:hRule="atLeast"/>
        </w:trPr>
        <w:tc>
          <w:tcPr>
            <w:tcW w:w="684" w:type="dxa"/>
            <w:tcBorders>
              <w:top w:val="single" w:color="000000" w:sz="4" w:space="0"/>
              <w:right w:val="single" w:color="000000" w:sz="4" w:space="0"/>
            </w:tcBorders>
          </w:tcPr>
          <w:p>
            <w:pPr>
              <w:pStyle w:val="24"/>
              <w:spacing w:before="1"/>
              <w:ind w:left="131"/>
              <w:rPr>
                <w:spacing w:val="-1"/>
                <w:w w:val="95"/>
                <w:sz w:val="21"/>
              </w:rPr>
            </w:pPr>
          </w:p>
          <w:p>
            <w:pPr>
              <w:pStyle w:val="24"/>
              <w:spacing w:before="1"/>
              <w:ind w:left="131"/>
              <w:rPr>
                <w:sz w:val="21"/>
              </w:rPr>
            </w:pPr>
            <w:r>
              <w:rPr>
                <w:spacing w:val="-1"/>
                <w:w w:val="95"/>
                <w:sz w:val="21"/>
              </w:rPr>
              <w:t>危险</w:t>
            </w:r>
          </w:p>
          <w:p>
            <w:pPr>
              <w:pStyle w:val="24"/>
              <w:spacing w:before="2" w:line="253" w:lineRule="exact"/>
              <w:ind w:left="131"/>
              <w:rPr>
                <w:sz w:val="21"/>
              </w:rPr>
            </w:pPr>
            <w:r>
              <w:rPr>
                <w:spacing w:val="-1"/>
                <w:w w:val="95"/>
                <w:sz w:val="21"/>
              </w:rPr>
              <w:t>特性</w:t>
            </w:r>
          </w:p>
        </w:tc>
        <w:tc>
          <w:tcPr>
            <w:tcW w:w="9273" w:type="dxa"/>
            <w:gridSpan w:val="5"/>
            <w:tcBorders>
              <w:top w:val="single" w:color="000000" w:sz="4" w:space="0"/>
              <w:left w:val="single" w:color="000000" w:sz="4" w:space="0"/>
              <w:bottom w:val="single" w:color="000000" w:sz="4" w:space="0"/>
            </w:tcBorders>
          </w:tcPr>
          <w:p>
            <w:pPr>
              <w:pStyle w:val="24"/>
              <w:spacing w:before="1" w:line="252" w:lineRule="exact"/>
              <w:rPr>
                <w:sz w:val="21"/>
              </w:rPr>
            </w:pPr>
            <w:r>
              <w:rPr>
                <w:rFonts w:hint="eastAsia"/>
                <w:sz w:val="21"/>
              </w:rPr>
              <w:t>第</w:t>
            </w:r>
            <w:r>
              <w:rPr>
                <w:rFonts w:hint="eastAsia"/>
                <w:sz w:val="21"/>
                <w:lang w:val="en-US"/>
              </w:rPr>
              <w:t>3.3类高闪点易燃液体。吸入、食入、经皮吸收</w:t>
            </w:r>
            <w:r>
              <w:rPr>
                <w:rFonts w:hint="eastAsia"/>
                <w:sz w:val="21"/>
              </w:rPr>
              <w:t>长时间吸入，可能导致人昏睡与晕眩，可能造成神经中中枢神经之麻痹。该物质对环境有危害，在闪点或闪点以上温度时，泄露的液态或液体容易造成可燃性混合特，有燃烧爆炸危险。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7" w:hRule="atLeast"/>
        </w:trPr>
        <w:tc>
          <w:tcPr>
            <w:tcW w:w="684" w:type="dxa"/>
            <w:tcBorders>
              <w:top w:val="single" w:color="000000" w:sz="4" w:space="0"/>
              <w:bottom w:val="single" w:color="000000" w:sz="4" w:space="0"/>
              <w:right w:val="single" w:color="000000" w:sz="4" w:space="0"/>
            </w:tcBorders>
          </w:tcPr>
          <w:p>
            <w:pPr>
              <w:pStyle w:val="24"/>
              <w:spacing w:before="137" w:line="242" w:lineRule="auto"/>
              <w:ind w:left="131" w:right="112"/>
              <w:rPr>
                <w:sz w:val="21"/>
              </w:rPr>
            </w:pPr>
            <w:r>
              <w:rPr>
                <w:sz w:val="21"/>
              </w:rPr>
              <w:t>消防措施</w:t>
            </w:r>
          </w:p>
        </w:tc>
        <w:tc>
          <w:tcPr>
            <w:tcW w:w="9273" w:type="dxa"/>
            <w:gridSpan w:val="5"/>
            <w:tcBorders>
              <w:top w:val="single" w:color="000000" w:sz="4" w:space="0"/>
              <w:left w:val="single" w:color="000000" w:sz="4" w:space="0"/>
              <w:bottom w:val="single" w:color="000000" w:sz="4" w:space="0"/>
            </w:tcBorders>
          </w:tcPr>
          <w:p>
            <w:pPr>
              <w:pStyle w:val="24"/>
              <w:spacing w:before="1" w:line="252" w:lineRule="exact"/>
              <w:ind w:left="117"/>
              <w:rPr>
                <w:sz w:val="21"/>
                <w:lang w:val="en-US"/>
              </w:rPr>
            </w:pPr>
            <w:r>
              <w:rPr>
                <w:rFonts w:hint="eastAsia"/>
                <w:sz w:val="21"/>
              </w:rPr>
              <w:t>其蒸汽与空气形成爆炸性混合物，遇明火、高热能引起燃烧爆炸；与氧危险特性；其蒸汽与空气形成爆炸性混合物，遇明火、高热能引起燃烧爆炸与氧化剂能发生强烈反应；其蒸汽比空气重，能在较低处扩散到相当远的地方，遇火源引着回燃；若遇高热，容器内压增大，有开裂和爆炸的危险；流速过快，容易产生和积聚静电。产生有害燃烧产特</w:t>
            </w:r>
            <w:r>
              <w:rPr>
                <w:rFonts w:hint="eastAsia"/>
                <w:sz w:val="21"/>
                <w:lang w:val="en-US"/>
              </w:rPr>
              <w:t>CO.可使用泡沫、二氧化碳、干粉、砂土扑救，用水灭火无效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61" w:hRule="atLeast"/>
        </w:trPr>
        <w:tc>
          <w:tcPr>
            <w:tcW w:w="684" w:type="dxa"/>
            <w:tcBorders>
              <w:top w:val="single" w:color="000000" w:sz="4" w:space="0"/>
              <w:bottom w:val="single" w:color="000000" w:sz="4" w:space="0"/>
              <w:right w:val="single" w:color="000000" w:sz="4" w:space="0"/>
            </w:tcBorders>
          </w:tcPr>
          <w:p>
            <w:pPr>
              <w:pStyle w:val="24"/>
              <w:rPr>
                <w:b/>
                <w:sz w:val="20"/>
              </w:rPr>
            </w:pPr>
          </w:p>
          <w:p>
            <w:pPr>
              <w:pStyle w:val="24"/>
              <w:spacing w:before="150" w:line="244" w:lineRule="auto"/>
              <w:ind w:left="131" w:right="112"/>
              <w:rPr>
                <w:sz w:val="21"/>
              </w:rPr>
            </w:pPr>
            <w:r>
              <w:rPr>
                <w:sz w:val="21"/>
              </w:rPr>
              <w:t>急救措施</w:t>
            </w:r>
          </w:p>
        </w:tc>
        <w:tc>
          <w:tcPr>
            <w:tcW w:w="9273" w:type="dxa"/>
            <w:gridSpan w:val="5"/>
            <w:tcBorders>
              <w:top w:val="single" w:color="000000" w:sz="4" w:space="0"/>
              <w:left w:val="single" w:color="000000" w:sz="4" w:space="0"/>
              <w:bottom w:val="single" w:color="000000" w:sz="4" w:space="0"/>
            </w:tcBorders>
          </w:tcPr>
          <w:p>
            <w:pPr>
              <w:pStyle w:val="24"/>
              <w:spacing w:line="244" w:lineRule="auto"/>
              <w:ind w:left="117" w:right="3675"/>
              <w:rPr>
                <w:sz w:val="21"/>
              </w:rPr>
            </w:pPr>
            <w:r>
              <w:rPr>
                <w:w w:val="95"/>
                <w:sz w:val="21"/>
              </w:rPr>
              <w:t>皮肤接触：脱去污染的衣着，用大量流动清水冲洗。就医。 眼睛接触：提起眼睑，用流动清水或生理盐水冲洗</w:t>
            </w:r>
            <w:r>
              <w:rPr>
                <w:rFonts w:hint="eastAsia"/>
                <w:w w:val="95"/>
                <w:sz w:val="21"/>
              </w:rPr>
              <w:t>至少</w:t>
            </w:r>
            <w:r>
              <w:rPr>
                <w:rFonts w:hint="eastAsia"/>
                <w:w w:val="95"/>
                <w:sz w:val="21"/>
                <w:lang w:val="en-US"/>
              </w:rPr>
              <w:t>15稍</w:t>
            </w:r>
            <w:r>
              <w:rPr>
                <w:w w:val="95"/>
                <w:sz w:val="21"/>
              </w:rPr>
              <w:t>。</w:t>
            </w:r>
            <w:r>
              <w:rPr>
                <w:rFonts w:hint="eastAsia"/>
                <w:w w:val="95"/>
                <w:sz w:val="21"/>
              </w:rPr>
              <w:t>就医</w:t>
            </w:r>
          </w:p>
          <w:p>
            <w:pPr>
              <w:pStyle w:val="24"/>
              <w:spacing w:line="244" w:lineRule="auto"/>
              <w:ind w:left="117" w:right="78"/>
              <w:rPr>
                <w:sz w:val="21"/>
              </w:rPr>
            </w:pPr>
            <w:r>
              <w:rPr>
                <w:sz w:val="21"/>
              </w:rPr>
              <w:t>吸入：</w:t>
            </w:r>
            <w:r>
              <w:rPr>
                <w:rFonts w:hint="eastAsia"/>
                <w:sz w:val="21"/>
              </w:rPr>
              <w:t>生产时若将其吸入呼吸器官司内时，请接受医生的治疗</w:t>
            </w:r>
            <w:r>
              <w:rPr>
                <w:sz w:val="21"/>
              </w:rPr>
              <w:t>。</w:t>
            </w:r>
          </w:p>
          <w:p>
            <w:pPr>
              <w:pStyle w:val="24"/>
              <w:spacing w:line="248" w:lineRule="exact"/>
              <w:ind w:left="117"/>
              <w:rPr>
                <w:sz w:val="21"/>
              </w:rPr>
            </w:pPr>
            <w:r>
              <w:rPr>
                <w:sz w:val="21"/>
              </w:rPr>
              <w:t>食入：饮足量温水，催吐。就医。</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684" w:type="dxa"/>
            <w:tcBorders>
              <w:top w:val="single" w:color="000000" w:sz="4" w:space="0"/>
              <w:bottom w:val="single" w:color="000000" w:sz="4" w:space="0"/>
              <w:right w:val="single" w:color="000000" w:sz="4" w:space="0"/>
            </w:tcBorders>
          </w:tcPr>
          <w:p>
            <w:pPr>
              <w:pStyle w:val="24"/>
              <w:spacing w:before="137" w:line="242" w:lineRule="auto"/>
              <w:ind w:left="131" w:right="112"/>
              <w:rPr>
                <w:sz w:val="21"/>
              </w:rPr>
            </w:pPr>
            <w:r>
              <w:rPr>
                <w:sz w:val="21"/>
              </w:rPr>
              <w:t>个体防护</w:t>
            </w:r>
          </w:p>
        </w:tc>
        <w:tc>
          <w:tcPr>
            <w:tcW w:w="9273" w:type="dxa"/>
            <w:gridSpan w:val="5"/>
            <w:tcBorders>
              <w:top w:val="single" w:color="000000" w:sz="4" w:space="0"/>
              <w:left w:val="single" w:color="000000" w:sz="4" w:space="0"/>
              <w:bottom w:val="single" w:color="000000" w:sz="4" w:space="0"/>
            </w:tcBorders>
          </w:tcPr>
          <w:p>
            <w:pPr>
              <w:pStyle w:val="24"/>
              <w:spacing w:line="242" w:lineRule="auto"/>
              <w:ind w:left="117" w:right="78"/>
              <w:rPr>
                <w:sz w:val="21"/>
              </w:rPr>
            </w:pPr>
            <w:r>
              <w:rPr>
                <w:sz w:val="21"/>
              </w:rPr>
              <w:t>空气中浓度超标时，必须佩戴自吸过滤式防毒面具（半面罩）。紧急事态抢救或撤离时，应该佩戴空气呼吸器。戴化学安全防护眼镜。穿防毒物渗透工作服。戴橡胶耐油手套。工作现场严禁吸烟。</w:t>
            </w:r>
          </w:p>
          <w:p>
            <w:pPr>
              <w:pStyle w:val="24"/>
              <w:spacing w:before="2" w:line="251" w:lineRule="exact"/>
              <w:ind w:left="117"/>
              <w:rPr>
                <w:sz w:val="21"/>
              </w:rPr>
            </w:pPr>
            <w:r>
              <w:rPr>
                <w:sz w:val="21"/>
              </w:rPr>
              <w:t>避免长期反复接触。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90" w:hRule="atLeast"/>
        </w:trPr>
        <w:tc>
          <w:tcPr>
            <w:tcW w:w="684" w:type="dxa"/>
            <w:tcBorders>
              <w:top w:val="single" w:color="000000" w:sz="4" w:space="0"/>
              <w:bottom w:val="single" w:color="000000" w:sz="4" w:space="0"/>
              <w:right w:val="single" w:color="000000" w:sz="4" w:space="0"/>
            </w:tcBorders>
          </w:tcPr>
          <w:p>
            <w:pPr>
              <w:pStyle w:val="24"/>
              <w:spacing w:before="3"/>
              <w:rPr>
                <w:b/>
                <w:sz w:val="21"/>
              </w:rPr>
            </w:pPr>
          </w:p>
          <w:p>
            <w:pPr>
              <w:pStyle w:val="24"/>
              <w:spacing w:before="1" w:line="242" w:lineRule="auto"/>
              <w:ind w:left="131" w:right="112"/>
              <w:rPr>
                <w:sz w:val="21"/>
              </w:rPr>
            </w:pPr>
            <w:r>
              <w:rPr>
                <w:sz w:val="21"/>
              </w:rPr>
              <w:t>泄漏处理</w:t>
            </w:r>
          </w:p>
        </w:tc>
        <w:tc>
          <w:tcPr>
            <w:tcW w:w="9273" w:type="dxa"/>
            <w:gridSpan w:val="5"/>
            <w:tcBorders>
              <w:top w:val="single" w:color="000000" w:sz="4" w:space="0"/>
              <w:left w:val="single" w:color="000000" w:sz="4" w:space="0"/>
              <w:bottom w:val="single" w:color="000000" w:sz="4" w:space="0"/>
            </w:tcBorders>
          </w:tcPr>
          <w:p>
            <w:pPr>
              <w:pStyle w:val="24"/>
              <w:spacing w:before="1" w:line="252" w:lineRule="exact"/>
              <w:ind w:left="117"/>
              <w:rPr>
                <w:sz w:val="21"/>
              </w:rPr>
            </w:pPr>
            <w:r>
              <w:rPr>
                <w:rFonts w:hint="eastAsia"/>
                <w:sz w:val="21"/>
              </w:rPr>
              <w:t>空气中浓度超标时，建议佩戴过滤式防毒面具（半面罩）；紧急事态抢救或撤离时，应该佩戴空气呼吸器或氧气呼吸器。眼睛防护可戴化学安全防护眼镜。身体防护可以空防毒特渗透工作服。手戴橡胶耐油手套。基他防护工作现场禁止吸烟、进食和饮水；工作前避免饮用酒精性饮料；工作后，沐浴更有；进行就业前和定期体检。</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62" w:hRule="atLeast"/>
        </w:trPr>
        <w:tc>
          <w:tcPr>
            <w:tcW w:w="684" w:type="dxa"/>
            <w:tcBorders>
              <w:top w:val="single" w:color="000000" w:sz="4" w:space="0"/>
              <w:bottom w:val="single" w:color="000000" w:sz="4" w:space="0"/>
              <w:right w:val="single" w:color="000000" w:sz="4" w:space="0"/>
            </w:tcBorders>
          </w:tcPr>
          <w:p>
            <w:pPr>
              <w:pStyle w:val="24"/>
              <w:rPr>
                <w:b/>
                <w:sz w:val="20"/>
              </w:rPr>
            </w:pPr>
          </w:p>
          <w:p>
            <w:pPr>
              <w:pStyle w:val="24"/>
              <w:spacing w:before="152" w:line="242" w:lineRule="auto"/>
              <w:ind w:left="131" w:right="112"/>
              <w:rPr>
                <w:sz w:val="21"/>
              </w:rPr>
            </w:pPr>
            <w:r>
              <w:rPr>
                <w:sz w:val="21"/>
              </w:rPr>
              <w:t>操作处置</w:t>
            </w:r>
          </w:p>
        </w:tc>
        <w:tc>
          <w:tcPr>
            <w:tcW w:w="9273" w:type="dxa"/>
            <w:gridSpan w:val="5"/>
            <w:tcBorders>
              <w:top w:val="single" w:color="000000" w:sz="4" w:space="0"/>
              <w:left w:val="single" w:color="000000" w:sz="4" w:space="0"/>
              <w:bottom w:val="single" w:color="000000" w:sz="4" w:space="0"/>
            </w:tcBorders>
          </w:tcPr>
          <w:p>
            <w:pPr>
              <w:pStyle w:val="24"/>
              <w:spacing w:before="1" w:line="242" w:lineRule="auto"/>
              <w:ind w:left="117" w:right="78"/>
              <w:jc w:val="both"/>
              <w:rPr>
                <w:sz w:val="21"/>
              </w:rPr>
            </w:pPr>
            <w:r>
              <w:rPr>
                <w:sz w:val="21"/>
              </w:rPr>
              <w:t>密闭操作，注意通风。操作人员必须经过专门培训，严格遵守操作规程。建议操作人员佩戴自吸过滤式防毒面具（半面罩），戴化学安全防护眼镜，穿防毒物渗透工作服，戴橡胶耐油手套。远离火种、热源，工作场所严禁吸烟。使用防爆型的通风系统和设备。防止蒸气泄漏到工作场所空气中。避免与氧化剂接触。搬运时要轻装轻卸，防止包装及容器损坏。配备相应品种和数量的消防器材及</w:t>
            </w:r>
          </w:p>
          <w:p>
            <w:pPr>
              <w:pStyle w:val="24"/>
              <w:spacing w:line="254" w:lineRule="exact"/>
              <w:ind w:left="117"/>
              <w:rPr>
                <w:sz w:val="21"/>
              </w:rPr>
            </w:pPr>
            <w:r>
              <w:rPr>
                <w:sz w:val="21"/>
              </w:rPr>
              <w:t>泄漏应急处理设备。倒空的容器可能残留有害物。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88" w:hRule="atLeast"/>
        </w:trPr>
        <w:tc>
          <w:tcPr>
            <w:tcW w:w="684" w:type="dxa"/>
            <w:tcBorders>
              <w:top w:val="single" w:color="000000" w:sz="4" w:space="0"/>
              <w:right w:val="single" w:color="000000" w:sz="4" w:space="0"/>
            </w:tcBorders>
          </w:tcPr>
          <w:p>
            <w:pPr>
              <w:pStyle w:val="24"/>
              <w:spacing w:before="3"/>
              <w:rPr>
                <w:b/>
                <w:sz w:val="21"/>
              </w:rPr>
            </w:pPr>
          </w:p>
          <w:p>
            <w:pPr>
              <w:pStyle w:val="24"/>
              <w:spacing w:before="1" w:line="242" w:lineRule="auto"/>
              <w:ind w:left="131" w:right="112"/>
              <w:rPr>
                <w:sz w:val="21"/>
              </w:rPr>
            </w:pPr>
            <w:r>
              <w:rPr>
                <w:sz w:val="21"/>
              </w:rPr>
              <w:t>储存运输</w:t>
            </w:r>
          </w:p>
        </w:tc>
        <w:tc>
          <w:tcPr>
            <w:tcW w:w="9273" w:type="dxa"/>
            <w:gridSpan w:val="5"/>
            <w:tcBorders>
              <w:top w:val="single" w:color="000000" w:sz="4" w:space="0"/>
              <w:left w:val="single" w:color="000000" w:sz="4" w:space="0"/>
            </w:tcBorders>
          </w:tcPr>
          <w:p>
            <w:pPr>
              <w:pStyle w:val="24"/>
              <w:spacing w:line="242" w:lineRule="auto"/>
              <w:ind w:left="117" w:right="78"/>
              <w:jc w:val="both"/>
              <w:rPr>
                <w:sz w:val="21"/>
              </w:rPr>
            </w:pPr>
            <w:r>
              <w:rPr>
                <w:sz w:val="21"/>
              </w:rPr>
              <w:t>运输前应先检查包装容器是否完整、密封，运输过程中要确保容器不泄漏、不倒塌、不坠落、不损坏。严禁与氧化剂、食用化学品等混装混运。运输车船必须彻底清洗、消毒，否则不得装运其它物品。船运时，配装位置应远离卧室、厨房，并与机舱、电源、火源等部位隔离。公路运输时要按规</w:t>
            </w:r>
          </w:p>
          <w:p>
            <w:pPr>
              <w:pStyle w:val="24"/>
              <w:spacing w:before="2" w:line="251" w:lineRule="exact"/>
              <w:ind w:left="117"/>
              <w:rPr>
                <w:sz w:val="21"/>
              </w:rPr>
            </w:pPr>
            <w:r>
              <w:rPr>
                <w:sz w:val="21"/>
              </w:rPr>
              <w:t>定路线行驶。</w:t>
            </w:r>
          </w:p>
        </w:tc>
      </w:tr>
    </w:tbl>
    <w:p>
      <w:pPr>
        <w:spacing w:line="251" w:lineRule="exact"/>
        <w:rPr>
          <w:sz w:val="21"/>
        </w:rPr>
        <w:sectPr>
          <w:pgSz w:w="11910" w:h="16840"/>
          <w:pgMar w:top="1360" w:right="839" w:bottom="1180" w:left="840" w:header="882" w:footer="993" w:gutter="0"/>
          <w:cols w:space="720" w:num="1"/>
        </w:sectPr>
      </w:pPr>
    </w:p>
    <w:p>
      <w:pPr>
        <w:spacing w:before="4"/>
        <w:ind w:right="17"/>
        <w:jc w:val="center"/>
        <w:rPr>
          <w:b/>
          <w:sz w:val="24"/>
        </w:rPr>
      </w:pPr>
      <w:r>
        <w:rPr>
          <w:rFonts w:hint="eastAsia"/>
          <w:sz w:val="21"/>
        </w:rPr>
        <w:t>乙烯</w:t>
      </w:r>
      <w:r>
        <w:rPr>
          <w:rFonts w:hint="eastAsia"/>
          <w:sz w:val="21"/>
          <w:lang w:val="en-US"/>
        </w:rPr>
        <w:t>-</w:t>
      </w:r>
      <w:r>
        <w:rPr>
          <w:rFonts w:hint="eastAsia"/>
          <w:sz w:val="21"/>
        </w:rPr>
        <w:t>醋酸乙烯共聚物</w:t>
      </w:r>
      <w:r>
        <w:rPr>
          <w:rFonts w:hint="eastAsia"/>
          <w:sz w:val="21"/>
          <w:lang w:val="en-US"/>
        </w:rPr>
        <w:t>(EVA)</w:t>
      </w:r>
    </w:p>
    <w:p>
      <w:pPr>
        <w:pStyle w:val="10"/>
        <w:spacing w:before="3"/>
        <w:rPr>
          <w:b/>
          <w:sz w:val="12"/>
        </w:rPr>
      </w:pPr>
    </w:p>
    <w:tbl>
      <w:tblPr>
        <w:tblStyle w:val="15"/>
        <w:tblW w:w="0" w:type="auto"/>
        <w:tblInd w:w="36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76"/>
        <w:gridCol w:w="2904"/>
        <w:gridCol w:w="2296"/>
        <w:gridCol w:w="406"/>
        <w:gridCol w:w="1867"/>
        <w:gridCol w:w="179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5" w:hRule="atLeast"/>
        </w:trPr>
        <w:tc>
          <w:tcPr>
            <w:tcW w:w="676" w:type="dxa"/>
            <w:vMerge w:val="restart"/>
            <w:tcBorders>
              <w:bottom w:val="single" w:color="000000" w:sz="4" w:space="0"/>
              <w:right w:val="single" w:color="000000" w:sz="4" w:space="0"/>
            </w:tcBorders>
            <w:vAlign w:val="center"/>
          </w:tcPr>
          <w:p>
            <w:pPr>
              <w:adjustRightInd w:val="0"/>
              <w:jc w:val="center"/>
              <w:rPr>
                <w:sz w:val="21"/>
              </w:rPr>
            </w:pPr>
            <w:r>
              <w:rPr>
                <w:b/>
                <w:sz w:val="21"/>
                <w:szCs w:val="21"/>
              </w:rPr>
              <w:t>标 识</w:t>
            </w:r>
          </w:p>
        </w:tc>
        <w:tc>
          <w:tcPr>
            <w:tcW w:w="5200" w:type="dxa"/>
            <w:gridSpan w:val="2"/>
            <w:tcBorders>
              <w:left w:val="single" w:color="000000" w:sz="4" w:space="0"/>
              <w:bottom w:val="single" w:color="000000" w:sz="4" w:space="0"/>
              <w:right w:val="single" w:color="000000" w:sz="4" w:space="0"/>
            </w:tcBorders>
          </w:tcPr>
          <w:p>
            <w:pPr>
              <w:rPr>
                <w:sz w:val="21"/>
              </w:rPr>
            </w:pPr>
            <w:r>
              <w:rPr>
                <w:rFonts w:hint="eastAsia"/>
                <w:sz w:val="21"/>
                <w:szCs w:val="21"/>
              </w:rPr>
              <w:t>中文名：乙酸乙烯酯；乙酸乙烯、醋酸乙烯酯</w:t>
            </w:r>
          </w:p>
        </w:tc>
        <w:tc>
          <w:tcPr>
            <w:tcW w:w="4071" w:type="dxa"/>
            <w:gridSpan w:val="3"/>
            <w:tcBorders>
              <w:left w:val="single" w:color="000000" w:sz="4" w:space="0"/>
              <w:bottom w:val="single" w:color="000000" w:sz="4" w:space="0"/>
            </w:tcBorders>
          </w:tcPr>
          <w:p>
            <w:pPr>
              <w:rPr>
                <w:rFonts w:ascii="Times New Roman"/>
                <w:sz w:val="21"/>
                <w:lang w:val="en-US"/>
              </w:rPr>
            </w:pPr>
            <w:r>
              <w:rPr>
                <w:rFonts w:hint="eastAsia"/>
                <w:sz w:val="21"/>
                <w:szCs w:val="21"/>
              </w:rPr>
              <w:t>英文名</w:t>
            </w:r>
            <w:r>
              <w:rPr>
                <w:rFonts w:hint="eastAsia"/>
                <w:sz w:val="21"/>
                <w:szCs w:val="21"/>
                <w:lang w:val="en-GB"/>
              </w:rPr>
              <w:t>：</w:t>
            </w:r>
            <w:r>
              <w:rPr>
                <w:rFonts w:hint="eastAsia"/>
                <w:sz w:val="21"/>
                <w:szCs w:val="21"/>
                <w:lang w:val="en-US"/>
              </w:rPr>
              <w:t>vinyl acetate;ethenyl ethanoate</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76" w:type="dxa"/>
            <w:vMerge w:val="continue"/>
            <w:tcBorders>
              <w:top w:val="single" w:color="000000" w:sz="4" w:space="0"/>
              <w:bottom w:val="single" w:color="000000" w:sz="4" w:space="0"/>
              <w:right w:val="single" w:color="000000" w:sz="4" w:space="0"/>
            </w:tcBorders>
            <w:vAlign w:val="center"/>
          </w:tcPr>
          <w:p>
            <w:pPr>
              <w:adjustRightInd w:val="0"/>
              <w:jc w:val="center"/>
              <w:rPr>
                <w:sz w:val="21"/>
                <w:lang w:val="en-US"/>
              </w:rPr>
            </w:pPr>
          </w:p>
        </w:tc>
        <w:tc>
          <w:tcPr>
            <w:tcW w:w="5200" w:type="dxa"/>
            <w:gridSpan w:val="2"/>
            <w:tcBorders>
              <w:top w:val="single" w:color="000000" w:sz="4" w:space="0"/>
              <w:left w:val="single" w:color="000000" w:sz="4" w:space="0"/>
              <w:bottom w:val="single" w:color="000000" w:sz="4" w:space="0"/>
              <w:right w:val="single" w:color="000000" w:sz="4" w:space="0"/>
            </w:tcBorders>
            <w:vAlign w:val="center"/>
          </w:tcPr>
          <w:p>
            <w:pPr>
              <w:rPr>
                <w:sz w:val="21"/>
              </w:rPr>
            </w:pPr>
            <w:r>
              <w:rPr>
                <w:rFonts w:hint="eastAsia"/>
                <w:sz w:val="21"/>
                <w:szCs w:val="21"/>
              </w:rPr>
              <w:t>分子式：</w:t>
            </w:r>
            <w:r>
              <w:rPr>
                <w:sz w:val="21"/>
                <w:szCs w:val="21"/>
                <w:lang w:val="en-GB"/>
              </w:rPr>
              <w:t>C</w:t>
            </w:r>
            <w:r>
              <w:rPr>
                <w:rFonts w:hint="eastAsia"/>
                <w:sz w:val="21"/>
                <w:szCs w:val="21"/>
                <w:vertAlign w:val="subscript"/>
                <w:lang w:val="en-GB"/>
              </w:rPr>
              <w:t>4</w:t>
            </w:r>
            <w:r>
              <w:rPr>
                <w:sz w:val="21"/>
                <w:szCs w:val="21"/>
                <w:lang w:val="en-GB"/>
              </w:rPr>
              <w:t>H</w:t>
            </w:r>
            <w:r>
              <w:rPr>
                <w:rFonts w:hint="eastAsia"/>
                <w:sz w:val="21"/>
                <w:szCs w:val="21"/>
                <w:vertAlign w:val="subscript"/>
                <w:lang w:val="en-GB"/>
              </w:rPr>
              <w:t>6</w:t>
            </w:r>
            <w:r>
              <w:rPr>
                <w:rFonts w:hint="eastAsia"/>
                <w:sz w:val="21"/>
                <w:szCs w:val="21"/>
                <w:lang w:val="en-GB"/>
              </w:rPr>
              <w:t>O</w:t>
            </w:r>
            <w:r>
              <w:rPr>
                <w:rFonts w:hint="eastAsia"/>
                <w:sz w:val="21"/>
                <w:szCs w:val="21"/>
                <w:vertAlign w:val="subscript"/>
                <w:lang w:val="en-GB"/>
              </w:rPr>
              <w:t>2</w:t>
            </w:r>
          </w:p>
        </w:tc>
        <w:tc>
          <w:tcPr>
            <w:tcW w:w="2273" w:type="dxa"/>
            <w:gridSpan w:val="2"/>
            <w:tcBorders>
              <w:top w:val="single" w:color="000000" w:sz="4" w:space="0"/>
              <w:left w:val="single" w:color="000000" w:sz="4" w:space="0"/>
              <w:bottom w:val="single" w:color="000000" w:sz="4" w:space="0"/>
            </w:tcBorders>
          </w:tcPr>
          <w:p>
            <w:pPr>
              <w:rPr>
                <w:sz w:val="21"/>
              </w:rPr>
            </w:pPr>
            <w:r>
              <w:rPr>
                <w:rFonts w:hint="eastAsia"/>
                <w:sz w:val="21"/>
                <w:szCs w:val="21"/>
              </w:rPr>
              <w:t>相对分子质量：86.1</w:t>
            </w:r>
          </w:p>
        </w:tc>
        <w:tc>
          <w:tcPr>
            <w:tcW w:w="1798" w:type="dxa"/>
            <w:tcBorders>
              <w:top w:val="single" w:color="000000" w:sz="4" w:space="0"/>
              <w:left w:val="single" w:color="000000" w:sz="4" w:space="0"/>
              <w:bottom w:val="single" w:color="000000" w:sz="4" w:space="0"/>
            </w:tcBorders>
          </w:tcPr>
          <w:p>
            <w:pPr>
              <w:adjustRightInd w:val="0"/>
            </w:pPr>
            <w:r>
              <w:rPr>
                <w:sz w:val="21"/>
                <w:szCs w:val="21"/>
              </w:rPr>
              <w:t>UN编号：</w:t>
            </w:r>
            <w:r>
              <w:rPr>
                <w:rFonts w:hint="eastAsia"/>
                <w:sz w:val="21"/>
                <w:szCs w:val="21"/>
              </w:rPr>
              <w:t>1301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76" w:type="dxa"/>
            <w:vMerge w:val="continue"/>
            <w:tcBorders>
              <w:top w:val="nil"/>
              <w:bottom w:val="single" w:color="000000" w:sz="4" w:space="0"/>
              <w:right w:val="single" w:color="000000" w:sz="4" w:space="0"/>
            </w:tcBorders>
            <w:vAlign w:val="center"/>
          </w:tcPr>
          <w:p>
            <w:pPr>
              <w:adjustRightInd w:val="0"/>
              <w:jc w:val="center"/>
              <w:rPr>
                <w:sz w:val="2"/>
                <w:szCs w:val="2"/>
              </w:rPr>
            </w:pPr>
          </w:p>
        </w:tc>
        <w:tc>
          <w:tcPr>
            <w:tcW w:w="5200" w:type="dxa"/>
            <w:gridSpan w:val="2"/>
            <w:tcBorders>
              <w:top w:val="single" w:color="000000" w:sz="4" w:space="0"/>
              <w:left w:val="single" w:color="000000" w:sz="4" w:space="0"/>
              <w:bottom w:val="single" w:color="000000" w:sz="4" w:space="0"/>
              <w:right w:val="single" w:color="000000" w:sz="4" w:space="0"/>
            </w:tcBorders>
          </w:tcPr>
          <w:p>
            <w:pPr>
              <w:spacing w:before="12" w:beforeLines="5" w:after="12" w:afterLines="5"/>
              <w:rPr>
                <w:sz w:val="21"/>
              </w:rPr>
            </w:pPr>
            <w:r>
              <w:rPr>
                <w:rFonts w:hint="eastAsia"/>
                <w:sz w:val="21"/>
                <w:szCs w:val="21"/>
              </w:rPr>
              <w:t>危险性类别：第3</w:t>
            </w:r>
            <w:r>
              <w:rPr>
                <w:sz w:val="21"/>
                <w:szCs w:val="21"/>
              </w:rPr>
              <w:t>.</w:t>
            </w:r>
            <w:r>
              <w:rPr>
                <w:rFonts w:hint="eastAsia"/>
                <w:sz w:val="21"/>
                <w:szCs w:val="21"/>
              </w:rPr>
              <w:t>2类 中闪点液体</w:t>
            </w:r>
          </w:p>
        </w:tc>
        <w:tc>
          <w:tcPr>
            <w:tcW w:w="2273" w:type="dxa"/>
            <w:gridSpan w:val="2"/>
            <w:tcBorders>
              <w:top w:val="single" w:color="000000" w:sz="4" w:space="0"/>
              <w:left w:val="single" w:color="000000" w:sz="4" w:space="0"/>
              <w:bottom w:val="single" w:color="000000" w:sz="4" w:space="0"/>
            </w:tcBorders>
          </w:tcPr>
          <w:p>
            <w:pPr>
              <w:rPr>
                <w:sz w:val="21"/>
              </w:rPr>
            </w:pPr>
            <w:r>
              <w:rPr>
                <w:sz w:val="21"/>
                <w:szCs w:val="21"/>
              </w:rPr>
              <w:t>CAS</w:t>
            </w:r>
            <w:r>
              <w:rPr>
                <w:rFonts w:hint="eastAsia"/>
                <w:sz w:val="21"/>
                <w:szCs w:val="21"/>
              </w:rPr>
              <w:t>号：</w:t>
            </w:r>
            <w:r>
              <w:rPr>
                <w:rFonts w:hint="eastAsia" w:eastAsia="新宋体"/>
                <w:sz w:val="21"/>
                <w:szCs w:val="21"/>
              </w:rPr>
              <w:t>108-05-4</w:t>
            </w:r>
          </w:p>
        </w:tc>
        <w:tc>
          <w:tcPr>
            <w:tcW w:w="1798" w:type="dxa"/>
            <w:tcBorders>
              <w:top w:val="single" w:color="000000" w:sz="4" w:space="0"/>
              <w:left w:val="single" w:color="000000" w:sz="4" w:space="0"/>
              <w:bottom w:val="single" w:color="000000" w:sz="4" w:space="0"/>
            </w:tcBorders>
          </w:tcPr>
          <w:p>
            <w:pPr>
              <w:adjustRightInd w:val="0"/>
            </w:pPr>
            <w:r>
              <w:rPr>
                <w:sz w:val="21"/>
                <w:szCs w:val="21"/>
              </w:rPr>
              <w:t>危规号：</w:t>
            </w:r>
            <w:r>
              <w:rPr>
                <w:rFonts w:hint="eastAsia"/>
                <w:sz w:val="21"/>
                <w:szCs w:val="21"/>
              </w:rPr>
              <w:t>32131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76" w:type="dxa"/>
            <w:vMerge w:val="restart"/>
            <w:tcBorders>
              <w:top w:val="nil"/>
              <w:bottom w:val="single" w:color="000000" w:sz="4" w:space="0"/>
              <w:right w:val="single" w:color="000000" w:sz="4" w:space="0"/>
            </w:tcBorders>
            <w:vAlign w:val="center"/>
          </w:tcPr>
          <w:p>
            <w:pPr>
              <w:adjustRightInd w:val="0"/>
              <w:jc w:val="center"/>
              <w:rPr>
                <w:b/>
                <w:sz w:val="21"/>
                <w:szCs w:val="21"/>
              </w:rPr>
            </w:pPr>
            <w:r>
              <w:rPr>
                <w:b/>
                <w:sz w:val="21"/>
                <w:szCs w:val="21"/>
              </w:rPr>
              <w:t>理</w:t>
            </w:r>
          </w:p>
          <w:p>
            <w:pPr>
              <w:adjustRightInd w:val="0"/>
              <w:jc w:val="center"/>
              <w:rPr>
                <w:b/>
                <w:sz w:val="21"/>
                <w:szCs w:val="21"/>
              </w:rPr>
            </w:pPr>
            <w:r>
              <w:rPr>
                <w:b/>
                <w:sz w:val="21"/>
                <w:szCs w:val="21"/>
              </w:rPr>
              <w:t xml:space="preserve">化 </w:t>
            </w:r>
            <w:r>
              <w:rPr>
                <w:rFonts w:hint="eastAsia"/>
                <w:b/>
                <w:sz w:val="21"/>
                <w:szCs w:val="21"/>
              </w:rPr>
              <w:t>性</w:t>
            </w:r>
          </w:p>
          <w:p>
            <w:pPr>
              <w:adjustRightInd w:val="0"/>
              <w:jc w:val="center"/>
              <w:rPr>
                <w:sz w:val="2"/>
                <w:szCs w:val="2"/>
              </w:rPr>
            </w:pPr>
            <w:r>
              <w:rPr>
                <w:rFonts w:hint="eastAsia"/>
                <w:b/>
                <w:sz w:val="21"/>
                <w:szCs w:val="21"/>
              </w:rPr>
              <w:t>质</w:t>
            </w:r>
          </w:p>
        </w:tc>
        <w:tc>
          <w:tcPr>
            <w:tcW w:w="9271" w:type="dxa"/>
            <w:gridSpan w:val="5"/>
            <w:tcBorders>
              <w:top w:val="single" w:color="000000" w:sz="4" w:space="0"/>
              <w:left w:val="single" w:color="000000" w:sz="4" w:space="0"/>
              <w:bottom w:val="single" w:color="000000" w:sz="4" w:space="0"/>
              <w:right w:val="single" w:color="000000" w:sz="4" w:space="0"/>
            </w:tcBorders>
          </w:tcPr>
          <w:p>
            <w:pPr>
              <w:adjustRightInd w:val="0"/>
              <w:rPr>
                <w:sz w:val="21"/>
              </w:rPr>
            </w:pPr>
            <w:r>
              <w:rPr>
                <w:sz w:val="21"/>
                <w:szCs w:val="21"/>
              </w:rPr>
              <w:t>性状：</w:t>
            </w:r>
            <w:r>
              <w:rPr>
                <w:rFonts w:hint="eastAsia"/>
                <w:sz w:val="21"/>
                <w:szCs w:val="21"/>
              </w:rPr>
              <w:t>无色透明液体，有水果香味。</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76" w:type="dxa"/>
            <w:vMerge w:val="continue"/>
            <w:tcBorders>
              <w:top w:val="nil"/>
              <w:bottom w:val="single" w:color="000000" w:sz="4" w:space="0"/>
              <w:right w:val="single" w:color="000000" w:sz="4" w:space="0"/>
            </w:tcBorders>
            <w:vAlign w:val="center"/>
          </w:tcPr>
          <w:p>
            <w:pPr>
              <w:adjustRightInd w:val="0"/>
              <w:jc w:val="center"/>
              <w:rPr>
                <w:sz w:val="2"/>
                <w:szCs w:val="2"/>
              </w:rPr>
            </w:pPr>
          </w:p>
        </w:tc>
        <w:tc>
          <w:tcPr>
            <w:tcW w:w="5200" w:type="dxa"/>
            <w:gridSpan w:val="2"/>
            <w:tcBorders>
              <w:top w:val="single" w:color="000000" w:sz="4" w:space="0"/>
              <w:left w:val="single" w:color="000000" w:sz="4" w:space="0"/>
              <w:bottom w:val="single" w:color="000000" w:sz="4" w:space="0"/>
              <w:right w:val="single" w:color="000000" w:sz="4" w:space="0"/>
            </w:tcBorders>
            <w:vAlign w:val="center"/>
          </w:tcPr>
          <w:p>
            <w:pPr>
              <w:adjustRightInd w:val="0"/>
              <w:rPr>
                <w:sz w:val="21"/>
              </w:rPr>
            </w:pPr>
            <w:r>
              <w:rPr>
                <w:sz w:val="21"/>
                <w:szCs w:val="21"/>
              </w:rPr>
              <w:t>熔点（℃）：-</w:t>
            </w:r>
            <w:r>
              <w:rPr>
                <w:rFonts w:hint="eastAsia"/>
                <w:sz w:val="21"/>
                <w:szCs w:val="21"/>
              </w:rPr>
              <w:t>93.2</w:t>
            </w:r>
          </w:p>
        </w:tc>
        <w:tc>
          <w:tcPr>
            <w:tcW w:w="4071" w:type="dxa"/>
            <w:gridSpan w:val="3"/>
            <w:tcBorders>
              <w:top w:val="single" w:color="000000" w:sz="4" w:space="0"/>
              <w:left w:val="single" w:color="000000" w:sz="4" w:space="0"/>
              <w:bottom w:val="single" w:color="000000" w:sz="4" w:space="0"/>
            </w:tcBorders>
          </w:tcPr>
          <w:p>
            <w:pPr>
              <w:adjustRightInd w:val="0"/>
              <w:rPr>
                <w:sz w:val="21"/>
              </w:rPr>
            </w:pPr>
            <w:r>
              <w:rPr>
                <w:sz w:val="21"/>
                <w:szCs w:val="21"/>
              </w:rPr>
              <w:t>溶解性：</w:t>
            </w:r>
            <w:r>
              <w:rPr>
                <w:rFonts w:hint="eastAsia"/>
                <w:sz w:val="21"/>
                <w:szCs w:val="21"/>
              </w:rPr>
              <w:t>微溶于水、溶于乙醇、乙醚、丙酮、苯、氯仿等多数有机溶剂</w:t>
            </w:r>
            <w:r>
              <w:rPr>
                <w:sz w:val="21"/>
                <w:szCs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4" w:hRule="atLeast"/>
        </w:trPr>
        <w:tc>
          <w:tcPr>
            <w:tcW w:w="676" w:type="dxa"/>
            <w:vMerge w:val="continue"/>
            <w:tcBorders>
              <w:top w:val="single" w:color="000000" w:sz="4" w:space="0"/>
              <w:bottom w:val="single" w:color="000000" w:sz="4" w:space="0"/>
              <w:right w:val="single" w:color="000000" w:sz="4" w:space="0"/>
            </w:tcBorders>
            <w:vAlign w:val="center"/>
          </w:tcPr>
          <w:p>
            <w:pPr>
              <w:adjustRightInd w:val="0"/>
              <w:jc w:val="center"/>
              <w:rPr>
                <w:sz w:val="21"/>
              </w:rPr>
            </w:pPr>
          </w:p>
        </w:tc>
        <w:tc>
          <w:tcPr>
            <w:tcW w:w="5200" w:type="dxa"/>
            <w:gridSpan w:val="2"/>
            <w:tcBorders>
              <w:top w:val="single" w:color="000000" w:sz="4" w:space="0"/>
              <w:left w:val="single" w:color="000000" w:sz="4" w:space="0"/>
              <w:bottom w:val="single" w:color="000000" w:sz="4" w:space="0"/>
            </w:tcBorders>
          </w:tcPr>
          <w:p>
            <w:pPr>
              <w:adjustRightInd w:val="0"/>
              <w:rPr>
                <w:sz w:val="21"/>
                <w:szCs w:val="21"/>
              </w:rPr>
            </w:pPr>
            <w:r>
              <w:rPr>
                <w:sz w:val="21"/>
                <w:szCs w:val="21"/>
              </w:rPr>
              <w:t>沸点（℃）：</w:t>
            </w:r>
            <w:r>
              <w:rPr>
                <w:rFonts w:hint="eastAsia"/>
                <w:sz w:val="21"/>
                <w:szCs w:val="21"/>
              </w:rPr>
              <w:t>71.8-73</w:t>
            </w:r>
          </w:p>
        </w:tc>
        <w:tc>
          <w:tcPr>
            <w:tcW w:w="4071" w:type="dxa"/>
            <w:gridSpan w:val="3"/>
            <w:tcBorders>
              <w:top w:val="single" w:color="000000" w:sz="4" w:space="0"/>
              <w:left w:val="single" w:color="000000" w:sz="4" w:space="0"/>
              <w:bottom w:val="single" w:color="000000" w:sz="4" w:space="0"/>
            </w:tcBorders>
          </w:tcPr>
          <w:p>
            <w:pPr>
              <w:adjustRightInd w:val="0"/>
            </w:pPr>
            <w:r>
              <w:rPr>
                <w:sz w:val="21"/>
                <w:szCs w:val="21"/>
              </w:rPr>
              <w:t>相对密度（水＝1）：</w:t>
            </w:r>
            <w:r>
              <w:rPr>
                <w:rFonts w:hint="eastAsia"/>
                <w:sz w:val="21"/>
                <w:szCs w:val="21"/>
              </w:rPr>
              <w:t>0.93（20℃）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676" w:type="dxa"/>
            <w:vMerge w:val="continue"/>
            <w:tcBorders>
              <w:top w:val="single" w:color="000000" w:sz="4" w:space="0"/>
              <w:bottom w:val="single" w:color="000000" w:sz="4" w:space="0"/>
              <w:right w:val="single" w:color="000000" w:sz="4" w:space="0"/>
            </w:tcBorders>
            <w:vAlign w:val="center"/>
          </w:tcPr>
          <w:p>
            <w:pPr>
              <w:adjustRightInd w:val="0"/>
              <w:jc w:val="center"/>
              <w:rPr>
                <w:sz w:val="21"/>
              </w:rPr>
            </w:pPr>
          </w:p>
        </w:tc>
        <w:tc>
          <w:tcPr>
            <w:tcW w:w="5200" w:type="dxa"/>
            <w:gridSpan w:val="2"/>
            <w:tcBorders>
              <w:top w:val="single" w:color="000000" w:sz="4" w:space="0"/>
              <w:left w:val="single" w:color="000000" w:sz="4" w:space="0"/>
              <w:bottom w:val="single" w:color="000000" w:sz="4" w:space="0"/>
            </w:tcBorders>
          </w:tcPr>
          <w:p>
            <w:pPr>
              <w:adjustRightInd w:val="0"/>
              <w:rPr>
                <w:sz w:val="21"/>
              </w:rPr>
            </w:pPr>
            <w:r>
              <w:rPr>
                <w:sz w:val="21"/>
                <w:szCs w:val="21"/>
              </w:rPr>
              <w:t>饱和蒸气压</w:t>
            </w:r>
            <w:r>
              <w:rPr>
                <w:rFonts w:hint="eastAsia"/>
                <w:sz w:val="21"/>
                <w:szCs w:val="21"/>
              </w:rPr>
              <w:t>（k</w:t>
            </w:r>
            <w:r>
              <w:rPr>
                <w:sz w:val="21"/>
                <w:szCs w:val="21"/>
              </w:rPr>
              <w:t>Pa</w:t>
            </w:r>
            <w:r>
              <w:rPr>
                <w:rFonts w:hint="eastAsia"/>
                <w:sz w:val="21"/>
                <w:szCs w:val="21"/>
              </w:rPr>
              <w:t>）</w:t>
            </w:r>
            <w:r>
              <w:rPr>
                <w:sz w:val="21"/>
                <w:szCs w:val="21"/>
              </w:rPr>
              <w:t>：</w:t>
            </w:r>
            <w:r>
              <w:rPr>
                <w:rFonts w:hint="eastAsia"/>
                <w:sz w:val="21"/>
                <w:szCs w:val="21"/>
              </w:rPr>
              <w:t>15.33</w:t>
            </w:r>
            <w:r>
              <w:rPr>
                <w:sz w:val="21"/>
                <w:szCs w:val="21"/>
              </w:rPr>
              <w:t>（</w:t>
            </w:r>
            <w:r>
              <w:rPr>
                <w:rFonts w:hint="eastAsia"/>
                <w:sz w:val="21"/>
                <w:szCs w:val="21"/>
              </w:rPr>
              <w:t>25</w:t>
            </w:r>
            <w:r>
              <w:rPr>
                <w:sz w:val="21"/>
                <w:szCs w:val="21"/>
              </w:rPr>
              <w:t>℃）</w:t>
            </w:r>
          </w:p>
        </w:tc>
        <w:tc>
          <w:tcPr>
            <w:tcW w:w="4071" w:type="dxa"/>
            <w:gridSpan w:val="3"/>
            <w:tcBorders>
              <w:top w:val="single" w:color="000000" w:sz="4" w:space="0"/>
              <w:left w:val="single" w:color="000000" w:sz="4" w:space="0"/>
              <w:bottom w:val="single" w:color="000000" w:sz="4" w:space="0"/>
            </w:tcBorders>
          </w:tcPr>
          <w:p>
            <w:pPr>
              <w:adjustRightInd w:val="0"/>
            </w:pPr>
            <w:r>
              <w:rPr>
                <w:sz w:val="21"/>
                <w:szCs w:val="21"/>
              </w:rPr>
              <w:t>相对密度（空气＝1）：</w:t>
            </w:r>
            <w:r>
              <w:rPr>
                <w:rFonts w:hint="eastAsia"/>
                <w:sz w:val="21"/>
                <w:szCs w:val="21"/>
              </w:rPr>
              <w:t>3.0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676" w:type="dxa"/>
            <w:vMerge w:val="continue"/>
            <w:tcBorders>
              <w:top w:val="single" w:color="000000" w:sz="4" w:space="0"/>
              <w:bottom w:val="single" w:color="000000" w:sz="4" w:space="0"/>
              <w:right w:val="single" w:color="000000" w:sz="4" w:space="0"/>
            </w:tcBorders>
            <w:vAlign w:val="center"/>
          </w:tcPr>
          <w:p>
            <w:pPr>
              <w:adjustRightInd w:val="0"/>
              <w:jc w:val="center"/>
              <w:rPr>
                <w:sz w:val="21"/>
              </w:rPr>
            </w:pPr>
          </w:p>
        </w:tc>
        <w:tc>
          <w:tcPr>
            <w:tcW w:w="5200" w:type="dxa"/>
            <w:gridSpan w:val="2"/>
            <w:tcBorders>
              <w:top w:val="single" w:color="000000" w:sz="4" w:space="0"/>
              <w:left w:val="single" w:color="000000" w:sz="4" w:space="0"/>
              <w:bottom w:val="single" w:color="000000" w:sz="4" w:space="0"/>
            </w:tcBorders>
          </w:tcPr>
          <w:p>
            <w:pPr>
              <w:adjustRightInd w:val="0"/>
              <w:rPr>
                <w:sz w:val="21"/>
              </w:rPr>
            </w:pPr>
            <w:r>
              <w:rPr>
                <w:rFonts w:hint="eastAsia"/>
                <w:sz w:val="21"/>
                <w:szCs w:val="21"/>
              </w:rPr>
              <w:t>燃烧热（kJ/mol）：-1953.6</w:t>
            </w:r>
          </w:p>
        </w:tc>
        <w:tc>
          <w:tcPr>
            <w:tcW w:w="4071" w:type="dxa"/>
            <w:gridSpan w:val="3"/>
            <w:tcBorders>
              <w:top w:val="single" w:color="000000" w:sz="4" w:space="0"/>
              <w:left w:val="single" w:color="000000" w:sz="4" w:space="0"/>
              <w:bottom w:val="single" w:color="000000" w:sz="4" w:space="0"/>
            </w:tcBorders>
          </w:tcPr>
          <w:p>
            <w:pPr>
              <w:adjustRightInd w:val="0"/>
            </w:pPr>
            <w:r>
              <w:rPr>
                <w:sz w:val="21"/>
                <w:szCs w:val="21"/>
              </w:rPr>
              <w:t>临界温度（℃）：</w:t>
            </w:r>
            <w:r>
              <w:rPr>
                <w:rFonts w:hint="eastAsia"/>
                <w:sz w:val="21"/>
                <w:szCs w:val="21"/>
              </w:rPr>
              <w:t>252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676" w:type="dxa"/>
            <w:vMerge w:val="continue"/>
            <w:tcBorders>
              <w:top w:val="single" w:color="000000" w:sz="4" w:space="0"/>
              <w:bottom w:val="single" w:color="000000" w:sz="4" w:space="0"/>
              <w:right w:val="single" w:color="000000" w:sz="4" w:space="0"/>
            </w:tcBorders>
            <w:vAlign w:val="center"/>
          </w:tcPr>
          <w:p>
            <w:pPr>
              <w:adjustRightInd w:val="0"/>
              <w:jc w:val="center"/>
              <w:rPr>
                <w:sz w:val="21"/>
              </w:rPr>
            </w:pPr>
          </w:p>
        </w:tc>
        <w:tc>
          <w:tcPr>
            <w:tcW w:w="5200" w:type="dxa"/>
            <w:gridSpan w:val="2"/>
            <w:tcBorders>
              <w:top w:val="single" w:color="000000" w:sz="4" w:space="0"/>
              <w:left w:val="single" w:color="000000" w:sz="4" w:space="0"/>
              <w:bottom w:val="single" w:color="000000" w:sz="4" w:space="0"/>
            </w:tcBorders>
          </w:tcPr>
          <w:p>
            <w:pPr>
              <w:adjustRightInd w:val="0"/>
              <w:rPr>
                <w:sz w:val="21"/>
              </w:rPr>
            </w:pPr>
            <w:r>
              <w:rPr>
                <w:rFonts w:hint="eastAsia"/>
                <w:sz w:val="21"/>
                <w:szCs w:val="21"/>
              </w:rPr>
              <w:t>临界压力（M</w:t>
            </w:r>
            <w:r>
              <w:rPr>
                <w:sz w:val="21"/>
                <w:szCs w:val="21"/>
              </w:rPr>
              <w:t>p</w:t>
            </w:r>
            <w:r>
              <w:rPr>
                <w:rFonts w:hint="eastAsia"/>
                <w:sz w:val="21"/>
                <w:szCs w:val="21"/>
              </w:rPr>
              <w:t>a）：4.25</w:t>
            </w:r>
          </w:p>
        </w:tc>
        <w:tc>
          <w:tcPr>
            <w:tcW w:w="4071" w:type="dxa"/>
            <w:gridSpan w:val="3"/>
            <w:tcBorders>
              <w:top w:val="single" w:color="000000" w:sz="4" w:space="0"/>
              <w:left w:val="single" w:color="000000" w:sz="4" w:space="0"/>
              <w:bottom w:val="single" w:color="000000" w:sz="4" w:space="0"/>
            </w:tcBorders>
          </w:tcPr>
          <w:p>
            <w:pPr>
              <w:adjustRightInd w:val="0"/>
            </w:pPr>
            <w:r>
              <w:rPr>
                <w:rFonts w:hint="eastAsia"/>
                <w:sz w:val="21"/>
                <w:szCs w:val="21"/>
              </w:rPr>
              <w:t>用途：用于有机合成，主要用于合成维尼纶，也用于粘结剂和涂料工业等。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676" w:type="dxa"/>
            <w:vMerge w:val="continue"/>
            <w:tcBorders>
              <w:top w:val="single" w:color="000000" w:sz="4" w:space="0"/>
              <w:bottom w:val="single" w:color="000000" w:sz="4" w:space="0"/>
              <w:right w:val="single" w:color="000000" w:sz="4" w:space="0"/>
            </w:tcBorders>
            <w:vAlign w:val="center"/>
          </w:tcPr>
          <w:p>
            <w:pPr>
              <w:adjustRightInd w:val="0"/>
              <w:jc w:val="center"/>
              <w:rPr>
                <w:sz w:val="21"/>
              </w:rPr>
            </w:pPr>
          </w:p>
        </w:tc>
        <w:tc>
          <w:tcPr>
            <w:tcW w:w="5200" w:type="dxa"/>
            <w:gridSpan w:val="2"/>
            <w:tcBorders>
              <w:top w:val="single" w:color="000000" w:sz="4" w:space="0"/>
              <w:left w:val="single" w:color="000000" w:sz="4" w:space="0"/>
              <w:bottom w:val="single" w:color="000000" w:sz="4" w:space="0"/>
            </w:tcBorders>
          </w:tcPr>
          <w:p>
            <w:pPr>
              <w:snapToGrid w:val="0"/>
              <w:rPr>
                <w:sz w:val="21"/>
              </w:rPr>
            </w:pPr>
            <w:r>
              <w:rPr>
                <w:rFonts w:hint="eastAsia"/>
                <w:sz w:val="21"/>
                <w:szCs w:val="21"/>
              </w:rPr>
              <w:t>辛醇/水分配系数：0.73</w:t>
            </w:r>
          </w:p>
        </w:tc>
        <w:tc>
          <w:tcPr>
            <w:tcW w:w="4071" w:type="dxa"/>
            <w:gridSpan w:val="3"/>
            <w:tcBorders>
              <w:top w:val="single" w:color="000000" w:sz="4" w:space="0"/>
              <w:left w:val="single" w:color="000000" w:sz="4" w:space="0"/>
              <w:bottom w:val="single" w:color="000000" w:sz="4" w:space="0"/>
            </w:tcBorders>
          </w:tcPr>
          <w:p>
            <w:pPr>
              <w:snapToGrid w:val="0"/>
            </w:pPr>
            <w:r>
              <w:rPr>
                <w:rFonts w:hint="eastAsia"/>
                <w:sz w:val="21"/>
                <w:szCs w:val="21"/>
              </w:rPr>
              <w:t>闪点(℃）：-8（CC）0.5-0.9( OC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0" w:hRule="atLeast"/>
        </w:trPr>
        <w:tc>
          <w:tcPr>
            <w:tcW w:w="676" w:type="dxa"/>
            <w:vMerge w:val="continue"/>
            <w:tcBorders>
              <w:top w:val="single" w:color="000000" w:sz="4" w:space="0"/>
              <w:bottom w:val="single" w:color="000000" w:sz="4" w:space="0"/>
              <w:right w:val="single" w:color="000000" w:sz="4" w:space="0"/>
            </w:tcBorders>
            <w:vAlign w:val="center"/>
          </w:tcPr>
          <w:p>
            <w:pPr>
              <w:adjustRightInd w:val="0"/>
              <w:jc w:val="center"/>
              <w:rPr>
                <w:sz w:val="21"/>
              </w:rPr>
            </w:pPr>
          </w:p>
        </w:tc>
        <w:tc>
          <w:tcPr>
            <w:tcW w:w="5200" w:type="dxa"/>
            <w:gridSpan w:val="2"/>
            <w:tcBorders>
              <w:top w:val="single" w:color="000000" w:sz="4" w:space="0"/>
              <w:left w:val="single" w:color="000000" w:sz="4" w:space="0"/>
              <w:bottom w:val="single" w:color="000000" w:sz="4" w:space="0"/>
            </w:tcBorders>
          </w:tcPr>
          <w:p>
            <w:pPr>
              <w:snapToGrid w:val="0"/>
              <w:rPr>
                <w:sz w:val="21"/>
              </w:rPr>
            </w:pPr>
            <w:r>
              <w:rPr>
                <w:rFonts w:hint="eastAsia"/>
                <w:sz w:val="21"/>
                <w:szCs w:val="21"/>
              </w:rPr>
              <w:t>引燃温度(℃）：402</w:t>
            </w:r>
          </w:p>
        </w:tc>
        <w:tc>
          <w:tcPr>
            <w:tcW w:w="4071" w:type="dxa"/>
            <w:gridSpan w:val="3"/>
            <w:tcBorders>
              <w:top w:val="single" w:color="000000" w:sz="4" w:space="0"/>
              <w:left w:val="single" w:color="000000" w:sz="4" w:space="0"/>
              <w:bottom w:val="single" w:color="000000" w:sz="4" w:space="0"/>
            </w:tcBorders>
          </w:tcPr>
          <w:p>
            <w:pPr>
              <w:snapToGrid w:val="0"/>
            </w:pPr>
            <w:r>
              <w:rPr>
                <w:rFonts w:hint="eastAsia"/>
                <w:sz w:val="21"/>
                <w:szCs w:val="21"/>
              </w:rPr>
              <w:t>爆炸极限(%)：2.6～13.4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0" w:hRule="atLeast"/>
        </w:trPr>
        <w:tc>
          <w:tcPr>
            <w:tcW w:w="676" w:type="dxa"/>
            <w:vMerge w:val="continue"/>
            <w:tcBorders>
              <w:top w:val="single" w:color="000000" w:sz="4" w:space="0"/>
              <w:bottom w:val="single" w:color="000000" w:sz="4" w:space="0"/>
              <w:right w:val="single" w:color="000000" w:sz="4" w:space="0"/>
            </w:tcBorders>
            <w:vAlign w:val="center"/>
          </w:tcPr>
          <w:p>
            <w:pPr>
              <w:adjustRightInd w:val="0"/>
              <w:jc w:val="center"/>
              <w:rPr>
                <w:sz w:val="21"/>
              </w:rPr>
            </w:pPr>
          </w:p>
        </w:tc>
        <w:tc>
          <w:tcPr>
            <w:tcW w:w="5200" w:type="dxa"/>
            <w:gridSpan w:val="2"/>
            <w:tcBorders>
              <w:top w:val="single" w:color="000000" w:sz="4" w:space="0"/>
              <w:left w:val="single" w:color="000000" w:sz="4" w:space="0"/>
              <w:bottom w:val="single" w:color="000000" w:sz="4" w:space="0"/>
            </w:tcBorders>
          </w:tcPr>
          <w:p>
            <w:pPr>
              <w:rPr>
                <w:sz w:val="21"/>
              </w:rPr>
            </w:pPr>
            <w:r>
              <w:rPr>
                <w:rFonts w:hint="eastAsia"/>
                <w:sz w:val="21"/>
                <w:szCs w:val="21"/>
              </w:rPr>
              <w:t>火灾危险性：甲类</w:t>
            </w:r>
          </w:p>
        </w:tc>
        <w:tc>
          <w:tcPr>
            <w:tcW w:w="4071" w:type="dxa"/>
            <w:gridSpan w:val="3"/>
            <w:tcBorders>
              <w:top w:val="single" w:color="000000" w:sz="4" w:space="0"/>
              <w:left w:val="single" w:color="000000" w:sz="4" w:space="0"/>
              <w:bottom w:val="single" w:color="000000" w:sz="4" w:space="0"/>
            </w:tcBorders>
          </w:tcPr>
          <w:p>
            <w:r>
              <w:rPr>
                <w:rFonts w:hint="eastAsia"/>
                <w:sz w:val="21"/>
                <w:szCs w:val="21"/>
              </w:rPr>
              <w:t>爆炸性液态的分级：级别ⅡA、组别</w:t>
            </w:r>
            <w:r>
              <w:rPr>
                <w:sz w:val="21"/>
                <w:szCs w:val="21"/>
              </w:rPr>
              <w:t>T</w:t>
            </w:r>
            <w:r>
              <w:rPr>
                <w:rFonts w:hint="eastAsia"/>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1" w:hRule="atLeast"/>
        </w:trPr>
        <w:tc>
          <w:tcPr>
            <w:tcW w:w="676" w:type="dxa"/>
            <w:vMerge w:val="continue"/>
            <w:tcBorders>
              <w:top w:val="single" w:color="000000" w:sz="4" w:space="0"/>
              <w:right w:val="single" w:color="000000" w:sz="4" w:space="0"/>
            </w:tcBorders>
            <w:vAlign w:val="center"/>
          </w:tcPr>
          <w:p>
            <w:pPr>
              <w:adjustRightInd w:val="0"/>
              <w:jc w:val="center"/>
              <w:rPr>
                <w:sz w:val="21"/>
              </w:rPr>
            </w:pPr>
          </w:p>
        </w:tc>
        <w:tc>
          <w:tcPr>
            <w:tcW w:w="5200" w:type="dxa"/>
            <w:gridSpan w:val="2"/>
            <w:tcBorders>
              <w:top w:val="single" w:color="000000" w:sz="4" w:space="0"/>
              <w:left w:val="single" w:color="000000" w:sz="4" w:space="0"/>
            </w:tcBorders>
          </w:tcPr>
          <w:p>
            <w:pPr>
              <w:rPr>
                <w:sz w:val="21"/>
                <w:szCs w:val="21"/>
              </w:rPr>
            </w:pPr>
            <w:r>
              <w:rPr>
                <w:rFonts w:hint="eastAsia"/>
                <w:sz w:val="21"/>
                <w:szCs w:val="21"/>
              </w:rPr>
              <w:t>稳定性：稳定</w:t>
            </w:r>
          </w:p>
        </w:tc>
        <w:tc>
          <w:tcPr>
            <w:tcW w:w="4071" w:type="dxa"/>
            <w:gridSpan w:val="3"/>
            <w:tcBorders>
              <w:top w:val="single" w:color="000000" w:sz="4" w:space="0"/>
              <w:left w:val="single" w:color="000000" w:sz="4" w:space="0"/>
            </w:tcBorders>
          </w:tcPr>
          <w:p>
            <w:r>
              <w:rPr>
                <w:rFonts w:hint="eastAsia"/>
                <w:sz w:val="21"/>
                <w:szCs w:val="21"/>
              </w:rPr>
              <w:t>避免接触条件：受热、光照</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cantSplit/>
          <w:jc w:val="center"/>
        </w:trPr>
        <w:tc>
          <w:tcPr>
            <w:tcW w:w="676" w:type="dxa"/>
            <w:vMerge w:val="restart"/>
            <w:tcBorders>
              <w:top w:val="single" w:color="auto" w:sz="6" w:space="0"/>
              <w:left w:val="single" w:color="auto" w:sz="6" w:space="0"/>
              <w:bottom w:val="single" w:color="auto" w:sz="6" w:space="0"/>
              <w:right w:val="single" w:color="auto" w:sz="6" w:space="0"/>
            </w:tcBorders>
            <w:vAlign w:val="center"/>
          </w:tcPr>
          <w:p>
            <w:pPr>
              <w:adjustRightInd w:val="0"/>
              <w:jc w:val="center"/>
              <w:rPr>
                <w:sz w:val="21"/>
                <w:szCs w:val="21"/>
              </w:rPr>
            </w:pPr>
            <w:r>
              <w:rPr>
                <w:rFonts w:hint="eastAsia" w:cs="宋体"/>
                <w:b/>
                <w:bCs/>
                <w:sz w:val="21"/>
                <w:szCs w:val="21"/>
              </w:rPr>
              <w:t>燃烧爆炸危险性</w:t>
            </w:r>
          </w:p>
          <w:p>
            <w:pPr>
              <w:adjustRightInd w:val="0"/>
              <w:rPr>
                <w:sz w:val="21"/>
                <w:szCs w:val="21"/>
              </w:rPr>
            </w:pPr>
          </w:p>
          <w:p>
            <w:pPr>
              <w:adjustRightInd w:val="0"/>
              <w:rPr>
                <w:sz w:val="21"/>
                <w:szCs w:val="21"/>
              </w:rPr>
            </w:pPr>
          </w:p>
        </w:tc>
        <w:tc>
          <w:tcPr>
            <w:tcW w:w="9271" w:type="dxa"/>
            <w:gridSpan w:val="5"/>
            <w:tcBorders>
              <w:top w:val="single" w:color="auto" w:sz="6" w:space="0"/>
              <w:left w:val="single" w:color="auto" w:sz="6" w:space="0"/>
              <w:bottom w:val="single" w:color="auto" w:sz="6" w:space="0"/>
              <w:right w:val="single" w:color="auto" w:sz="6" w:space="0"/>
            </w:tcBorders>
          </w:tcPr>
          <w:p>
            <w:pPr>
              <w:adjustRightInd w:val="0"/>
              <w:rPr>
                <w:sz w:val="21"/>
                <w:szCs w:val="21"/>
              </w:rPr>
            </w:pPr>
            <w:r>
              <w:rPr>
                <w:rFonts w:hint="eastAsia"/>
                <w:sz w:val="21"/>
                <w:szCs w:val="21"/>
              </w:rPr>
              <w:t>危险特性：极易燃，其蒸气</w:t>
            </w:r>
            <w:r>
              <w:rPr>
                <w:sz w:val="21"/>
                <w:szCs w:val="21"/>
              </w:rPr>
              <w:t>与</w:t>
            </w:r>
            <w:r>
              <w:rPr>
                <w:rFonts w:hint="eastAsia"/>
                <w:sz w:val="21"/>
                <w:szCs w:val="21"/>
              </w:rPr>
              <w:t>空</w:t>
            </w:r>
            <w:r>
              <w:rPr>
                <w:sz w:val="21"/>
                <w:szCs w:val="21"/>
              </w:rPr>
              <w:t>气</w:t>
            </w:r>
            <w:r>
              <w:rPr>
                <w:rFonts w:hint="eastAsia"/>
                <w:sz w:val="21"/>
                <w:szCs w:val="21"/>
              </w:rPr>
              <w:t>可</w:t>
            </w:r>
            <w:r>
              <w:rPr>
                <w:sz w:val="21"/>
                <w:szCs w:val="21"/>
              </w:rPr>
              <w:t>形成爆炸性混合物</w:t>
            </w:r>
            <w:r>
              <w:rPr>
                <w:rFonts w:hint="eastAsia"/>
                <w:sz w:val="21"/>
                <w:szCs w:val="21"/>
              </w:rPr>
              <w:t>，遇明火、高热能引起燃烧爆炸。与氧化剂接触</w:t>
            </w:r>
            <w:r>
              <w:rPr>
                <w:sz w:val="21"/>
                <w:szCs w:val="21"/>
              </w:rPr>
              <w:t>发生</w:t>
            </w:r>
            <w:r>
              <w:rPr>
                <w:rFonts w:hint="eastAsia"/>
                <w:sz w:val="21"/>
                <w:szCs w:val="21"/>
              </w:rPr>
              <w:t>强烈反应。极易因受热、光或微量的过氧化物作用而聚合，含有抵制剂的商品与过氧化物接触也能发生猛烈聚合。蒸气比空气重，沿地面扩散并易积存于低洼处，遇火源会着火回燃。</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cantSplit/>
          <w:jc w:val="center"/>
        </w:trPr>
        <w:tc>
          <w:tcPr>
            <w:tcW w:w="676" w:type="dxa"/>
            <w:vMerge w:val="continue"/>
            <w:tcBorders>
              <w:top w:val="single" w:color="auto" w:sz="6" w:space="0"/>
              <w:left w:val="single" w:color="auto" w:sz="6" w:space="0"/>
              <w:bottom w:val="single" w:color="auto" w:sz="6" w:space="0"/>
              <w:right w:val="single" w:color="auto" w:sz="6" w:space="0"/>
            </w:tcBorders>
            <w:vAlign w:val="center"/>
          </w:tcPr>
          <w:p>
            <w:pPr>
              <w:adjustRightInd w:val="0"/>
              <w:jc w:val="center"/>
              <w:rPr>
                <w:sz w:val="21"/>
                <w:szCs w:val="21"/>
              </w:rPr>
            </w:pPr>
          </w:p>
        </w:tc>
        <w:tc>
          <w:tcPr>
            <w:tcW w:w="9271" w:type="dxa"/>
            <w:gridSpan w:val="5"/>
            <w:tcBorders>
              <w:top w:val="single" w:color="auto" w:sz="6" w:space="0"/>
              <w:left w:val="single" w:color="auto" w:sz="6" w:space="0"/>
              <w:bottom w:val="single" w:color="auto" w:sz="6" w:space="0"/>
              <w:right w:val="single" w:color="auto" w:sz="6" w:space="0"/>
            </w:tcBorders>
          </w:tcPr>
          <w:p>
            <w:pPr>
              <w:adjustRightInd w:val="0"/>
              <w:rPr>
                <w:sz w:val="21"/>
                <w:szCs w:val="21"/>
              </w:rPr>
            </w:pPr>
            <w:r>
              <w:rPr>
                <w:rFonts w:hint="eastAsia"/>
                <w:sz w:val="21"/>
                <w:szCs w:val="21"/>
              </w:rPr>
              <w:t>有害燃烧产物：一氧化碳</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cantSplit/>
          <w:jc w:val="center"/>
        </w:trPr>
        <w:tc>
          <w:tcPr>
            <w:tcW w:w="676" w:type="dxa"/>
            <w:vMerge w:val="continue"/>
            <w:tcBorders>
              <w:top w:val="single" w:color="auto" w:sz="6" w:space="0"/>
              <w:left w:val="single" w:color="auto" w:sz="6" w:space="0"/>
              <w:bottom w:val="single" w:color="auto" w:sz="6" w:space="0"/>
              <w:right w:val="single" w:color="auto" w:sz="6" w:space="0"/>
            </w:tcBorders>
            <w:vAlign w:val="center"/>
          </w:tcPr>
          <w:p>
            <w:pPr>
              <w:adjustRightInd w:val="0"/>
              <w:jc w:val="center"/>
              <w:rPr>
                <w:sz w:val="21"/>
                <w:szCs w:val="21"/>
              </w:rPr>
            </w:pPr>
          </w:p>
        </w:tc>
        <w:tc>
          <w:tcPr>
            <w:tcW w:w="9271" w:type="dxa"/>
            <w:gridSpan w:val="5"/>
            <w:tcBorders>
              <w:top w:val="single" w:color="auto" w:sz="6" w:space="0"/>
              <w:left w:val="single" w:color="auto" w:sz="6" w:space="0"/>
              <w:bottom w:val="single" w:color="auto" w:sz="6" w:space="0"/>
              <w:right w:val="single" w:color="auto" w:sz="6" w:space="0"/>
            </w:tcBorders>
          </w:tcPr>
          <w:p>
            <w:pPr>
              <w:adjustRightInd w:val="0"/>
              <w:rPr>
                <w:sz w:val="21"/>
                <w:szCs w:val="21"/>
              </w:rPr>
            </w:pPr>
            <w:r>
              <w:rPr>
                <w:rFonts w:hint="eastAsia"/>
                <w:sz w:val="21"/>
                <w:szCs w:val="21"/>
              </w:rPr>
              <w:t>灭火方法：用泡沫、二氧化碳、干粉、砂土灭火。</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cantSplit/>
          <w:jc w:val="center"/>
        </w:trPr>
        <w:tc>
          <w:tcPr>
            <w:tcW w:w="676" w:type="dxa"/>
            <w:vMerge w:val="continue"/>
            <w:tcBorders>
              <w:top w:val="single" w:color="auto" w:sz="6" w:space="0"/>
              <w:left w:val="single" w:color="auto" w:sz="6" w:space="0"/>
              <w:bottom w:val="single" w:color="auto" w:sz="6" w:space="0"/>
              <w:right w:val="single" w:color="auto" w:sz="6" w:space="0"/>
            </w:tcBorders>
            <w:vAlign w:val="center"/>
          </w:tcPr>
          <w:p>
            <w:pPr>
              <w:adjustRightInd w:val="0"/>
              <w:jc w:val="center"/>
              <w:rPr>
                <w:sz w:val="21"/>
                <w:szCs w:val="21"/>
              </w:rPr>
            </w:pPr>
          </w:p>
        </w:tc>
        <w:tc>
          <w:tcPr>
            <w:tcW w:w="9271" w:type="dxa"/>
            <w:gridSpan w:val="5"/>
            <w:tcBorders>
              <w:top w:val="single" w:color="auto" w:sz="6" w:space="0"/>
              <w:left w:val="single" w:color="auto" w:sz="6" w:space="0"/>
              <w:bottom w:val="single" w:color="auto" w:sz="6" w:space="0"/>
              <w:right w:val="single" w:color="auto" w:sz="6" w:space="0"/>
            </w:tcBorders>
          </w:tcPr>
          <w:p>
            <w:pPr>
              <w:adjustRightInd w:val="0"/>
              <w:rPr>
                <w:sz w:val="21"/>
                <w:szCs w:val="21"/>
              </w:rPr>
            </w:pPr>
            <w:r>
              <w:rPr>
                <w:rFonts w:hint="eastAsia"/>
                <w:sz w:val="21"/>
                <w:szCs w:val="21"/>
              </w:rPr>
              <w:t>灭火注意事项及措施：消防人员必须佩戴防毒面具、穿全身消防服，在上风向灭火。可能的话将容器从火场移至空旷处。容器突然发出异常声音或出现异常现象，应立即撤离。用水灭火无效。</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cantSplit/>
          <w:jc w:val="center"/>
        </w:trPr>
        <w:tc>
          <w:tcPr>
            <w:tcW w:w="676" w:type="dxa"/>
            <w:vMerge w:val="restart"/>
            <w:tcBorders>
              <w:top w:val="single" w:color="auto" w:sz="6" w:space="0"/>
              <w:left w:val="single" w:color="auto" w:sz="6" w:space="0"/>
              <w:right w:val="single" w:color="auto" w:sz="6" w:space="0"/>
            </w:tcBorders>
            <w:vAlign w:val="center"/>
          </w:tcPr>
          <w:p>
            <w:pPr>
              <w:adjustRightInd w:val="0"/>
              <w:jc w:val="center"/>
              <w:rPr>
                <w:rFonts w:cs="宋体"/>
                <w:b/>
                <w:bCs/>
                <w:sz w:val="21"/>
                <w:szCs w:val="21"/>
              </w:rPr>
            </w:pPr>
            <w:r>
              <w:rPr>
                <w:rFonts w:hint="eastAsia" w:cs="宋体"/>
                <w:b/>
                <w:bCs/>
                <w:sz w:val="21"/>
                <w:szCs w:val="21"/>
              </w:rPr>
              <w:t>对</w:t>
            </w:r>
          </w:p>
          <w:p>
            <w:pPr>
              <w:adjustRightInd w:val="0"/>
              <w:jc w:val="center"/>
              <w:rPr>
                <w:rFonts w:cs="宋体"/>
                <w:b/>
                <w:bCs/>
                <w:sz w:val="21"/>
                <w:szCs w:val="21"/>
              </w:rPr>
            </w:pPr>
            <w:r>
              <w:rPr>
                <w:rFonts w:hint="eastAsia" w:cs="宋体"/>
                <w:b/>
                <w:bCs/>
                <w:sz w:val="21"/>
                <w:szCs w:val="21"/>
              </w:rPr>
              <w:t>健</w:t>
            </w:r>
          </w:p>
          <w:p>
            <w:pPr>
              <w:adjustRightInd w:val="0"/>
              <w:jc w:val="center"/>
              <w:rPr>
                <w:rFonts w:cs="宋体"/>
                <w:b/>
                <w:bCs/>
                <w:sz w:val="21"/>
                <w:szCs w:val="21"/>
              </w:rPr>
            </w:pPr>
            <w:r>
              <w:rPr>
                <w:rFonts w:hint="eastAsia" w:cs="宋体"/>
                <w:b/>
                <w:bCs/>
                <w:sz w:val="21"/>
                <w:szCs w:val="21"/>
              </w:rPr>
              <w:t>康</w:t>
            </w:r>
          </w:p>
          <w:p>
            <w:pPr>
              <w:adjustRightInd w:val="0"/>
              <w:jc w:val="center"/>
              <w:rPr>
                <w:rFonts w:cs="宋体"/>
                <w:b/>
                <w:bCs/>
                <w:sz w:val="21"/>
                <w:szCs w:val="21"/>
              </w:rPr>
            </w:pPr>
            <w:r>
              <w:rPr>
                <w:rFonts w:hint="eastAsia" w:cs="宋体"/>
                <w:b/>
                <w:bCs/>
                <w:sz w:val="21"/>
                <w:szCs w:val="21"/>
              </w:rPr>
              <w:t>危</w:t>
            </w:r>
          </w:p>
          <w:p>
            <w:pPr>
              <w:adjustRightInd w:val="0"/>
              <w:jc w:val="center"/>
              <w:rPr>
                <w:sz w:val="21"/>
                <w:szCs w:val="21"/>
              </w:rPr>
            </w:pPr>
            <w:r>
              <w:rPr>
                <w:rFonts w:hint="eastAsia" w:cs="宋体"/>
                <w:b/>
                <w:bCs/>
                <w:sz w:val="21"/>
                <w:szCs w:val="21"/>
              </w:rPr>
              <w:t>害</w:t>
            </w:r>
          </w:p>
        </w:tc>
        <w:tc>
          <w:tcPr>
            <w:tcW w:w="9271" w:type="dxa"/>
            <w:gridSpan w:val="5"/>
            <w:tcBorders>
              <w:top w:val="single" w:color="auto" w:sz="6" w:space="0"/>
              <w:left w:val="single" w:color="auto" w:sz="6" w:space="0"/>
              <w:bottom w:val="single" w:color="auto" w:sz="6" w:space="0"/>
              <w:right w:val="single" w:color="auto" w:sz="6" w:space="0"/>
            </w:tcBorders>
          </w:tcPr>
          <w:p>
            <w:pPr>
              <w:adjustRightInd w:val="0"/>
              <w:rPr>
                <w:sz w:val="21"/>
                <w:szCs w:val="21"/>
              </w:rPr>
            </w:pPr>
            <w:r>
              <w:rPr>
                <w:rFonts w:hint="eastAsia"/>
                <w:sz w:val="21"/>
                <w:szCs w:val="21"/>
              </w:rPr>
              <w:t>侵入途径：吸入、食入。</w:t>
            </w:r>
          </w:p>
          <w:p>
            <w:pPr>
              <w:adjustRightInd w:val="0"/>
              <w:rPr>
                <w:sz w:val="21"/>
                <w:szCs w:val="21"/>
              </w:rPr>
            </w:pPr>
            <w:r>
              <w:rPr>
                <w:rFonts w:hint="eastAsia"/>
                <w:sz w:val="21"/>
                <w:szCs w:val="21"/>
              </w:rPr>
              <w:t>健康危害：本品对眼睛、皮肤、黏膜和上呼吸道有刺激性。长时间接触有麻醉作用。</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cantSplit/>
          <w:jc w:val="center"/>
        </w:trPr>
        <w:tc>
          <w:tcPr>
            <w:tcW w:w="676" w:type="dxa"/>
            <w:vMerge w:val="continue"/>
            <w:tcBorders>
              <w:left w:val="single" w:color="auto" w:sz="6" w:space="0"/>
              <w:bottom w:val="single" w:color="auto" w:sz="6" w:space="0"/>
              <w:right w:val="single" w:color="auto" w:sz="6" w:space="0"/>
            </w:tcBorders>
            <w:vAlign w:val="center"/>
          </w:tcPr>
          <w:p>
            <w:pPr>
              <w:adjustRightInd w:val="0"/>
              <w:jc w:val="center"/>
              <w:rPr>
                <w:sz w:val="21"/>
                <w:szCs w:val="21"/>
              </w:rPr>
            </w:pPr>
          </w:p>
        </w:tc>
        <w:tc>
          <w:tcPr>
            <w:tcW w:w="9271" w:type="dxa"/>
            <w:gridSpan w:val="5"/>
            <w:tcBorders>
              <w:top w:val="single" w:color="auto" w:sz="6" w:space="0"/>
              <w:left w:val="single" w:color="auto" w:sz="6" w:space="0"/>
              <w:bottom w:val="single" w:color="auto" w:sz="6" w:space="0"/>
              <w:right w:val="single" w:color="auto" w:sz="6" w:space="0"/>
            </w:tcBorders>
            <w:vAlign w:val="center"/>
          </w:tcPr>
          <w:p>
            <w:pPr>
              <w:adjustRightInd w:val="0"/>
              <w:rPr>
                <w:sz w:val="21"/>
                <w:szCs w:val="21"/>
              </w:rPr>
            </w:pPr>
            <w:r>
              <w:rPr>
                <w:rFonts w:hint="eastAsia"/>
                <w:sz w:val="21"/>
                <w:szCs w:val="21"/>
              </w:rPr>
              <w:t>燃爆危险：易燃，其蒸气与空气混合，能形成爆炸性混合物。容易自聚。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cantSplit/>
          <w:trHeight w:val="428" w:hRule="atLeast"/>
          <w:jc w:val="center"/>
        </w:trPr>
        <w:tc>
          <w:tcPr>
            <w:tcW w:w="676" w:type="dxa"/>
            <w:tcBorders>
              <w:left w:val="single" w:color="auto" w:sz="6" w:space="0"/>
              <w:bottom w:val="single" w:color="auto" w:sz="6" w:space="0"/>
              <w:right w:val="single" w:color="auto" w:sz="6" w:space="0"/>
            </w:tcBorders>
            <w:vAlign w:val="center"/>
          </w:tcPr>
          <w:p>
            <w:pPr>
              <w:adjustRightInd w:val="0"/>
              <w:jc w:val="center"/>
              <w:rPr>
                <w:b/>
                <w:sz w:val="21"/>
                <w:szCs w:val="21"/>
              </w:rPr>
            </w:pPr>
            <w:r>
              <w:rPr>
                <w:rFonts w:hint="eastAsia"/>
                <w:b/>
                <w:sz w:val="21"/>
                <w:szCs w:val="21"/>
              </w:rPr>
              <w:t>毒理学资料</w:t>
            </w:r>
          </w:p>
        </w:tc>
        <w:tc>
          <w:tcPr>
            <w:tcW w:w="9271" w:type="dxa"/>
            <w:gridSpan w:val="5"/>
            <w:tcBorders>
              <w:top w:val="single" w:color="auto" w:sz="6" w:space="0"/>
              <w:left w:val="single" w:color="auto" w:sz="6" w:space="0"/>
              <w:bottom w:val="single" w:color="auto" w:sz="6" w:space="0"/>
              <w:right w:val="single" w:color="auto" w:sz="6" w:space="0"/>
            </w:tcBorders>
            <w:vAlign w:val="center"/>
          </w:tcPr>
          <w:p>
            <w:pPr>
              <w:adjustRightInd w:val="0"/>
              <w:rPr>
                <w:sz w:val="21"/>
                <w:szCs w:val="21"/>
              </w:rPr>
            </w:pPr>
            <w:r>
              <w:rPr>
                <w:rFonts w:hint="eastAsia"/>
                <w:sz w:val="21"/>
                <w:szCs w:val="21"/>
              </w:rPr>
              <w:t>急性毒性：LD</w:t>
            </w:r>
            <w:r>
              <w:rPr>
                <w:rFonts w:hint="eastAsia"/>
                <w:sz w:val="21"/>
                <w:szCs w:val="21"/>
                <w:vertAlign w:val="subscript"/>
              </w:rPr>
              <w:t>50</w:t>
            </w:r>
            <w:r>
              <w:rPr>
                <w:rFonts w:hint="eastAsia"/>
                <w:sz w:val="21"/>
                <w:szCs w:val="21"/>
              </w:rPr>
              <w:t>：1900mg/kg（大鼠经口）；</w:t>
            </w:r>
          </w:p>
          <w:p>
            <w:pPr>
              <w:adjustRightInd w:val="0"/>
              <w:rPr>
                <w:sz w:val="21"/>
                <w:szCs w:val="21"/>
              </w:rPr>
            </w:pPr>
            <w:r>
              <w:rPr>
                <w:rFonts w:hint="eastAsia"/>
                <w:sz w:val="21"/>
                <w:szCs w:val="21"/>
              </w:rPr>
              <w:t xml:space="preserve">          LC</w:t>
            </w:r>
            <w:r>
              <w:rPr>
                <w:rFonts w:hint="eastAsia"/>
                <w:sz w:val="21"/>
                <w:szCs w:val="21"/>
                <w:vertAlign w:val="subscript"/>
              </w:rPr>
              <w:t>50</w:t>
            </w:r>
            <w:r>
              <w:rPr>
                <w:rFonts w:hint="eastAsia"/>
                <w:sz w:val="21"/>
                <w:szCs w:val="21"/>
              </w:rPr>
              <w:t>：11400mg/m</w:t>
            </w:r>
            <w:r>
              <w:rPr>
                <w:rFonts w:hint="eastAsia"/>
                <w:sz w:val="21"/>
                <w:szCs w:val="21"/>
                <w:vertAlign w:val="superscript"/>
              </w:rPr>
              <w:t>3</w:t>
            </w:r>
            <w:r>
              <w:rPr>
                <w:rFonts w:hint="eastAsia"/>
                <w:sz w:val="21"/>
                <w:szCs w:val="21"/>
              </w:rPr>
              <w:t>(大鼠吸入，4h)</w:t>
            </w:r>
          </w:p>
          <w:p>
            <w:pPr>
              <w:adjustRightInd w:val="0"/>
              <w:rPr>
                <w:sz w:val="21"/>
                <w:szCs w:val="21"/>
              </w:rPr>
            </w:pPr>
            <w:r>
              <w:rPr>
                <w:rFonts w:hint="eastAsia"/>
                <w:sz w:val="21"/>
                <w:szCs w:val="21"/>
              </w:rPr>
              <w:t>危害程度：中度危害</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cantSplit/>
          <w:jc w:val="center"/>
        </w:trPr>
        <w:tc>
          <w:tcPr>
            <w:tcW w:w="676" w:type="dxa"/>
            <w:tcBorders>
              <w:left w:val="single" w:color="auto" w:sz="6" w:space="0"/>
              <w:bottom w:val="single" w:color="auto" w:sz="6" w:space="0"/>
              <w:right w:val="single" w:color="auto" w:sz="6" w:space="0"/>
            </w:tcBorders>
            <w:vAlign w:val="center"/>
          </w:tcPr>
          <w:p>
            <w:pPr>
              <w:adjustRightInd w:val="0"/>
              <w:jc w:val="center"/>
              <w:rPr>
                <w:b/>
                <w:bCs/>
                <w:sz w:val="21"/>
                <w:szCs w:val="21"/>
              </w:rPr>
            </w:pPr>
            <w:r>
              <w:rPr>
                <w:rFonts w:hint="eastAsia" w:cs="宋体"/>
                <w:b/>
                <w:bCs/>
                <w:sz w:val="21"/>
                <w:szCs w:val="21"/>
              </w:rPr>
              <w:t>急</w:t>
            </w:r>
          </w:p>
          <w:p>
            <w:pPr>
              <w:adjustRightInd w:val="0"/>
              <w:jc w:val="center"/>
              <w:rPr>
                <w:b/>
                <w:sz w:val="21"/>
                <w:szCs w:val="21"/>
              </w:rPr>
            </w:pPr>
            <w:r>
              <w:rPr>
                <w:rFonts w:hint="eastAsia" w:cs="宋体"/>
                <w:b/>
                <w:bCs/>
                <w:sz w:val="21"/>
                <w:szCs w:val="21"/>
              </w:rPr>
              <w:t>救</w:t>
            </w:r>
          </w:p>
        </w:tc>
        <w:tc>
          <w:tcPr>
            <w:tcW w:w="9271" w:type="dxa"/>
            <w:gridSpan w:val="5"/>
            <w:tcBorders>
              <w:top w:val="single" w:color="auto" w:sz="6" w:space="0"/>
              <w:left w:val="single" w:color="auto" w:sz="6" w:space="0"/>
              <w:bottom w:val="single" w:color="auto" w:sz="6" w:space="0"/>
              <w:right w:val="single" w:color="auto" w:sz="6" w:space="0"/>
            </w:tcBorders>
          </w:tcPr>
          <w:p>
            <w:pPr>
              <w:adjustRightInd w:val="0"/>
              <w:rPr>
                <w:sz w:val="21"/>
                <w:szCs w:val="21"/>
              </w:rPr>
            </w:pPr>
            <w:r>
              <w:rPr>
                <w:sz w:val="21"/>
                <w:szCs w:val="21"/>
              </w:rPr>
              <w:t>皮肤接触：</w:t>
            </w:r>
            <w:r>
              <w:rPr>
                <w:rFonts w:hint="eastAsia"/>
                <w:sz w:val="21"/>
                <w:szCs w:val="21"/>
              </w:rPr>
              <w:t>脱去污染的衣着，用肥皂水和清水彻底冲洗皮肤</w:t>
            </w:r>
            <w:r>
              <w:rPr>
                <w:sz w:val="21"/>
                <w:szCs w:val="21"/>
              </w:rPr>
              <w:t>。</w:t>
            </w:r>
            <w:r>
              <w:rPr>
                <w:rFonts w:hint="eastAsia"/>
                <w:sz w:val="21"/>
                <w:szCs w:val="21"/>
              </w:rPr>
              <w:t>如有不适感，</w:t>
            </w:r>
            <w:r>
              <w:rPr>
                <w:sz w:val="21"/>
                <w:szCs w:val="21"/>
              </w:rPr>
              <w:t>就医。</w:t>
            </w:r>
          </w:p>
          <w:p>
            <w:pPr>
              <w:adjustRightInd w:val="0"/>
              <w:rPr>
                <w:sz w:val="21"/>
                <w:szCs w:val="21"/>
              </w:rPr>
            </w:pPr>
            <w:r>
              <w:rPr>
                <w:sz w:val="21"/>
                <w:szCs w:val="21"/>
              </w:rPr>
              <w:t>眼睛接触：提起眼睑，用流动清水或生理盐水冲洗。</w:t>
            </w:r>
            <w:r>
              <w:rPr>
                <w:rFonts w:hint="eastAsia"/>
                <w:sz w:val="21"/>
                <w:szCs w:val="21"/>
              </w:rPr>
              <w:t>如有不适感，</w:t>
            </w:r>
            <w:r>
              <w:rPr>
                <w:sz w:val="21"/>
                <w:szCs w:val="21"/>
              </w:rPr>
              <w:t xml:space="preserve">就医。 </w:t>
            </w:r>
          </w:p>
          <w:p>
            <w:pPr>
              <w:adjustRightInd w:val="0"/>
              <w:rPr>
                <w:sz w:val="21"/>
                <w:szCs w:val="21"/>
              </w:rPr>
            </w:pPr>
            <w:r>
              <w:rPr>
                <w:sz w:val="21"/>
                <w:szCs w:val="21"/>
              </w:rPr>
              <w:t>吸入：迅速脱离现场至空气新鲜处。</w:t>
            </w:r>
            <w:r>
              <w:rPr>
                <w:rFonts w:hint="eastAsia"/>
                <w:sz w:val="21"/>
                <w:szCs w:val="21"/>
              </w:rPr>
              <w:t>保持呼吸道通畅。如呼吸困难，给输氧。</w:t>
            </w:r>
            <w:r>
              <w:rPr>
                <w:sz w:val="21"/>
                <w:szCs w:val="21"/>
              </w:rPr>
              <w:t>呼吸</w:t>
            </w:r>
            <w:r>
              <w:rPr>
                <w:rFonts w:hint="eastAsia"/>
                <w:sz w:val="21"/>
                <w:szCs w:val="21"/>
              </w:rPr>
              <w:t>、</w:t>
            </w:r>
            <w:r>
              <w:rPr>
                <w:sz w:val="21"/>
                <w:szCs w:val="21"/>
              </w:rPr>
              <w:t>心跳停止，立即进行心</w:t>
            </w:r>
            <w:r>
              <w:rPr>
                <w:rFonts w:hint="eastAsia"/>
                <w:sz w:val="21"/>
                <w:szCs w:val="21"/>
              </w:rPr>
              <w:t>肺复苏</w:t>
            </w:r>
            <w:r>
              <w:rPr>
                <w:sz w:val="21"/>
                <w:szCs w:val="21"/>
              </w:rPr>
              <w:t>术。就医。</w:t>
            </w:r>
          </w:p>
          <w:p>
            <w:pPr>
              <w:adjustRightInd w:val="0"/>
              <w:rPr>
                <w:sz w:val="21"/>
                <w:szCs w:val="21"/>
              </w:rPr>
            </w:pPr>
            <w:r>
              <w:rPr>
                <w:rFonts w:hint="eastAsia"/>
                <w:sz w:val="21"/>
                <w:szCs w:val="21"/>
              </w:rPr>
              <w:t>食入：饮水，禁止催吐。如有不适感，</w:t>
            </w:r>
            <w:r>
              <w:rPr>
                <w:sz w:val="21"/>
                <w:szCs w:val="21"/>
              </w:rPr>
              <w:t>就医</w:t>
            </w:r>
            <w:r>
              <w:rPr>
                <w:rFonts w:hint="eastAsia"/>
                <w:sz w:val="21"/>
                <w:szCs w:val="21"/>
              </w:rPr>
              <w:t>。</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cantSplit/>
          <w:jc w:val="center"/>
        </w:trPr>
        <w:tc>
          <w:tcPr>
            <w:tcW w:w="676" w:type="dxa"/>
            <w:tcBorders>
              <w:top w:val="single" w:color="auto" w:sz="6" w:space="0"/>
              <w:left w:val="single" w:color="auto" w:sz="6" w:space="0"/>
              <w:bottom w:val="single" w:color="auto" w:sz="6" w:space="0"/>
              <w:right w:val="single" w:color="auto" w:sz="6" w:space="0"/>
            </w:tcBorders>
            <w:vAlign w:val="center"/>
          </w:tcPr>
          <w:p>
            <w:pPr>
              <w:adjustRightInd w:val="0"/>
              <w:jc w:val="center"/>
              <w:rPr>
                <w:b/>
                <w:sz w:val="21"/>
                <w:szCs w:val="21"/>
              </w:rPr>
            </w:pPr>
            <w:r>
              <w:rPr>
                <w:rFonts w:hint="eastAsia"/>
                <w:b/>
                <w:sz w:val="21"/>
                <w:szCs w:val="21"/>
              </w:rPr>
              <w:t>防</w:t>
            </w:r>
          </w:p>
          <w:p>
            <w:pPr>
              <w:adjustRightInd w:val="0"/>
              <w:jc w:val="center"/>
              <w:rPr>
                <w:sz w:val="21"/>
                <w:szCs w:val="21"/>
              </w:rPr>
            </w:pPr>
            <w:r>
              <w:rPr>
                <w:rFonts w:hint="eastAsia"/>
                <w:b/>
                <w:sz w:val="21"/>
                <w:szCs w:val="21"/>
              </w:rPr>
              <w:t>护</w:t>
            </w:r>
          </w:p>
        </w:tc>
        <w:tc>
          <w:tcPr>
            <w:tcW w:w="9271" w:type="dxa"/>
            <w:gridSpan w:val="5"/>
            <w:tcBorders>
              <w:top w:val="single" w:color="auto" w:sz="6" w:space="0"/>
              <w:left w:val="single" w:color="auto" w:sz="6" w:space="0"/>
              <w:bottom w:val="single" w:color="auto" w:sz="6" w:space="0"/>
              <w:right w:val="single" w:color="auto" w:sz="6" w:space="0"/>
            </w:tcBorders>
          </w:tcPr>
          <w:p>
            <w:pPr>
              <w:adjustRightInd w:val="0"/>
              <w:rPr>
                <w:sz w:val="21"/>
                <w:szCs w:val="21"/>
              </w:rPr>
            </w:pPr>
            <w:r>
              <w:rPr>
                <w:sz w:val="21"/>
                <w:szCs w:val="21"/>
              </w:rPr>
              <w:t>呼吸系统防护：</w:t>
            </w:r>
            <w:r>
              <w:rPr>
                <w:rFonts w:hint="eastAsia"/>
                <w:sz w:val="21"/>
                <w:szCs w:val="21"/>
              </w:rPr>
              <w:t>可能接触其蒸气时，应该佩戴过滤式防毒面具（半面罩）</w:t>
            </w:r>
            <w:r>
              <w:rPr>
                <w:sz w:val="21"/>
                <w:szCs w:val="21"/>
              </w:rPr>
              <w:t xml:space="preserve">。 </w:t>
            </w:r>
            <w:r>
              <w:rPr>
                <w:rFonts w:hint="eastAsia"/>
                <w:sz w:val="21"/>
                <w:szCs w:val="21"/>
              </w:rPr>
              <w:t>紧急事态抢救或撤离时，建议佩戴空气呼吸器。</w:t>
            </w:r>
          </w:p>
          <w:p>
            <w:pPr>
              <w:adjustRightInd w:val="0"/>
              <w:rPr>
                <w:sz w:val="21"/>
                <w:szCs w:val="21"/>
              </w:rPr>
            </w:pPr>
            <w:r>
              <w:rPr>
                <w:sz w:val="21"/>
                <w:szCs w:val="21"/>
              </w:rPr>
              <w:t>眼睛防护：</w:t>
            </w:r>
            <w:r>
              <w:rPr>
                <w:rFonts w:hint="eastAsia"/>
                <w:sz w:val="21"/>
                <w:szCs w:val="21"/>
              </w:rPr>
              <w:t>戴化学安全防护眼镜</w:t>
            </w:r>
            <w:r>
              <w:rPr>
                <w:sz w:val="21"/>
                <w:szCs w:val="21"/>
              </w:rPr>
              <w:t xml:space="preserve">。 </w:t>
            </w:r>
          </w:p>
          <w:p>
            <w:pPr>
              <w:adjustRightInd w:val="0"/>
              <w:rPr>
                <w:sz w:val="21"/>
                <w:szCs w:val="21"/>
              </w:rPr>
            </w:pPr>
            <w:r>
              <w:rPr>
                <w:sz w:val="21"/>
                <w:szCs w:val="21"/>
              </w:rPr>
              <w:t>防护服：穿</w:t>
            </w:r>
            <w:r>
              <w:rPr>
                <w:rFonts w:hint="eastAsia"/>
                <w:sz w:val="21"/>
                <w:szCs w:val="21"/>
              </w:rPr>
              <w:t>防静电工作服</w:t>
            </w:r>
            <w:r>
              <w:rPr>
                <w:sz w:val="21"/>
                <w:szCs w:val="21"/>
              </w:rPr>
              <w:t xml:space="preserve">。 </w:t>
            </w:r>
          </w:p>
          <w:p>
            <w:pPr>
              <w:adjustRightInd w:val="0"/>
              <w:rPr>
                <w:sz w:val="21"/>
                <w:szCs w:val="21"/>
              </w:rPr>
            </w:pPr>
            <w:r>
              <w:rPr>
                <w:sz w:val="21"/>
                <w:szCs w:val="21"/>
              </w:rPr>
              <w:t>手防护：戴</w:t>
            </w:r>
            <w:r>
              <w:rPr>
                <w:rFonts w:hint="eastAsia"/>
                <w:sz w:val="21"/>
                <w:szCs w:val="21"/>
              </w:rPr>
              <w:t>橡胶耐油</w:t>
            </w:r>
            <w:r>
              <w:rPr>
                <w:sz w:val="21"/>
                <w:szCs w:val="21"/>
              </w:rPr>
              <w:t>手套。</w:t>
            </w:r>
          </w:p>
          <w:p>
            <w:pPr>
              <w:adjustRightInd w:val="0"/>
              <w:rPr>
                <w:sz w:val="21"/>
                <w:szCs w:val="21"/>
              </w:rPr>
            </w:pPr>
            <w:r>
              <w:rPr>
                <w:sz w:val="21"/>
                <w:szCs w:val="21"/>
              </w:rPr>
              <w:t>其它：工作现场禁止吸烟。</w:t>
            </w:r>
            <w:r>
              <w:rPr>
                <w:rFonts w:hint="eastAsia"/>
                <w:sz w:val="21"/>
                <w:szCs w:val="21"/>
              </w:rPr>
              <w:t>工作完毕，淋浴更衣。特别注意眼和呼吸道的防护。</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cantSplit/>
          <w:jc w:val="center"/>
        </w:trPr>
        <w:tc>
          <w:tcPr>
            <w:tcW w:w="676" w:type="dxa"/>
            <w:tcBorders>
              <w:left w:val="single" w:color="auto" w:sz="6" w:space="0"/>
              <w:bottom w:val="single" w:color="auto" w:sz="6" w:space="0"/>
              <w:right w:val="single" w:color="auto" w:sz="6" w:space="0"/>
            </w:tcBorders>
            <w:vAlign w:val="center"/>
          </w:tcPr>
          <w:p>
            <w:pPr>
              <w:adjustRightInd w:val="0"/>
              <w:jc w:val="center"/>
              <w:rPr>
                <w:rFonts w:cs="宋体"/>
                <w:b/>
                <w:bCs/>
                <w:sz w:val="21"/>
                <w:szCs w:val="21"/>
              </w:rPr>
            </w:pPr>
            <w:r>
              <w:rPr>
                <w:rFonts w:hint="eastAsia" w:cs="宋体"/>
                <w:b/>
                <w:bCs/>
                <w:sz w:val="21"/>
                <w:szCs w:val="21"/>
              </w:rPr>
              <w:t>泄</w:t>
            </w:r>
          </w:p>
          <w:p>
            <w:pPr>
              <w:adjustRightInd w:val="0"/>
              <w:jc w:val="center"/>
              <w:rPr>
                <w:rFonts w:cs="宋体"/>
                <w:b/>
                <w:bCs/>
                <w:sz w:val="21"/>
                <w:szCs w:val="21"/>
              </w:rPr>
            </w:pPr>
            <w:r>
              <w:rPr>
                <w:rFonts w:hint="eastAsia" w:cs="宋体"/>
                <w:b/>
                <w:bCs/>
                <w:sz w:val="21"/>
                <w:szCs w:val="21"/>
              </w:rPr>
              <w:t>漏</w:t>
            </w:r>
          </w:p>
          <w:p>
            <w:pPr>
              <w:adjustRightInd w:val="0"/>
              <w:jc w:val="center"/>
              <w:rPr>
                <w:rFonts w:cs="宋体"/>
                <w:b/>
                <w:bCs/>
                <w:sz w:val="21"/>
                <w:szCs w:val="21"/>
              </w:rPr>
            </w:pPr>
            <w:r>
              <w:rPr>
                <w:rFonts w:hint="eastAsia" w:cs="宋体"/>
                <w:b/>
                <w:bCs/>
                <w:sz w:val="21"/>
                <w:szCs w:val="21"/>
              </w:rPr>
              <w:t>处</w:t>
            </w:r>
          </w:p>
          <w:p>
            <w:pPr>
              <w:adjustRightInd w:val="0"/>
              <w:jc w:val="center"/>
              <w:rPr>
                <w:sz w:val="21"/>
                <w:szCs w:val="21"/>
              </w:rPr>
            </w:pPr>
            <w:r>
              <w:rPr>
                <w:rFonts w:hint="eastAsia" w:cs="宋体"/>
                <w:b/>
                <w:bCs/>
                <w:sz w:val="21"/>
                <w:szCs w:val="21"/>
              </w:rPr>
              <w:t>理</w:t>
            </w:r>
          </w:p>
        </w:tc>
        <w:tc>
          <w:tcPr>
            <w:tcW w:w="9271" w:type="dxa"/>
            <w:gridSpan w:val="5"/>
            <w:tcBorders>
              <w:top w:val="single" w:color="auto" w:sz="6" w:space="0"/>
              <w:left w:val="single" w:color="auto" w:sz="6" w:space="0"/>
              <w:bottom w:val="single" w:color="auto" w:sz="6" w:space="0"/>
              <w:right w:val="single" w:color="auto" w:sz="6" w:space="0"/>
            </w:tcBorders>
          </w:tcPr>
          <w:p>
            <w:pPr>
              <w:adjustRightInd w:val="0"/>
              <w:rPr>
                <w:sz w:val="21"/>
                <w:szCs w:val="21"/>
              </w:rPr>
            </w:pPr>
            <w:r>
              <w:rPr>
                <w:rFonts w:hint="eastAsia" w:cs="宋体"/>
                <w:sz w:val="21"/>
                <w:szCs w:val="21"/>
              </w:rPr>
              <w:t>消除所有点火源。根据液体流动和蒸气扩散的影响区域划定警戒区，无关人员从侧风、上风向撤离至安全区。建议应急处理人员戴正压自给式呼吸器，穿防静电服，戴橡胶耐油手套。作业时使用的所有设备应接地。禁止接触或跨越泄漏泄漏物。尽可能切断泄漏源。防止泄漏物进入水体、下水道、地下室或限制性空间。小量泄漏：用砂土或其他不燃烧材料吸收。使用洁净的无火花工具收集吸收材料。大量泄漏：构筑围堤或挖坑收容。用砂土、惰性物质或蛭石吸收大量液体。用泡沫覆盖，减少蒸发。喷水雾能减少蒸发，但不能降低泄漏物在限制性空间内的易燃性。用防爆泵转移至槽车或专用收集器内。</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cantSplit/>
          <w:trHeight w:val="1046" w:hRule="atLeast"/>
          <w:jc w:val="center"/>
        </w:trPr>
        <w:tc>
          <w:tcPr>
            <w:tcW w:w="676"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cs="宋体"/>
                <w:b/>
                <w:bCs/>
                <w:sz w:val="21"/>
                <w:szCs w:val="21"/>
              </w:rPr>
            </w:pPr>
            <w:r>
              <w:rPr>
                <w:rFonts w:hint="eastAsia" w:cs="宋体"/>
                <w:b/>
                <w:bCs/>
                <w:sz w:val="21"/>
                <w:szCs w:val="21"/>
              </w:rPr>
              <w:t>储</w:t>
            </w:r>
          </w:p>
          <w:p>
            <w:pPr>
              <w:adjustRightInd w:val="0"/>
              <w:jc w:val="center"/>
              <w:rPr>
                <w:sz w:val="21"/>
                <w:szCs w:val="21"/>
              </w:rPr>
            </w:pPr>
            <w:r>
              <w:rPr>
                <w:rFonts w:hint="eastAsia" w:cs="宋体"/>
                <w:b/>
                <w:bCs/>
                <w:sz w:val="21"/>
                <w:szCs w:val="21"/>
              </w:rPr>
              <w:t>存</w:t>
            </w:r>
          </w:p>
        </w:tc>
        <w:tc>
          <w:tcPr>
            <w:tcW w:w="9271" w:type="dxa"/>
            <w:gridSpan w:val="5"/>
            <w:tcBorders>
              <w:top w:val="single" w:color="auto" w:sz="6" w:space="0"/>
              <w:left w:val="single" w:color="auto" w:sz="6" w:space="0"/>
              <w:bottom w:val="single" w:color="auto" w:sz="6" w:space="0"/>
              <w:right w:val="single" w:color="auto" w:sz="6" w:space="0"/>
            </w:tcBorders>
            <w:vAlign w:val="center"/>
          </w:tcPr>
          <w:p>
            <w:pPr>
              <w:adjustRightInd w:val="0"/>
              <w:rPr>
                <w:rFonts w:cs="宋体"/>
                <w:sz w:val="21"/>
                <w:szCs w:val="21"/>
              </w:rPr>
            </w:pPr>
            <w:r>
              <w:rPr>
                <w:rFonts w:hint="eastAsia"/>
                <w:sz w:val="21"/>
                <w:szCs w:val="21"/>
              </w:rPr>
              <w:t>通常商品加有阻聚剂。储存于阴凉、通风的库房。库温不宜超过37℃。远离火种、热源。包装要求密封，不可与空气接触。应与氧化剂、酸类、碱类等分开存放，切忌混储。不宜大量储存或久存。采用防爆型照明、通风设施。禁止使用易产生火花的机械设备和工具。储区应备有泄漏应急处理设备和合适的收容材料。</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cantSplit/>
          <w:trHeight w:val="37" w:hRule="atLeast"/>
          <w:jc w:val="center"/>
        </w:trPr>
        <w:tc>
          <w:tcPr>
            <w:tcW w:w="676" w:type="dxa"/>
            <w:vMerge w:val="restart"/>
            <w:tcBorders>
              <w:top w:val="single" w:color="auto" w:sz="6" w:space="0"/>
              <w:left w:val="single" w:color="auto" w:sz="6" w:space="0"/>
              <w:right w:val="single" w:color="auto" w:sz="6" w:space="0"/>
            </w:tcBorders>
            <w:vAlign w:val="center"/>
          </w:tcPr>
          <w:p>
            <w:pPr>
              <w:adjustRightInd w:val="0"/>
              <w:jc w:val="center"/>
              <w:rPr>
                <w:rFonts w:cs="宋体"/>
                <w:b/>
                <w:bCs/>
                <w:sz w:val="21"/>
                <w:szCs w:val="21"/>
              </w:rPr>
            </w:pPr>
            <w:r>
              <w:rPr>
                <w:rFonts w:hint="eastAsia" w:cs="宋体"/>
                <w:b/>
                <w:bCs/>
                <w:sz w:val="21"/>
                <w:szCs w:val="21"/>
              </w:rPr>
              <w:t>运</w:t>
            </w:r>
          </w:p>
          <w:p>
            <w:pPr>
              <w:adjustRightInd w:val="0"/>
              <w:jc w:val="center"/>
              <w:rPr>
                <w:rFonts w:cs="宋体"/>
                <w:b/>
                <w:bCs/>
                <w:sz w:val="21"/>
                <w:szCs w:val="21"/>
              </w:rPr>
            </w:pPr>
            <w:r>
              <w:rPr>
                <w:rFonts w:hint="eastAsia" w:cs="宋体"/>
                <w:b/>
                <w:bCs/>
                <w:sz w:val="21"/>
                <w:szCs w:val="21"/>
              </w:rPr>
              <w:t>输</w:t>
            </w:r>
          </w:p>
          <w:p>
            <w:pPr>
              <w:adjustRightInd w:val="0"/>
              <w:jc w:val="center"/>
              <w:rPr>
                <w:rFonts w:cs="宋体"/>
                <w:b/>
                <w:bCs/>
                <w:sz w:val="21"/>
                <w:szCs w:val="21"/>
              </w:rPr>
            </w:pPr>
            <w:r>
              <w:rPr>
                <w:rFonts w:hint="eastAsia" w:cs="宋体"/>
                <w:b/>
                <w:bCs/>
                <w:sz w:val="21"/>
                <w:szCs w:val="21"/>
              </w:rPr>
              <w:t>事</w:t>
            </w:r>
          </w:p>
          <w:p>
            <w:pPr>
              <w:jc w:val="center"/>
              <w:rPr>
                <w:sz w:val="21"/>
                <w:szCs w:val="21"/>
              </w:rPr>
            </w:pPr>
            <w:r>
              <w:rPr>
                <w:rFonts w:hint="eastAsia" w:cs="宋体"/>
                <w:b/>
                <w:bCs/>
                <w:sz w:val="21"/>
                <w:szCs w:val="21"/>
              </w:rPr>
              <w:t>项</w:t>
            </w:r>
          </w:p>
        </w:tc>
        <w:tc>
          <w:tcPr>
            <w:tcW w:w="2904" w:type="dxa"/>
            <w:tcBorders>
              <w:top w:val="single" w:color="auto" w:sz="6" w:space="0"/>
              <w:left w:val="single" w:color="auto" w:sz="6" w:space="0"/>
              <w:bottom w:val="single" w:color="auto" w:sz="6" w:space="0"/>
              <w:right w:val="single" w:color="auto" w:sz="6" w:space="0"/>
            </w:tcBorders>
            <w:vAlign w:val="center"/>
          </w:tcPr>
          <w:p>
            <w:pPr>
              <w:adjustRightInd w:val="0"/>
              <w:rPr>
                <w:sz w:val="21"/>
                <w:szCs w:val="21"/>
              </w:rPr>
            </w:pPr>
            <w:r>
              <w:rPr>
                <w:rFonts w:hint="eastAsia"/>
                <w:sz w:val="21"/>
                <w:szCs w:val="21"/>
              </w:rPr>
              <w:t>铁规编号：31231</w:t>
            </w:r>
          </w:p>
        </w:tc>
        <w:tc>
          <w:tcPr>
            <w:tcW w:w="2702" w:type="dxa"/>
            <w:gridSpan w:val="2"/>
            <w:tcBorders>
              <w:top w:val="single" w:color="auto" w:sz="6" w:space="0"/>
              <w:left w:val="single" w:color="auto" w:sz="6" w:space="0"/>
              <w:bottom w:val="single" w:color="auto" w:sz="6" w:space="0"/>
              <w:right w:val="single" w:color="auto" w:sz="4" w:space="0"/>
            </w:tcBorders>
            <w:vAlign w:val="center"/>
          </w:tcPr>
          <w:p>
            <w:pPr>
              <w:adjustRightInd w:val="0"/>
              <w:rPr>
                <w:sz w:val="21"/>
                <w:szCs w:val="21"/>
              </w:rPr>
            </w:pPr>
            <w:r>
              <w:rPr>
                <w:rFonts w:hint="eastAsia"/>
                <w:sz w:val="21"/>
                <w:szCs w:val="21"/>
              </w:rPr>
              <w:t>包装类别：Ⅱ类包装</w:t>
            </w:r>
          </w:p>
        </w:tc>
        <w:tc>
          <w:tcPr>
            <w:tcW w:w="3665" w:type="dxa"/>
            <w:gridSpan w:val="2"/>
            <w:tcBorders>
              <w:top w:val="single" w:color="auto" w:sz="6" w:space="0"/>
              <w:left w:val="single" w:color="auto" w:sz="4" w:space="0"/>
              <w:bottom w:val="single" w:color="auto" w:sz="6" w:space="0"/>
              <w:right w:val="single" w:color="auto" w:sz="6" w:space="0"/>
            </w:tcBorders>
            <w:vAlign w:val="center"/>
          </w:tcPr>
          <w:p>
            <w:pPr>
              <w:adjustRightInd w:val="0"/>
              <w:rPr>
                <w:sz w:val="21"/>
                <w:szCs w:val="21"/>
              </w:rPr>
            </w:pPr>
            <w:r>
              <w:rPr>
                <w:rFonts w:hint="eastAsia"/>
                <w:sz w:val="21"/>
                <w:szCs w:val="21"/>
              </w:rPr>
              <w:t>包装标志：易燃液体</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cantSplit/>
          <w:trHeight w:val="701" w:hRule="atLeast"/>
          <w:jc w:val="center"/>
        </w:trPr>
        <w:tc>
          <w:tcPr>
            <w:tcW w:w="676" w:type="dxa"/>
            <w:vMerge w:val="continue"/>
            <w:tcBorders>
              <w:top w:val="single" w:color="auto" w:sz="6" w:space="0"/>
              <w:left w:val="single" w:color="auto" w:sz="6" w:space="0"/>
              <w:right w:val="single" w:color="auto" w:sz="6" w:space="0"/>
            </w:tcBorders>
            <w:vAlign w:val="center"/>
          </w:tcPr>
          <w:p>
            <w:pPr>
              <w:jc w:val="center"/>
              <w:rPr>
                <w:bCs/>
                <w:sz w:val="21"/>
                <w:szCs w:val="21"/>
              </w:rPr>
            </w:pPr>
          </w:p>
        </w:tc>
        <w:tc>
          <w:tcPr>
            <w:tcW w:w="9271" w:type="dxa"/>
            <w:gridSpan w:val="5"/>
            <w:tcBorders>
              <w:top w:val="single" w:color="auto" w:sz="6" w:space="0"/>
              <w:left w:val="single" w:color="auto" w:sz="6" w:space="0"/>
              <w:right w:val="single" w:color="auto" w:sz="6" w:space="0"/>
            </w:tcBorders>
            <w:vAlign w:val="center"/>
          </w:tcPr>
          <w:p>
            <w:pPr>
              <w:adjustRightInd w:val="0"/>
              <w:rPr>
                <w:sz w:val="21"/>
                <w:szCs w:val="21"/>
              </w:rPr>
            </w:pPr>
            <w:r>
              <w:rPr>
                <w:rFonts w:hint="eastAsia"/>
                <w:sz w:val="21"/>
                <w:szCs w:val="21"/>
              </w:rPr>
              <w:t>包装方法：桶装</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cantSplit/>
          <w:trHeight w:val="428" w:hRule="atLeast"/>
          <w:jc w:val="center"/>
        </w:trPr>
        <w:tc>
          <w:tcPr>
            <w:tcW w:w="676" w:type="dxa"/>
            <w:vMerge w:val="continue"/>
            <w:tcBorders>
              <w:left w:val="single" w:color="auto" w:sz="6" w:space="0"/>
              <w:bottom w:val="single" w:color="auto" w:sz="6" w:space="0"/>
              <w:right w:val="single" w:color="auto" w:sz="6" w:space="0"/>
            </w:tcBorders>
            <w:vAlign w:val="center"/>
          </w:tcPr>
          <w:p>
            <w:pPr>
              <w:jc w:val="center"/>
              <w:rPr>
                <w:bCs/>
                <w:sz w:val="21"/>
                <w:szCs w:val="21"/>
              </w:rPr>
            </w:pPr>
          </w:p>
        </w:tc>
        <w:tc>
          <w:tcPr>
            <w:tcW w:w="9271" w:type="dxa"/>
            <w:gridSpan w:val="5"/>
            <w:tcBorders>
              <w:top w:val="single" w:color="auto" w:sz="6" w:space="0"/>
              <w:left w:val="single" w:color="auto" w:sz="6" w:space="0"/>
              <w:bottom w:val="single" w:color="auto" w:sz="6" w:space="0"/>
              <w:right w:val="single" w:color="auto" w:sz="6" w:space="0"/>
            </w:tcBorders>
          </w:tcPr>
          <w:p>
            <w:pPr>
              <w:snapToGrid w:val="0"/>
              <w:rPr>
                <w:sz w:val="21"/>
                <w:szCs w:val="21"/>
              </w:rPr>
            </w:pPr>
            <w:r>
              <w:rPr>
                <w:rFonts w:hint="eastAsia"/>
                <w:sz w:val="21"/>
                <w:szCs w:val="21"/>
              </w:rPr>
              <w:t>运输注意事项：运输时运输车辆应配备相应品种和数量的消防器材及泄漏应急处理设备。夏季最好早晚运输。运输时所用的槽（罐）车应有接地链，槽内可设孔隔板以减少震荡产生静电。严禁与氧化剂、酸类、碱类、食用化学品等混装混运。运输途中应防曝晒、雨淋，防高温。中途停留时应远离火种、热源、高温区。装运该物品的车辆排气管必须配备阻火装置，禁止使用易产生火花的机械设备和工具装卸。公路运输时要按规定路线行驶，勿在居民区和人口稠密区停留。</w:t>
            </w:r>
          </w:p>
        </w:tc>
      </w:tr>
    </w:tbl>
    <w:p>
      <w:pPr>
        <w:spacing w:line="266" w:lineRule="exact"/>
        <w:rPr>
          <w:sz w:val="21"/>
        </w:rPr>
        <w:sectPr>
          <w:pgSz w:w="11910" w:h="16840"/>
          <w:pgMar w:top="1360" w:right="839" w:bottom="1180" w:left="840" w:header="882" w:footer="993" w:gutter="0"/>
          <w:cols w:space="720" w:num="1"/>
        </w:sectPr>
      </w:pPr>
    </w:p>
    <w:p>
      <w:pPr>
        <w:pStyle w:val="10"/>
        <w:spacing w:before="11"/>
        <w:rPr>
          <w:b/>
          <w:sz w:val="11"/>
        </w:rPr>
      </w:pPr>
    </w:p>
    <w:p>
      <w:pPr>
        <w:rPr>
          <w:sz w:val="11"/>
        </w:rPr>
        <w:sectPr>
          <w:pgSz w:w="11910" w:h="16840"/>
          <w:pgMar w:top="1360" w:right="839" w:bottom="1180" w:left="840" w:header="882" w:footer="993" w:gutter="0"/>
          <w:cols w:space="720" w:num="1"/>
        </w:sectPr>
      </w:pPr>
    </w:p>
    <w:p>
      <w:pPr>
        <w:spacing w:before="73"/>
        <w:ind w:left="240"/>
        <w:rPr>
          <w:b/>
          <w:sz w:val="28"/>
        </w:rPr>
      </w:pPr>
      <w:r>
        <w:rPr>
          <w:b/>
          <w:spacing w:val="-25"/>
          <w:sz w:val="28"/>
        </w:rPr>
        <w:t xml:space="preserve">附件 </w:t>
      </w:r>
      <w:r>
        <w:rPr>
          <w:rFonts w:ascii="Times New Roman" w:eastAsia="Times New Roman"/>
          <w:b/>
          <w:sz w:val="28"/>
        </w:rPr>
        <w:t>8</w:t>
      </w:r>
      <w:r>
        <w:rPr>
          <w:rFonts w:ascii="Times New Roman" w:eastAsia="Times New Roman"/>
          <w:b/>
          <w:spacing w:val="67"/>
          <w:sz w:val="28"/>
        </w:rPr>
        <w:t xml:space="preserve"> </w:t>
      </w:r>
      <w:r>
        <w:rPr>
          <w:b/>
          <w:sz w:val="28"/>
        </w:rPr>
        <w:t>应急处置卡</w:t>
      </w:r>
    </w:p>
    <w:p>
      <w:pPr>
        <w:pStyle w:val="10"/>
        <w:rPr>
          <w:b/>
        </w:rPr>
      </w:pPr>
      <w:r>
        <w:br w:type="column"/>
      </w:r>
    </w:p>
    <w:p>
      <w:pPr>
        <w:pStyle w:val="10"/>
        <w:spacing w:before="4"/>
        <w:rPr>
          <w:b/>
          <w:sz w:val="22"/>
        </w:rPr>
      </w:pPr>
    </w:p>
    <w:p>
      <w:pPr>
        <w:pStyle w:val="9"/>
        <w:ind w:left="240"/>
        <w:jc w:val="left"/>
      </w:pPr>
      <w:r>
        <w:t>电气火灾应急处置卡</w:t>
      </w:r>
    </w:p>
    <w:p>
      <w:pPr>
        <w:sectPr>
          <w:type w:val="continuous"/>
          <w:pgSz w:w="11910" w:h="16840"/>
          <w:pgMar w:top="1360" w:right="839" w:bottom="280" w:left="840" w:header="720" w:footer="720" w:gutter="0"/>
          <w:cols w:equalWidth="0" w:num="2">
            <w:col w:w="2597" w:space="1195"/>
            <w:col w:w="6439"/>
          </w:cols>
        </w:sectPr>
      </w:pPr>
    </w:p>
    <w:tbl>
      <w:tblPr>
        <w:tblStyle w:val="15"/>
        <w:tblW w:w="0" w:type="auto"/>
        <w:tblInd w:w="14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76"/>
        <w:gridCol w:w="2012"/>
        <w:gridCol w:w="2314"/>
        <w:gridCol w:w="375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876" w:type="dxa"/>
            <w:tcBorders>
              <w:bottom w:val="single" w:color="000000" w:sz="4" w:space="0"/>
              <w:right w:val="single" w:color="000000" w:sz="4" w:space="0"/>
            </w:tcBorders>
          </w:tcPr>
          <w:p>
            <w:pPr>
              <w:pStyle w:val="24"/>
              <w:spacing w:before="34"/>
              <w:ind w:left="286" w:right="269"/>
              <w:jc w:val="center"/>
              <w:rPr>
                <w:sz w:val="21"/>
              </w:rPr>
            </w:pPr>
            <w:r>
              <w:rPr>
                <w:sz w:val="21"/>
              </w:rPr>
              <w:t>突发事件描述</w:t>
            </w:r>
          </w:p>
        </w:tc>
        <w:tc>
          <w:tcPr>
            <w:tcW w:w="8083" w:type="dxa"/>
            <w:gridSpan w:val="3"/>
            <w:tcBorders>
              <w:left w:val="single" w:color="000000" w:sz="4" w:space="0"/>
              <w:bottom w:val="single" w:color="000000" w:sz="4" w:space="0"/>
            </w:tcBorders>
          </w:tcPr>
          <w:p>
            <w:pPr>
              <w:pStyle w:val="24"/>
              <w:spacing w:before="34"/>
              <w:ind w:left="117"/>
              <w:rPr>
                <w:sz w:val="21"/>
              </w:rPr>
            </w:pPr>
            <w:r>
              <w:rPr>
                <w:sz w:val="21"/>
              </w:rPr>
              <w:t>配电柜、电器、电力线等电气元件发生火灾</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876" w:type="dxa"/>
            <w:tcBorders>
              <w:top w:val="single" w:color="000000" w:sz="4" w:space="0"/>
              <w:bottom w:val="single" w:color="000000" w:sz="4" w:space="0"/>
              <w:right w:val="single" w:color="000000" w:sz="4" w:space="0"/>
            </w:tcBorders>
          </w:tcPr>
          <w:p>
            <w:pPr>
              <w:pStyle w:val="24"/>
              <w:spacing w:before="34"/>
              <w:ind w:left="284" w:right="269"/>
              <w:jc w:val="center"/>
              <w:rPr>
                <w:sz w:val="21"/>
              </w:rPr>
            </w:pPr>
            <w:r>
              <w:rPr>
                <w:sz w:val="21"/>
              </w:rPr>
              <w:t>事件级别</w:t>
            </w:r>
          </w:p>
        </w:tc>
        <w:tc>
          <w:tcPr>
            <w:tcW w:w="8083" w:type="dxa"/>
            <w:gridSpan w:val="3"/>
            <w:tcBorders>
              <w:top w:val="single" w:color="000000" w:sz="4" w:space="0"/>
              <w:left w:val="single" w:color="000000" w:sz="4" w:space="0"/>
              <w:bottom w:val="single" w:color="000000" w:sz="4" w:space="0"/>
            </w:tcBorders>
          </w:tcPr>
          <w:p>
            <w:pPr>
              <w:pStyle w:val="24"/>
              <w:spacing w:before="34"/>
              <w:ind w:left="117"/>
              <w:rPr>
                <w:sz w:val="21"/>
              </w:rPr>
            </w:pPr>
            <w:r>
              <w:rPr>
                <w:rFonts w:ascii="Times New Roman" w:eastAsia="Times New Roman"/>
                <w:sz w:val="21"/>
              </w:rPr>
              <w:t xml:space="preserve">I~II </w:t>
            </w:r>
            <w:r>
              <w:rPr>
                <w:sz w:val="21"/>
              </w:rPr>
              <w:t>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876" w:type="dxa"/>
            <w:vMerge w:val="restart"/>
            <w:tcBorders>
              <w:top w:val="single" w:color="000000" w:sz="4" w:space="0"/>
              <w:bottom w:val="single" w:color="000000" w:sz="4" w:space="0"/>
              <w:right w:val="single" w:color="000000" w:sz="4" w:space="0"/>
            </w:tcBorders>
          </w:tcPr>
          <w:p>
            <w:pPr>
              <w:pStyle w:val="24"/>
              <w:rPr>
                <w:b/>
                <w:sz w:val="20"/>
              </w:rPr>
            </w:pPr>
          </w:p>
          <w:p>
            <w:pPr>
              <w:pStyle w:val="24"/>
              <w:spacing w:before="129"/>
              <w:ind w:left="202"/>
              <w:rPr>
                <w:sz w:val="21"/>
              </w:rPr>
            </w:pPr>
            <w:r>
              <w:rPr>
                <w:sz w:val="21"/>
              </w:rPr>
              <w:t>危害及后果分析</w:t>
            </w:r>
          </w:p>
        </w:tc>
        <w:tc>
          <w:tcPr>
            <w:tcW w:w="8083" w:type="dxa"/>
            <w:gridSpan w:val="3"/>
            <w:tcBorders>
              <w:top w:val="single" w:color="000000" w:sz="4" w:space="0"/>
              <w:left w:val="single" w:color="000000" w:sz="4" w:space="0"/>
              <w:bottom w:val="single" w:color="000000" w:sz="4" w:space="0"/>
            </w:tcBorders>
          </w:tcPr>
          <w:p>
            <w:pPr>
              <w:pStyle w:val="24"/>
              <w:spacing w:before="34"/>
              <w:ind w:left="117"/>
              <w:rPr>
                <w:sz w:val="21"/>
              </w:rPr>
            </w:pPr>
            <w:r>
              <w:rPr>
                <w:rFonts w:ascii="Times New Roman" w:eastAsia="Times New Roman"/>
                <w:sz w:val="21"/>
              </w:rPr>
              <w:t>1.</w:t>
            </w:r>
            <w:r>
              <w:rPr>
                <w:sz w:val="21"/>
              </w:rPr>
              <w:t>产生明火</w:t>
            </w:r>
            <w:r>
              <w:rPr>
                <w:rFonts w:ascii="Times New Roman" w:eastAsia="Times New Roman"/>
                <w:sz w:val="21"/>
              </w:rPr>
              <w:t>,</w:t>
            </w:r>
            <w:r>
              <w:rPr>
                <w:sz w:val="21"/>
              </w:rPr>
              <w:t>可能造成次生事故。</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876" w:type="dxa"/>
            <w:vMerge w:val="continue"/>
            <w:tcBorders>
              <w:top w:val="nil"/>
              <w:bottom w:val="single" w:color="000000" w:sz="4" w:space="0"/>
              <w:right w:val="single" w:color="000000" w:sz="4" w:space="0"/>
            </w:tcBorders>
          </w:tcPr>
          <w:p>
            <w:pPr>
              <w:rPr>
                <w:sz w:val="2"/>
                <w:szCs w:val="2"/>
              </w:rPr>
            </w:pPr>
          </w:p>
        </w:tc>
        <w:tc>
          <w:tcPr>
            <w:tcW w:w="8083" w:type="dxa"/>
            <w:gridSpan w:val="3"/>
            <w:tcBorders>
              <w:top w:val="single" w:color="000000" w:sz="4" w:space="0"/>
              <w:left w:val="single" w:color="000000" w:sz="4" w:space="0"/>
              <w:bottom w:val="single" w:color="000000" w:sz="4" w:space="0"/>
            </w:tcBorders>
          </w:tcPr>
          <w:p>
            <w:pPr>
              <w:pStyle w:val="24"/>
              <w:spacing w:before="35"/>
              <w:ind w:left="117"/>
              <w:rPr>
                <w:sz w:val="21"/>
              </w:rPr>
            </w:pPr>
            <w:r>
              <w:rPr>
                <w:rFonts w:ascii="Times New Roman" w:eastAsia="Times New Roman"/>
                <w:sz w:val="21"/>
              </w:rPr>
              <w:t>2.</w:t>
            </w:r>
            <w:r>
              <w:rPr>
                <w:sz w:val="21"/>
              </w:rPr>
              <w:t>设备设施损坏。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876" w:type="dxa"/>
            <w:vMerge w:val="continue"/>
            <w:tcBorders>
              <w:top w:val="nil"/>
              <w:bottom w:val="single" w:color="000000" w:sz="4" w:space="0"/>
              <w:right w:val="single" w:color="000000" w:sz="4" w:space="0"/>
            </w:tcBorders>
          </w:tcPr>
          <w:p>
            <w:pPr>
              <w:rPr>
                <w:sz w:val="2"/>
                <w:szCs w:val="2"/>
              </w:rPr>
            </w:pPr>
          </w:p>
        </w:tc>
        <w:tc>
          <w:tcPr>
            <w:tcW w:w="8083" w:type="dxa"/>
            <w:gridSpan w:val="3"/>
            <w:tcBorders>
              <w:top w:val="single" w:color="000000" w:sz="4" w:space="0"/>
              <w:left w:val="single" w:color="000000" w:sz="4" w:space="0"/>
              <w:bottom w:val="single" w:color="000000" w:sz="4" w:space="0"/>
            </w:tcBorders>
          </w:tcPr>
          <w:p>
            <w:pPr>
              <w:pStyle w:val="24"/>
              <w:spacing w:before="33"/>
              <w:ind w:left="117"/>
              <w:rPr>
                <w:sz w:val="21"/>
              </w:rPr>
            </w:pPr>
            <w:r>
              <w:rPr>
                <w:rFonts w:ascii="Times New Roman" w:eastAsia="Times New Roman"/>
                <w:sz w:val="21"/>
              </w:rPr>
              <w:t>3.</w:t>
            </w:r>
            <w:r>
              <w:rPr>
                <w:sz w:val="21"/>
              </w:rPr>
              <w:t>可能造成人身伤害。</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876" w:type="dxa"/>
            <w:tcBorders>
              <w:top w:val="single" w:color="000000" w:sz="4" w:space="0"/>
              <w:bottom w:val="single" w:color="000000" w:sz="4" w:space="0"/>
              <w:right w:val="single" w:color="000000" w:sz="4" w:space="0"/>
            </w:tcBorders>
          </w:tcPr>
          <w:p>
            <w:pPr>
              <w:pStyle w:val="24"/>
              <w:spacing w:before="33"/>
              <w:ind w:left="284" w:right="269"/>
              <w:jc w:val="center"/>
              <w:rPr>
                <w:sz w:val="21"/>
              </w:rPr>
            </w:pPr>
            <w:r>
              <w:rPr>
                <w:sz w:val="21"/>
              </w:rPr>
              <w:t>应急物资</w:t>
            </w:r>
          </w:p>
        </w:tc>
        <w:tc>
          <w:tcPr>
            <w:tcW w:w="8083" w:type="dxa"/>
            <w:gridSpan w:val="3"/>
            <w:tcBorders>
              <w:top w:val="single" w:color="000000" w:sz="4" w:space="0"/>
              <w:left w:val="single" w:color="000000" w:sz="4" w:space="0"/>
              <w:bottom w:val="single" w:color="000000" w:sz="4" w:space="0"/>
            </w:tcBorders>
          </w:tcPr>
          <w:p>
            <w:pPr>
              <w:pStyle w:val="24"/>
              <w:spacing w:before="33"/>
              <w:ind w:left="117"/>
              <w:rPr>
                <w:sz w:val="21"/>
              </w:rPr>
            </w:pPr>
            <w:r>
              <w:rPr>
                <w:sz w:val="21"/>
              </w:rPr>
              <w:t>二氧化碳灭火器、绝缘手套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959" w:type="dxa"/>
            <w:gridSpan w:val="4"/>
            <w:tcBorders>
              <w:top w:val="single" w:color="000000" w:sz="4" w:space="0"/>
              <w:bottom w:val="single" w:color="000000" w:sz="4" w:space="0"/>
            </w:tcBorders>
          </w:tcPr>
          <w:p>
            <w:pPr>
              <w:pStyle w:val="24"/>
              <w:spacing w:before="34"/>
              <w:ind w:left="4089" w:right="4064"/>
              <w:jc w:val="center"/>
              <w:rPr>
                <w:sz w:val="21"/>
              </w:rPr>
            </w:pPr>
            <w:r>
              <w:rPr>
                <w:sz w:val="21"/>
              </w:rPr>
              <w:t>处置措施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1876" w:type="dxa"/>
            <w:tcBorders>
              <w:top w:val="single" w:color="000000" w:sz="4" w:space="0"/>
              <w:bottom w:val="single" w:color="000000" w:sz="4" w:space="0"/>
              <w:right w:val="single" w:color="000000" w:sz="4" w:space="0"/>
            </w:tcBorders>
          </w:tcPr>
          <w:p>
            <w:pPr>
              <w:pStyle w:val="24"/>
              <w:spacing w:before="2"/>
              <w:rPr>
                <w:b/>
                <w:sz w:val="21"/>
              </w:rPr>
            </w:pPr>
          </w:p>
          <w:p>
            <w:pPr>
              <w:pStyle w:val="24"/>
              <w:spacing w:before="1"/>
              <w:ind w:left="286" w:right="269"/>
              <w:jc w:val="center"/>
              <w:rPr>
                <w:sz w:val="21"/>
              </w:rPr>
            </w:pPr>
            <w:r>
              <w:rPr>
                <w:sz w:val="21"/>
              </w:rPr>
              <w:t>报警</w:t>
            </w:r>
          </w:p>
        </w:tc>
        <w:tc>
          <w:tcPr>
            <w:tcW w:w="8083" w:type="dxa"/>
            <w:gridSpan w:val="3"/>
            <w:tcBorders>
              <w:top w:val="single" w:color="000000" w:sz="4" w:space="0"/>
              <w:left w:val="single" w:color="000000" w:sz="4" w:space="0"/>
              <w:bottom w:val="single" w:color="000000" w:sz="4" w:space="0"/>
            </w:tcBorders>
          </w:tcPr>
          <w:p>
            <w:pPr>
              <w:pStyle w:val="24"/>
              <w:spacing w:line="242" w:lineRule="auto"/>
              <w:ind w:left="117" w:right="-29" w:firstLine="420"/>
              <w:rPr>
                <w:sz w:val="21"/>
              </w:rPr>
            </w:pPr>
            <w:r>
              <w:rPr>
                <w:rFonts w:hint="eastAsia" w:ascii="宋体" w:hAnsi="宋体" w:eastAsia="宋体"/>
                <w:sz w:val="21"/>
              </w:rPr>
              <w:t>①</w:t>
            </w:r>
            <w:r>
              <w:rPr>
                <w:sz w:val="21"/>
              </w:rPr>
              <w:t xml:space="preserve">报警程序：第一发现人应立即报告车间负责人，车间负责人报告应急指挥部， </w:t>
            </w:r>
            <w:r>
              <w:rPr>
                <w:spacing w:val="-2"/>
                <w:w w:val="95"/>
                <w:sz w:val="21"/>
              </w:rPr>
              <w:t>应急指挥部视情况报告赤壁市生态环境、应急管理等部门，通知各应急小组赶赴现场。</w:t>
            </w:r>
          </w:p>
          <w:p>
            <w:pPr>
              <w:pStyle w:val="24"/>
              <w:spacing w:before="2" w:line="251" w:lineRule="exact"/>
              <w:ind w:left="537"/>
              <w:rPr>
                <w:sz w:val="21"/>
              </w:rPr>
            </w:pPr>
            <w:r>
              <w:rPr>
                <w:rFonts w:hint="eastAsia" w:ascii="宋体" w:hAnsi="宋体" w:eastAsia="宋体"/>
                <w:sz w:val="21"/>
              </w:rPr>
              <w:t>②</w:t>
            </w:r>
            <w:r>
              <w:rPr>
                <w:sz w:val="21"/>
              </w:rPr>
              <w:t>报警内容：电气火灾位置及严重程度等。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179" w:hRule="atLeast"/>
        </w:trPr>
        <w:tc>
          <w:tcPr>
            <w:tcW w:w="1876" w:type="dxa"/>
            <w:tcBorders>
              <w:top w:val="single" w:color="000000" w:sz="4" w:space="0"/>
              <w:bottom w:val="single" w:color="000000" w:sz="4" w:space="0"/>
              <w:right w:val="single" w:color="000000" w:sz="4" w:space="0"/>
            </w:tcBorders>
          </w:tcPr>
          <w:p>
            <w:pPr>
              <w:pStyle w:val="24"/>
              <w:rPr>
                <w:b/>
                <w:sz w:val="20"/>
              </w:rPr>
            </w:pPr>
          </w:p>
          <w:p>
            <w:pPr>
              <w:pStyle w:val="24"/>
              <w:rPr>
                <w:b/>
                <w:sz w:val="20"/>
              </w:rPr>
            </w:pPr>
          </w:p>
          <w:p>
            <w:pPr>
              <w:pStyle w:val="24"/>
              <w:rPr>
                <w:b/>
                <w:sz w:val="20"/>
              </w:rPr>
            </w:pPr>
          </w:p>
          <w:p>
            <w:pPr>
              <w:pStyle w:val="24"/>
              <w:spacing w:before="4"/>
              <w:rPr>
                <w:b/>
                <w:sz w:val="14"/>
              </w:rPr>
            </w:pPr>
          </w:p>
          <w:p>
            <w:pPr>
              <w:pStyle w:val="24"/>
              <w:ind w:left="286" w:right="252"/>
              <w:jc w:val="center"/>
              <w:rPr>
                <w:sz w:val="21"/>
              </w:rPr>
            </w:pPr>
            <w:r>
              <w:rPr>
                <w:sz w:val="21"/>
              </w:rPr>
              <w:t>应急处置</w:t>
            </w:r>
          </w:p>
        </w:tc>
        <w:tc>
          <w:tcPr>
            <w:tcW w:w="8083" w:type="dxa"/>
            <w:gridSpan w:val="3"/>
            <w:tcBorders>
              <w:top w:val="single" w:color="000000" w:sz="4" w:space="0"/>
              <w:left w:val="single" w:color="000000" w:sz="4" w:space="0"/>
              <w:bottom w:val="single" w:color="000000" w:sz="4" w:space="0"/>
            </w:tcBorders>
          </w:tcPr>
          <w:p>
            <w:pPr>
              <w:pStyle w:val="24"/>
              <w:spacing w:before="2" w:line="242" w:lineRule="auto"/>
              <w:ind w:left="117" w:right="79" w:firstLine="420"/>
              <w:rPr>
                <w:sz w:val="21"/>
              </w:rPr>
            </w:pPr>
            <w:r>
              <w:rPr>
                <w:rFonts w:hint="eastAsia" w:ascii="宋体" w:hAnsi="宋体" w:eastAsia="宋体"/>
                <w:w w:val="95"/>
                <w:sz w:val="21"/>
              </w:rPr>
              <w:t>①</w:t>
            </w:r>
            <w:r>
              <w:rPr>
                <w:w w:val="95"/>
                <w:sz w:val="21"/>
              </w:rPr>
              <w:t xml:space="preserve">车间负责人：听到报警后，组织所有员工立即停止作业。切断总电源后使用二  </w:t>
            </w:r>
            <w:r>
              <w:rPr>
                <w:sz w:val="21"/>
              </w:rPr>
              <w:t>氧化碳、干粉灭火器进行扑救。其他员工负责进行灭火器材的输送。</w:t>
            </w:r>
          </w:p>
          <w:p>
            <w:pPr>
              <w:pStyle w:val="24"/>
              <w:spacing w:line="244" w:lineRule="auto"/>
              <w:ind w:left="117" w:right="79" w:firstLine="420"/>
              <w:rPr>
                <w:sz w:val="21"/>
              </w:rPr>
            </w:pPr>
            <w:r>
              <w:rPr>
                <w:rFonts w:hint="eastAsia" w:ascii="宋体" w:hAnsi="宋体" w:eastAsia="宋体"/>
                <w:w w:val="95"/>
                <w:sz w:val="21"/>
              </w:rPr>
              <w:t>②</w:t>
            </w:r>
            <w:r>
              <w:rPr>
                <w:w w:val="95"/>
                <w:sz w:val="21"/>
              </w:rPr>
              <w:t xml:space="preserve">疏散救援组：建立警戒区，疏散救援组进入危险区域人员必须佩戴氧气或空气  </w:t>
            </w:r>
            <w:r>
              <w:rPr>
                <w:sz w:val="21"/>
              </w:rPr>
              <w:t>呼吸器，严禁用纱布口罩或其他不适合的防中毒器具防护。</w:t>
            </w:r>
          </w:p>
          <w:p>
            <w:pPr>
              <w:pStyle w:val="24"/>
              <w:spacing w:line="244" w:lineRule="auto"/>
              <w:ind w:left="117" w:right="74" w:firstLine="420"/>
              <w:jc w:val="both"/>
              <w:rPr>
                <w:sz w:val="21"/>
              </w:rPr>
            </w:pPr>
            <w:r>
              <w:rPr>
                <w:sz w:val="21"/>
              </w:rPr>
              <w:t>拉下总闸。当无法拉下总闸时，应立即使用来令棒断开零克，电话通知供电部门切断电源。同时</w:t>
            </w:r>
            <w:r>
              <w:rPr>
                <w:rFonts w:ascii="Times New Roman" w:eastAsia="Times New Roman"/>
                <w:sz w:val="21"/>
              </w:rPr>
              <w:t>,</w:t>
            </w:r>
            <w:r>
              <w:rPr>
                <w:sz w:val="21"/>
              </w:rPr>
              <w:t>在确保人员不触电的情况</w:t>
            </w:r>
            <w:r>
              <w:rPr>
                <w:rFonts w:ascii="Times New Roman" w:eastAsia="Times New Roman"/>
                <w:sz w:val="21"/>
              </w:rPr>
              <w:t>(</w:t>
            </w:r>
            <w:r>
              <w:rPr>
                <w:sz w:val="21"/>
              </w:rPr>
              <w:t xml:space="preserve">保持 </w:t>
            </w:r>
            <w:r>
              <w:rPr>
                <w:rFonts w:ascii="Times New Roman" w:eastAsia="Times New Roman"/>
                <w:sz w:val="21"/>
              </w:rPr>
              <w:t xml:space="preserve">4 </w:t>
            </w:r>
            <w:r>
              <w:rPr>
                <w:sz w:val="21"/>
              </w:rPr>
              <w:t>米以上距离</w:t>
            </w:r>
            <w:r>
              <w:rPr>
                <w:rFonts w:ascii="Times New Roman" w:eastAsia="Times New Roman"/>
                <w:sz w:val="21"/>
              </w:rPr>
              <w:t>,</w:t>
            </w:r>
            <w:r>
              <w:rPr>
                <w:sz w:val="21"/>
              </w:rPr>
              <w:t>无直接接触可能</w:t>
            </w:r>
            <w:r>
              <w:rPr>
                <w:rFonts w:ascii="Times New Roman" w:eastAsia="Times New Roman"/>
                <w:sz w:val="21"/>
              </w:rPr>
              <w:t>,</w:t>
            </w:r>
            <w:r>
              <w:rPr>
                <w:sz w:val="21"/>
              </w:rPr>
              <w:t>站位处无水渍等</w:t>
            </w:r>
            <w:r>
              <w:rPr>
                <w:rFonts w:ascii="Times New Roman" w:eastAsia="Times New Roman"/>
                <w:sz w:val="21"/>
              </w:rPr>
              <w:t>)</w:t>
            </w:r>
            <w:r>
              <w:rPr>
                <w:sz w:val="21"/>
              </w:rPr>
              <w:t>下用灭火器直接向火源喷射。</w:t>
            </w:r>
          </w:p>
          <w:p>
            <w:pPr>
              <w:pStyle w:val="24"/>
              <w:spacing w:line="247" w:lineRule="exact"/>
              <w:ind w:left="537"/>
              <w:rPr>
                <w:sz w:val="21"/>
              </w:rPr>
            </w:pPr>
            <w:r>
              <w:rPr>
                <w:rFonts w:hint="eastAsia" w:ascii="宋体" w:hAnsi="宋体" w:eastAsia="宋体"/>
                <w:sz w:val="21"/>
              </w:rPr>
              <w:t>④</w:t>
            </w:r>
            <w:r>
              <w:rPr>
                <w:sz w:val="21"/>
              </w:rPr>
              <w:t>后勤医疗组：组织伤员救护，调集应急物资、医疗物资。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959" w:type="dxa"/>
            <w:gridSpan w:val="4"/>
            <w:tcBorders>
              <w:top w:val="single" w:color="000000" w:sz="4" w:space="0"/>
              <w:bottom w:val="single" w:color="000000" w:sz="4" w:space="0"/>
            </w:tcBorders>
          </w:tcPr>
          <w:p>
            <w:pPr>
              <w:pStyle w:val="24"/>
              <w:spacing w:before="35"/>
              <w:ind w:left="4089" w:right="4119"/>
              <w:jc w:val="center"/>
              <w:rPr>
                <w:sz w:val="21"/>
              </w:rPr>
            </w:pPr>
            <w:r>
              <w:rPr>
                <w:sz w:val="21"/>
              </w:rPr>
              <w:t>应急处置注意事项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9959" w:type="dxa"/>
            <w:gridSpan w:val="4"/>
            <w:tcBorders>
              <w:top w:val="single" w:color="000000" w:sz="4" w:space="0"/>
              <w:bottom w:val="single" w:color="000000" w:sz="4" w:space="0"/>
            </w:tcBorders>
          </w:tcPr>
          <w:p>
            <w:pPr>
              <w:pStyle w:val="24"/>
              <w:spacing w:before="2"/>
              <w:ind w:left="526"/>
              <w:rPr>
                <w:sz w:val="21"/>
              </w:rPr>
            </w:pPr>
            <w:r>
              <w:rPr>
                <w:sz w:val="21"/>
              </w:rPr>
              <w:t>在无法控制火势的情况下</w:t>
            </w:r>
            <w:r>
              <w:rPr>
                <w:rFonts w:ascii="Times New Roman" w:eastAsia="Times New Roman"/>
                <w:sz w:val="21"/>
              </w:rPr>
              <w:t>,</w:t>
            </w:r>
            <w:r>
              <w:rPr>
                <w:sz w:val="21"/>
              </w:rPr>
              <w:t xml:space="preserve">迅速拨打 </w:t>
            </w:r>
            <w:r>
              <w:rPr>
                <w:rFonts w:ascii="Times New Roman" w:eastAsia="Times New Roman"/>
                <w:sz w:val="21"/>
              </w:rPr>
              <w:t>119,</w:t>
            </w:r>
            <w:r>
              <w:rPr>
                <w:sz w:val="21"/>
              </w:rPr>
              <w:t>疏散厂区人员。</w:t>
            </w:r>
          </w:p>
          <w:p>
            <w:pPr>
              <w:pStyle w:val="24"/>
              <w:spacing w:before="2" w:line="252" w:lineRule="exact"/>
              <w:ind w:left="526"/>
              <w:rPr>
                <w:sz w:val="21"/>
              </w:rPr>
            </w:pPr>
            <w:r>
              <w:rPr>
                <w:sz w:val="21"/>
              </w:rPr>
              <w:t>电气火灾处置原则是先断电</w:t>
            </w:r>
            <w:r>
              <w:rPr>
                <w:rFonts w:ascii="Times New Roman" w:eastAsia="Times New Roman"/>
                <w:sz w:val="21"/>
              </w:rPr>
              <w:t>,</w:t>
            </w:r>
            <w:r>
              <w:rPr>
                <w:sz w:val="21"/>
              </w:rPr>
              <w:t>后处置。扑救电气火灾首选二氧化碳灭火器</w:t>
            </w:r>
            <w:r>
              <w:rPr>
                <w:rFonts w:ascii="Times New Roman" w:eastAsia="Times New Roman"/>
                <w:sz w:val="21"/>
              </w:rPr>
              <w:t>,</w:t>
            </w:r>
            <w:r>
              <w:rPr>
                <w:sz w:val="21"/>
              </w:rPr>
              <w:t>切勿用水扑救。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959" w:type="dxa"/>
            <w:gridSpan w:val="4"/>
            <w:tcBorders>
              <w:top w:val="single" w:color="000000" w:sz="4" w:space="0"/>
              <w:bottom w:val="single" w:color="000000" w:sz="4" w:space="0"/>
            </w:tcBorders>
          </w:tcPr>
          <w:p>
            <w:pPr>
              <w:pStyle w:val="24"/>
              <w:spacing w:before="32"/>
              <w:ind w:left="4089" w:right="4066"/>
              <w:jc w:val="center"/>
              <w:rPr>
                <w:sz w:val="21"/>
              </w:rPr>
            </w:pPr>
            <w:r>
              <w:rPr>
                <w:sz w:val="21"/>
              </w:rPr>
              <w:t>应急联系电话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876" w:type="dxa"/>
            <w:tcBorders>
              <w:top w:val="single" w:color="000000" w:sz="4" w:space="0"/>
              <w:bottom w:val="single" w:color="000000" w:sz="4" w:space="0"/>
              <w:right w:val="single" w:color="000000" w:sz="4" w:space="0"/>
            </w:tcBorders>
          </w:tcPr>
          <w:p>
            <w:pPr>
              <w:pStyle w:val="24"/>
              <w:spacing w:before="33"/>
              <w:ind w:left="286" w:right="269"/>
              <w:jc w:val="center"/>
              <w:rPr>
                <w:sz w:val="21"/>
              </w:rPr>
            </w:pPr>
            <w:r>
              <w:rPr>
                <w:sz w:val="21"/>
              </w:rPr>
              <w:t>内部</w:t>
            </w:r>
          </w:p>
        </w:tc>
        <w:tc>
          <w:tcPr>
            <w:tcW w:w="8083" w:type="dxa"/>
            <w:gridSpan w:val="3"/>
            <w:tcBorders>
              <w:top w:val="single" w:color="000000" w:sz="4" w:space="0"/>
              <w:left w:val="single" w:color="000000" w:sz="4" w:space="0"/>
              <w:bottom w:val="single" w:color="000000" w:sz="4" w:space="0"/>
            </w:tcBorders>
          </w:tcPr>
          <w:p>
            <w:pPr>
              <w:pStyle w:val="24"/>
              <w:spacing w:before="47"/>
              <w:ind w:right="3415" w:firstLine="2640" w:firstLineChars="1200"/>
              <w:jc w:val="both"/>
              <w:rPr>
                <w:rFonts w:ascii="Times New Roman"/>
                <w:sz w:val="21"/>
              </w:rPr>
            </w:pPr>
            <w:r>
              <w:rPr>
                <w:rFonts w:hint="eastAsia"/>
                <w:szCs w:val="21"/>
              </w:rPr>
              <w:t>13907246986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1876" w:type="dxa"/>
            <w:vMerge w:val="restart"/>
            <w:tcBorders>
              <w:top w:val="single" w:color="000000" w:sz="4" w:space="0"/>
              <w:right w:val="single" w:color="000000" w:sz="4" w:space="0"/>
            </w:tcBorders>
          </w:tcPr>
          <w:p>
            <w:pPr>
              <w:pStyle w:val="24"/>
              <w:rPr>
                <w:b/>
                <w:sz w:val="20"/>
              </w:rPr>
            </w:pPr>
          </w:p>
          <w:p>
            <w:pPr>
              <w:pStyle w:val="24"/>
              <w:spacing w:before="2"/>
              <w:rPr>
                <w:b/>
                <w:sz w:val="24"/>
              </w:rPr>
            </w:pPr>
          </w:p>
          <w:p>
            <w:pPr>
              <w:pStyle w:val="24"/>
              <w:ind w:left="286" w:right="269"/>
              <w:jc w:val="center"/>
              <w:rPr>
                <w:sz w:val="21"/>
              </w:rPr>
            </w:pPr>
            <w:r>
              <w:rPr>
                <w:sz w:val="21"/>
              </w:rPr>
              <w:t>其他</w:t>
            </w:r>
          </w:p>
        </w:tc>
        <w:tc>
          <w:tcPr>
            <w:tcW w:w="2012" w:type="dxa"/>
            <w:tcBorders>
              <w:top w:val="single" w:color="000000" w:sz="4" w:space="0"/>
              <w:left w:val="single" w:color="000000" w:sz="4" w:space="0"/>
              <w:bottom w:val="single" w:color="000000" w:sz="4" w:space="0"/>
              <w:right w:val="single" w:color="000000" w:sz="4" w:space="0"/>
            </w:tcBorders>
          </w:tcPr>
          <w:p>
            <w:pPr>
              <w:pStyle w:val="24"/>
              <w:spacing w:before="33"/>
              <w:ind w:left="544" w:right="519"/>
              <w:jc w:val="center"/>
              <w:rPr>
                <w:sz w:val="21"/>
              </w:rPr>
            </w:pPr>
            <w:r>
              <w:rPr>
                <w:sz w:val="21"/>
              </w:rPr>
              <w:t>火警</w:t>
            </w:r>
            <w:r>
              <w:rPr>
                <w:rFonts w:ascii="Times New Roman" w:eastAsia="Times New Roman"/>
                <w:sz w:val="21"/>
              </w:rPr>
              <w:t>/</w:t>
            </w:r>
            <w:r>
              <w:rPr>
                <w:sz w:val="21"/>
              </w:rPr>
              <w:t>匪警</w:t>
            </w:r>
          </w:p>
        </w:tc>
        <w:tc>
          <w:tcPr>
            <w:tcW w:w="2314" w:type="dxa"/>
            <w:tcBorders>
              <w:top w:val="single" w:color="000000" w:sz="4" w:space="0"/>
              <w:left w:val="single" w:color="000000" w:sz="4" w:space="0"/>
              <w:bottom w:val="single" w:color="000000" w:sz="4" w:space="0"/>
              <w:right w:val="single" w:color="000000" w:sz="4" w:space="0"/>
            </w:tcBorders>
          </w:tcPr>
          <w:p>
            <w:pPr>
              <w:pStyle w:val="24"/>
              <w:spacing w:before="33"/>
              <w:ind w:left="515" w:right="489"/>
              <w:jc w:val="center"/>
              <w:rPr>
                <w:sz w:val="21"/>
              </w:rPr>
            </w:pPr>
            <w:r>
              <w:rPr>
                <w:sz w:val="21"/>
              </w:rPr>
              <w:t>当地电力部门</w:t>
            </w:r>
          </w:p>
        </w:tc>
        <w:tc>
          <w:tcPr>
            <w:tcW w:w="3757" w:type="dxa"/>
            <w:tcBorders>
              <w:top w:val="single" w:color="000000" w:sz="4" w:space="0"/>
              <w:left w:val="single" w:color="000000" w:sz="4" w:space="0"/>
              <w:bottom w:val="single" w:color="000000" w:sz="4" w:space="0"/>
            </w:tcBorders>
          </w:tcPr>
          <w:p>
            <w:pPr>
              <w:pStyle w:val="24"/>
              <w:spacing w:before="33"/>
              <w:ind w:left="1258"/>
              <w:rPr>
                <w:sz w:val="21"/>
              </w:rPr>
            </w:pPr>
            <w:r>
              <w:rPr>
                <w:sz w:val="21"/>
              </w:rPr>
              <w:t>周边联防单位</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47" w:hRule="atLeast"/>
        </w:trPr>
        <w:tc>
          <w:tcPr>
            <w:tcW w:w="1876" w:type="dxa"/>
            <w:vMerge w:val="continue"/>
            <w:tcBorders>
              <w:top w:val="nil"/>
              <w:right w:val="single" w:color="000000" w:sz="4" w:space="0"/>
            </w:tcBorders>
          </w:tcPr>
          <w:p>
            <w:pPr>
              <w:rPr>
                <w:sz w:val="2"/>
                <w:szCs w:val="2"/>
              </w:rPr>
            </w:pPr>
          </w:p>
        </w:tc>
        <w:tc>
          <w:tcPr>
            <w:tcW w:w="2012" w:type="dxa"/>
            <w:tcBorders>
              <w:top w:val="single" w:color="000000" w:sz="4" w:space="0"/>
              <w:left w:val="single" w:color="000000" w:sz="4" w:space="0"/>
              <w:right w:val="single" w:color="000000" w:sz="4" w:space="0"/>
            </w:tcBorders>
          </w:tcPr>
          <w:p>
            <w:pPr>
              <w:pStyle w:val="24"/>
              <w:rPr>
                <w:b/>
                <w:sz w:val="31"/>
              </w:rPr>
            </w:pPr>
          </w:p>
          <w:p>
            <w:pPr>
              <w:pStyle w:val="24"/>
              <w:ind w:left="544" w:right="516"/>
              <w:jc w:val="center"/>
              <w:rPr>
                <w:rFonts w:ascii="Times New Roman"/>
                <w:sz w:val="21"/>
              </w:rPr>
            </w:pPr>
            <w:r>
              <w:rPr>
                <w:rFonts w:ascii="Times New Roman"/>
                <w:sz w:val="21"/>
              </w:rPr>
              <w:t>119/110</w:t>
            </w:r>
          </w:p>
        </w:tc>
        <w:tc>
          <w:tcPr>
            <w:tcW w:w="2314" w:type="dxa"/>
            <w:tcBorders>
              <w:top w:val="single" w:color="000000" w:sz="4" w:space="0"/>
              <w:left w:val="single" w:color="000000" w:sz="4" w:space="0"/>
              <w:right w:val="single" w:color="000000" w:sz="4" w:space="0"/>
            </w:tcBorders>
          </w:tcPr>
          <w:p>
            <w:pPr>
              <w:pStyle w:val="24"/>
              <w:rPr>
                <w:b/>
                <w:sz w:val="31"/>
              </w:rPr>
            </w:pPr>
          </w:p>
          <w:p>
            <w:pPr>
              <w:pStyle w:val="24"/>
              <w:ind w:left="515" w:right="488"/>
              <w:jc w:val="center"/>
              <w:rPr>
                <w:rFonts w:ascii="Times New Roman"/>
                <w:sz w:val="21"/>
              </w:rPr>
            </w:pPr>
            <w:r>
              <w:rPr>
                <w:rFonts w:ascii="Times New Roman"/>
                <w:sz w:val="21"/>
              </w:rPr>
              <w:t>95598</w:t>
            </w:r>
          </w:p>
        </w:tc>
        <w:tc>
          <w:tcPr>
            <w:tcW w:w="3757" w:type="dxa"/>
            <w:tcBorders>
              <w:top w:val="single" w:color="000000" w:sz="4" w:space="0"/>
              <w:left w:val="single" w:color="000000" w:sz="4" w:space="0"/>
            </w:tcBorders>
          </w:tcPr>
          <w:p>
            <w:pPr>
              <w:pStyle w:val="24"/>
              <w:spacing w:line="259" w:lineRule="exact"/>
              <w:ind w:left="607" w:right="570"/>
              <w:jc w:val="center"/>
              <w:rPr>
                <w:sz w:val="21"/>
              </w:rPr>
            </w:pPr>
            <w:r>
              <w:rPr>
                <w:sz w:val="21"/>
              </w:rPr>
              <w:t>咸宁市生态环境局赤壁分局</w:t>
            </w:r>
          </w:p>
          <w:p>
            <w:pPr>
              <w:pStyle w:val="24"/>
              <w:spacing w:before="1"/>
              <w:ind w:left="607" w:right="569"/>
              <w:jc w:val="center"/>
              <w:rPr>
                <w:rFonts w:ascii="Times New Roman"/>
                <w:sz w:val="21"/>
              </w:rPr>
            </w:pPr>
            <w:r>
              <w:rPr>
                <w:rFonts w:ascii="Times New Roman"/>
                <w:sz w:val="21"/>
              </w:rPr>
              <w:t>0715-5355351</w:t>
            </w:r>
          </w:p>
          <w:p>
            <w:pPr>
              <w:pStyle w:val="24"/>
              <w:spacing w:before="2"/>
              <w:ind w:left="607" w:right="569"/>
              <w:jc w:val="center"/>
              <w:rPr>
                <w:rFonts w:ascii="Times New Roman" w:eastAsia="Times New Roman"/>
                <w:sz w:val="19"/>
              </w:rPr>
            </w:pPr>
            <w:r>
              <w:rPr>
                <w:sz w:val="21"/>
              </w:rPr>
              <w:t xml:space="preserve">市应急管理局 </w:t>
            </w:r>
            <w:r>
              <w:rPr>
                <w:rFonts w:ascii="Times New Roman" w:eastAsia="Times New Roman"/>
                <w:sz w:val="19"/>
              </w:rPr>
              <w:t>0715-5353630</w:t>
            </w:r>
          </w:p>
          <w:p>
            <w:pPr>
              <w:pStyle w:val="24"/>
              <w:spacing w:before="2" w:line="253" w:lineRule="exact"/>
              <w:ind w:left="607" w:right="569"/>
              <w:jc w:val="center"/>
              <w:rPr>
                <w:rFonts w:ascii="Times New Roman" w:eastAsia="Times New Roman"/>
                <w:sz w:val="19"/>
              </w:rPr>
            </w:pPr>
          </w:p>
        </w:tc>
      </w:tr>
    </w:tbl>
    <w:p>
      <w:pPr>
        <w:spacing w:line="253" w:lineRule="exact"/>
        <w:jc w:val="center"/>
        <w:rPr>
          <w:rFonts w:ascii="Times New Roman" w:eastAsia="Times New Roman"/>
          <w:sz w:val="19"/>
        </w:rPr>
        <w:sectPr>
          <w:type w:val="continuous"/>
          <w:pgSz w:w="11910" w:h="16840"/>
          <w:pgMar w:top="1360" w:right="839" w:bottom="280" w:left="840" w:header="720" w:footer="720" w:gutter="0"/>
          <w:cols w:space="720" w:num="1"/>
        </w:sectPr>
      </w:pPr>
    </w:p>
    <w:p>
      <w:pPr>
        <w:pStyle w:val="9"/>
        <w:spacing w:before="64"/>
        <w:ind w:left="7"/>
      </w:pPr>
      <w:r>
        <w:t>有毒</w:t>
      </w:r>
      <w:r>
        <w:rPr>
          <w:rFonts w:hint="eastAsia"/>
        </w:rPr>
        <w:t>液态</w:t>
      </w:r>
      <w:r>
        <w:t>泄漏应急处置卡</w:t>
      </w:r>
    </w:p>
    <w:p>
      <w:pPr>
        <w:pStyle w:val="10"/>
        <w:spacing w:before="4"/>
        <w:rPr>
          <w:b/>
          <w:sz w:val="12"/>
        </w:rPr>
      </w:pPr>
    </w:p>
    <w:tbl>
      <w:tblPr>
        <w:tblStyle w:val="15"/>
        <w:tblW w:w="0" w:type="auto"/>
        <w:tblInd w:w="14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013"/>
        <w:gridCol w:w="1788"/>
        <w:gridCol w:w="2079"/>
        <w:gridCol w:w="407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2013" w:type="dxa"/>
            <w:tcBorders>
              <w:bottom w:val="single" w:color="000000" w:sz="4" w:space="0"/>
              <w:right w:val="single" w:color="000000" w:sz="4" w:space="0"/>
            </w:tcBorders>
          </w:tcPr>
          <w:p>
            <w:pPr>
              <w:pStyle w:val="24"/>
              <w:spacing w:before="134"/>
              <w:ind w:left="353" w:right="340"/>
              <w:jc w:val="center"/>
              <w:rPr>
                <w:sz w:val="21"/>
              </w:rPr>
            </w:pPr>
            <w:r>
              <w:rPr>
                <w:sz w:val="21"/>
              </w:rPr>
              <w:t>突发事件描述</w:t>
            </w:r>
          </w:p>
        </w:tc>
        <w:tc>
          <w:tcPr>
            <w:tcW w:w="7944" w:type="dxa"/>
            <w:gridSpan w:val="3"/>
            <w:tcBorders>
              <w:left w:val="single" w:color="000000" w:sz="4" w:space="0"/>
              <w:bottom w:val="single" w:color="000000" w:sz="4" w:space="0"/>
            </w:tcBorders>
          </w:tcPr>
          <w:p>
            <w:pPr>
              <w:pStyle w:val="24"/>
              <w:ind w:left="118"/>
              <w:rPr>
                <w:sz w:val="21"/>
              </w:rPr>
            </w:pPr>
            <w:r>
              <w:rPr>
                <w:rFonts w:hint="eastAsia"/>
                <w:sz w:val="21"/>
              </w:rPr>
              <w:t>幽默</w:t>
            </w:r>
            <w:r>
              <w:rPr>
                <w:sz w:val="21"/>
              </w:rPr>
              <w:t>等有毒</w:t>
            </w:r>
            <w:r>
              <w:rPr>
                <w:rFonts w:hint="eastAsia"/>
                <w:sz w:val="21"/>
              </w:rPr>
              <w:t>液态</w:t>
            </w:r>
            <w:r>
              <w:rPr>
                <w:sz w:val="21"/>
              </w:rPr>
              <w:t>输送管道破损，有毒</w:t>
            </w:r>
            <w:r>
              <w:rPr>
                <w:rFonts w:hint="eastAsia"/>
                <w:sz w:val="21"/>
              </w:rPr>
              <w:t>液态</w:t>
            </w:r>
            <w:r>
              <w:rPr>
                <w:sz w:val="21"/>
              </w:rPr>
              <w:t>泄漏造成环境安全隐患，导致人员中毒或</w:t>
            </w:r>
          </w:p>
          <w:p>
            <w:pPr>
              <w:pStyle w:val="24"/>
              <w:spacing w:before="2" w:line="254" w:lineRule="exact"/>
              <w:ind w:left="118"/>
              <w:rPr>
                <w:sz w:val="21"/>
              </w:rPr>
            </w:pPr>
            <w:r>
              <w:rPr>
                <w:sz w:val="21"/>
              </w:rPr>
              <w:t>伤亡。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013" w:type="dxa"/>
            <w:tcBorders>
              <w:top w:val="single" w:color="000000" w:sz="4" w:space="0"/>
              <w:bottom w:val="single" w:color="000000" w:sz="4" w:space="0"/>
              <w:right w:val="single" w:color="000000" w:sz="4" w:space="0"/>
            </w:tcBorders>
          </w:tcPr>
          <w:p>
            <w:pPr>
              <w:pStyle w:val="24"/>
              <w:spacing w:before="33"/>
              <w:ind w:left="353" w:right="338"/>
              <w:jc w:val="center"/>
              <w:rPr>
                <w:sz w:val="21"/>
              </w:rPr>
            </w:pPr>
            <w:r>
              <w:rPr>
                <w:sz w:val="21"/>
              </w:rPr>
              <w:t>事件级别</w:t>
            </w:r>
          </w:p>
        </w:tc>
        <w:tc>
          <w:tcPr>
            <w:tcW w:w="7944" w:type="dxa"/>
            <w:gridSpan w:val="3"/>
            <w:tcBorders>
              <w:top w:val="single" w:color="000000" w:sz="4" w:space="0"/>
              <w:left w:val="single" w:color="000000" w:sz="4" w:space="0"/>
              <w:bottom w:val="single" w:color="000000" w:sz="4" w:space="0"/>
            </w:tcBorders>
          </w:tcPr>
          <w:p>
            <w:pPr>
              <w:pStyle w:val="24"/>
              <w:spacing w:before="33"/>
              <w:ind w:left="118"/>
              <w:rPr>
                <w:sz w:val="21"/>
              </w:rPr>
            </w:pPr>
            <w:r>
              <w:rPr>
                <w:rFonts w:ascii="Times New Roman" w:eastAsia="Times New Roman"/>
                <w:sz w:val="21"/>
              </w:rPr>
              <w:t xml:space="preserve">I-II </w:t>
            </w:r>
            <w:r>
              <w:rPr>
                <w:sz w:val="21"/>
              </w:rPr>
              <w:t>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013" w:type="dxa"/>
            <w:vMerge w:val="restart"/>
            <w:tcBorders>
              <w:top w:val="single" w:color="000000" w:sz="4" w:space="0"/>
              <w:bottom w:val="single" w:color="000000" w:sz="4" w:space="0"/>
              <w:right w:val="single" w:color="000000" w:sz="4" w:space="0"/>
            </w:tcBorders>
          </w:tcPr>
          <w:p>
            <w:pPr>
              <w:pStyle w:val="24"/>
              <w:spacing w:before="12"/>
              <w:rPr>
                <w:b/>
                <w:sz w:val="29"/>
              </w:rPr>
            </w:pPr>
          </w:p>
          <w:p>
            <w:pPr>
              <w:pStyle w:val="24"/>
              <w:ind w:left="270"/>
              <w:rPr>
                <w:sz w:val="21"/>
              </w:rPr>
            </w:pPr>
            <w:r>
              <w:rPr>
                <w:sz w:val="21"/>
              </w:rPr>
              <w:t>危害及后果分析</w:t>
            </w:r>
          </w:p>
        </w:tc>
        <w:tc>
          <w:tcPr>
            <w:tcW w:w="7944" w:type="dxa"/>
            <w:gridSpan w:val="3"/>
            <w:tcBorders>
              <w:top w:val="single" w:color="000000" w:sz="4" w:space="0"/>
              <w:left w:val="single" w:color="000000" w:sz="4" w:space="0"/>
              <w:bottom w:val="single" w:color="000000" w:sz="4" w:space="0"/>
            </w:tcBorders>
          </w:tcPr>
          <w:p>
            <w:pPr>
              <w:pStyle w:val="24"/>
              <w:spacing w:before="33"/>
              <w:ind w:left="118"/>
              <w:rPr>
                <w:sz w:val="21"/>
              </w:rPr>
            </w:pPr>
            <w:r>
              <w:rPr>
                <w:rFonts w:ascii="Times New Roman" w:eastAsia="Times New Roman"/>
                <w:sz w:val="21"/>
              </w:rPr>
              <w:t>1.</w:t>
            </w:r>
            <w:r>
              <w:rPr>
                <w:sz w:val="21"/>
              </w:rPr>
              <w:t>环境污染。</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013" w:type="dxa"/>
            <w:vMerge w:val="continue"/>
            <w:tcBorders>
              <w:top w:val="nil"/>
              <w:bottom w:val="single" w:color="000000" w:sz="4" w:space="0"/>
              <w:right w:val="single" w:color="000000" w:sz="4" w:space="0"/>
            </w:tcBorders>
          </w:tcPr>
          <w:p>
            <w:pPr>
              <w:rPr>
                <w:sz w:val="2"/>
                <w:szCs w:val="2"/>
              </w:rPr>
            </w:pPr>
          </w:p>
        </w:tc>
        <w:tc>
          <w:tcPr>
            <w:tcW w:w="7944" w:type="dxa"/>
            <w:gridSpan w:val="3"/>
            <w:tcBorders>
              <w:top w:val="single" w:color="000000" w:sz="4" w:space="0"/>
              <w:left w:val="single" w:color="000000" w:sz="4" w:space="0"/>
              <w:bottom w:val="single" w:color="000000" w:sz="4" w:space="0"/>
            </w:tcBorders>
          </w:tcPr>
          <w:p>
            <w:pPr>
              <w:pStyle w:val="24"/>
              <w:spacing w:before="33"/>
              <w:ind w:left="118"/>
              <w:rPr>
                <w:sz w:val="21"/>
              </w:rPr>
            </w:pPr>
            <w:r>
              <w:rPr>
                <w:rFonts w:ascii="Times New Roman" w:eastAsia="Times New Roman"/>
                <w:sz w:val="21"/>
              </w:rPr>
              <w:t>2.</w:t>
            </w:r>
            <w:r>
              <w:rPr>
                <w:sz w:val="21"/>
              </w:rPr>
              <w:t>人员伤亡。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013" w:type="dxa"/>
            <w:vMerge w:val="continue"/>
            <w:tcBorders>
              <w:top w:val="nil"/>
              <w:bottom w:val="single" w:color="000000" w:sz="4" w:space="0"/>
              <w:right w:val="single" w:color="000000" w:sz="4" w:space="0"/>
            </w:tcBorders>
          </w:tcPr>
          <w:p>
            <w:pPr>
              <w:rPr>
                <w:sz w:val="2"/>
                <w:szCs w:val="2"/>
              </w:rPr>
            </w:pPr>
          </w:p>
        </w:tc>
        <w:tc>
          <w:tcPr>
            <w:tcW w:w="7944" w:type="dxa"/>
            <w:gridSpan w:val="3"/>
            <w:tcBorders>
              <w:top w:val="single" w:color="000000" w:sz="4" w:space="0"/>
              <w:left w:val="single" w:color="000000" w:sz="4" w:space="0"/>
              <w:bottom w:val="single" w:color="000000" w:sz="4" w:space="0"/>
            </w:tcBorders>
          </w:tcPr>
          <w:p>
            <w:pPr>
              <w:pStyle w:val="24"/>
              <w:spacing w:before="34"/>
              <w:ind w:left="118"/>
              <w:rPr>
                <w:sz w:val="21"/>
              </w:rPr>
            </w:pPr>
            <w:r>
              <w:rPr>
                <w:rFonts w:ascii="Times New Roman" w:eastAsia="Times New Roman"/>
                <w:sz w:val="21"/>
              </w:rPr>
              <w:t>3.</w:t>
            </w:r>
            <w:r>
              <w:rPr>
                <w:sz w:val="21"/>
              </w:rPr>
              <w:t>财产损失。</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013" w:type="dxa"/>
            <w:tcBorders>
              <w:top w:val="single" w:color="000000" w:sz="4" w:space="0"/>
              <w:bottom w:val="single" w:color="000000" w:sz="4" w:space="0"/>
              <w:right w:val="single" w:color="000000" w:sz="4" w:space="0"/>
            </w:tcBorders>
          </w:tcPr>
          <w:p>
            <w:pPr>
              <w:pStyle w:val="24"/>
              <w:spacing w:before="32"/>
              <w:ind w:left="353" w:right="338"/>
              <w:jc w:val="center"/>
              <w:rPr>
                <w:sz w:val="21"/>
              </w:rPr>
            </w:pPr>
            <w:r>
              <w:rPr>
                <w:sz w:val="21"/>
              </w:rPr>
              <w:t>应急物资</w:t>
            </w:r>
          </w:p>
        </w:tc>
        <w:tc>
          <w:tcPr>
            <w:tcW w:w="7944" w:type="dxa"/>
            <w:gridSpan w:val="3"/>
            <w:tcBorders>
              <w:top w:val="single" w:color="000000" w:sz="4" w:space="0"/>
              <w:left w:val="single" w:color="000000" w:sz="4" w:space="0"/>
              <w:bottom w:val="single" w:color="000000" w:sz="4" w:space="0"/>
            </w:tcBorders>
          </w:tcPr>
          <w:p>
            <w:pPr>
              <w:pStyle w:val="24"/>
              <w:spacing w:before="32"/>
              <w:ind w:left="118"/>
              <w:rPr>
                <w:sz w:val="21"/>
              </w:rPr>
            </w:pPr>
            <w:r>
              <w:rPr>
                <w:sz w:val="21"/>
              </w:rPr>
              <w:t>防毒面具、管道修补剂、灭火器等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957" w:type="dxa"/>
            <w:gridSpan w:val="4"/>
            <w:tcBorders>
              <w:top w:val="single" w:color="000000" w:sz="4" w:space="0"/>
              <w:bottom w:val="single" w:color="000000" w:sz="4" w:space="0"/>
            </w:tcBorders>
          </w:tcPr>
          <w:p>
            <w:pPr>
              <w:pStyle w:val="24"/>
              <w:spacing w:before="32"/>
              <w:ind w:left="3907" w:right="3882"/>
              <w:jc w:val="center"/>
              <w:rPr>
                <w:sz w:val="21"/>
              </w:rPr>
            </w:pPr>
            <w:r>
              <w:rPr>
                <w:sz w:val="21"/>
              </w:rPr>
              <w:t>处置措施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2013" w:type="dxa"/>
            <w:tcBorders>
              <w:top w:val="single" w:color="000000" w:sz="4" w:space="0"/>
              <w:bottom w:val="single" w:color="000000" w:sz="4" w:space="0"/>
              <w:right w:val="single" w:color="000000" w:sz="4" w:space="0"/>
            </w:tcBorders>
          </w:tcPr>
          <w:p>
            <w:pPr>
              <w:pStyle w:val="24"/>
              <w:spacing w:before="3"/>
              <w:rPr>
                <w:b/>
                <w:sz w:val="21"/>
              </w:rPr>
            </w:pPr>
          </w:p>
          <w:p>
            <w:pPr>
              <w:pStyle w:val="24"/>
              <w:ind w:left="353" w:right="340"/>
              <w:jc w:val="center"/>
              <w:rPr>
                <w:sz w:val="21"/>
              </w:rPr>
            </w:pPr>
            <w:r>
              <w:rPr>
                <w:sz w:val="21"/>
              </w:rPr>
              <w:t>报警</w:t>
            </w:r>
          </w:p>
        </w:tc>
        <w:tc>
          <w:tcPr>
            <w:tcW w:w="7944" w:type="dxa"/>
            <w:gridSpan w:val="3"/>
            <w:tcBorders>
              <w:top w:val="single" w:color="000000" w:sz="4" w:space="0"/>
              <w:left w:val="single" w:color="000000" w:sz="4" w:space="0"/>
              <w:bottom w:val="single" w:color="000000" w:sz="4" w:space="0"/>
            </w:tcBorders>
          </w:tcPr>
          <w:p>
            <w:pPr>
              <w:pStyle w:val="24"/>
              <w:spacing w:line="244" w:lineRule="auto"/>
              <w:ind w:left="118" w:right="-29" w:firstLine="420"/>
              <w:rPr>
                <w:sz w:val="21"/>
              </w:rPr>
            </w:pPr>
            <w:r>
              <w:rPr>
                <w:rFonts w:hint="eastAsia" w:ascii="宋体" w:hAnsi="宋体" w:eastAsia="宋体"/>
                <w:sz w:val="21"/>
              </w:rPr>
              <w:t>①</w:t>
            </w:r>
            <w:r>
              <w:rPr>
                <w:sz w:val="21"/>
              </w:rPr>
              <w:t xml:space="preserve">报警程序：第一发现人应立即报告车间负责人，车间负责人报告应急指挥部， </w:t>
            </w:r>
            <w:r>
              <w:rPr>
                <w:spacing w:val="-8"/>
                <w:w w:val="95"/>
                <w:sz w:val="21"/>
              </w:rPr>
              <w:t>应急指挥部视情况报告赤壁市生态环境、应急管理等部门，通知各应急小组赶赴现场。</w:t>
            </w:r>
          </w:p>
          <w:p>
            <w:pPr>
              <w:pStyle w:val="24"/>
              <w:spacing w:line="249" w:lineRule="exact"/>
              <w:ind w:left="538"/>
              <w:rPr>
                <w:sz w:val="21"/>
              </w:rPr>
            </w:pPr>
            <w:r>
              <w:rPr>
                <w:rFonts w:hint="eastAsia" w:ascii="宋体" w:hAnsi="宋体" w:eastAsia="宋体"/>
                <w:sz w:val="21"/>
              </w:rPr>
              <w:t>②</w:t>
            </w:r>
            <w:r>
              <w:rPr>
                <w:sz w:val="21"/>
              </w:rPr>
              <w:t>报警内容：有毒</w:t>
            </w:r>
            <w:r>
              <w:rPr>
                <w:rFonts w:hint="eastAsia"/>
                <w:sz w:val="21"/>
              </w:rPr>
              <w:t>液态</w:t>
            </w:r>
            <w:r>
              <w:rPr>
                <w:sz w:val="21"/>
              </w:rPr>
              <w:t>类别、数量、时间、位置及严重程度等。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57" w:hRule="atLeast"/>
        </w:trPr>
        <w:tc>
          <w:tcPr>
            <w:tcW w:w="2013" w:type="dxa"/>
            <w:tcBorders>
              <w:top w:val="single" w:color="000000" w:sz="4" w:space="0"/>
              <w:bottom w:val="single" w:color="000000" w:sz="4" w:space="0"/>
              <w:right w:val="single" w:color="000000" w:sz="4" w:space="0"/>
            </w:tcBorders>
          </w:tcPr>
          <w:p>
            <w:pPr>
              <w:pStyle w:val="24"/>
              <w:rPr>
                <w:b/>
                <w:sz w:val="20"/>
              </w:rPr>
            </w:pPr>
          </w:p>
          <w:p>
            <w:pPr>
              <w:pStyle w:val="24"/>
              <w:rPr>
                <w:b/>
                <w:sz w:val="20"/>
              </w:rPr>
            </w:pPr>
          </w:p>
          <w:p>
            <w:pPr>
              <w:pStyle w:val="24"/>
              <w:rPr>
                <w:b/>
                <w:sz w:val="20"/>
              </w:rPr>
            </w:pPr>
          </w:p>
          <w:p>
            <w:pPr>
              <w:pStyle w:val="24"/>
              <w:rPr>
                <w:b/>
                <w:sz w:val="20"/>
              </w:rPr>
            </w:pPr>
          </w:p>
          <w:p>
            <w:pPr>
              <w:pStyle w:val="24"/>
              <w:rPr>
                <w:b/>
                <w:sz w:val="20"/>
              </w:rPr>
            </w:pPr>
          </w:p>
          <w:p>
            <w:pPr>
              <w:pStyle w:val="24"/>
              <w:rPr>
                <w:b/>
                <w:sz w:val="20"/>
              </w:rPr>
            </w:pPr>
          </w:p>
          <w:p>
            <w:pPr>
              <w:pStyle w:val="24"/>
              <w:rPr>
                <w:b/>
                <w:sz w:val="20"/>
              </w:rPr>
            </w:pPr>
          </w:p>
          <w:p>
            <w:pPr>
              <w:pStyle w:val="24"/>
              <w:spacing w:before="5"/>
              <w:rPr>
                <w:b/>
                <w:sz w:val="19"/>
              </w:rPr>
            </w:pPr>
          </w:p>
          <w:p>
            <w:pPr>
              <w:pStyle w:val="24"/>
              <w:ind w:left="353" w:right="338"/>
              <w:jc w:val="center"/>
              <w:rPr>
                <w:sz w:val="21"/>
              </w:rPr>
            </w:pPr>
            <w:r>
              <w:rPr>
                <w:sz w:val="21"/>
              </w:rPr>
              <w:t>应急处置</w:t>
            </w:r>
          </w:p>
        </w:tc>
        <w:tc>
          <w:tcPr>
            <w:tcW w:w="7944" w:type="dxa"/>
            <w:gridSpan w:val="3"/>
            <w:tcBorders>
              <w:top w:val="single" w:color="000000" w:sz="4" w:space="0"/>
              <w:left w:val="single" w:color="000000" w:sz="4" w:space="0"/>
              <w:bottom w:val="single" w:color="000000" w:sz="4" w:space="0"/>
            </w:tcBorders>
          </w:tcPr>
          <w:p>
            <w:pPr>
              <w:pStyle w:val="24"/>
              <w:spacing w:line="242" w:lineRule="auto"/>
              <w:ind w:left="118" w:right="77" w:firstLine="420"/>
              <w:rPr>
                <w:sz w:val="21"/>
              </w:rPr>
            </w:pPr>
            <w:r>
              <w:rPr>
                <w:rFonts w:hint="eastAsia" w:ascii="宋体" w:hAnsi="宋体" w:eastAsia="宋体"/>
                <w:w w:val="95"/>
                <w:sz w:val="21"/>
              </w:rPr>
              <w:t>①</w:t>
            </w:r>
            <w:r>
              <w:rPr>
                <w:spacing w:val="-5"/>
                <w:w w:val="95"/>
                <w:sz w:val="21"/>
              </w:rPr>
              <w:t xml:space="preserve">车间负责人：组织做好轻度中毒者保护性措施后，其他工作人员应迅速全开风  </w:t>
            </w:r>
            <w:r>
              <w:rPr>
                <w:spacing w:val="-5"/>
                <w:sz w:val="21"/>
              </w:rPr>
              <w:t>机，排空室内泄漏</w:t>
            </w:r>
            <w:r>
              <w:rPr>
                <w:rFonts w:hint="eastAsia"/>
                <w:spacing w:val="-5"/>
                <w:sz w:val="21"/>
              </w:rPr>
              <w:t>液态</w:t>
            </w:r>
            <w:r>
              <w:rPr>
                <w:spacing w:val="-5"/>
                <w:sz w:val="21"/>
              </w:rPr>
              <w:t>。</w:t>
            </w:r>
          </w:p>
          <w:p>
            <w:pPr>
              <w:pStyle w:val="24"/>
              <w:spacing w:before="1" w:line="242" w:lineRule="auto"/>
              <w:ind w:left="118" w:right="77" w:firstLine="420"/>
              <w:jc w:val="both"/>
              <w:rPr>
                <w:sz w:val="21"/>
              </w:rPr>
            </w:pPr>
            <w:r>
              <w:rPr>
                <w:rFonts w:hint="eastAsia" w:ascii="宋体" w:hAnsi="宋体" w:eastAsia="宋体"/>
                <w:w w:val="95"/>
                <w:sz w:val="21"/>
              </w:rPr>
              <w:t>②</w:t>
            </w:r>
            <w:r>
              <w:rPr>
                <w:spacing w:val="-5"/>
                <w:w w:val="95"/>
                <w:sz w:val="21"/>
              </w:rPr>
              <w:t>疏散救援组：根据有毒</w:t>
            </w:r>
            <w:r>
              <w:rPr>
                <w:rFonts w:hint="eastAsia"/>
                <w:spacing w:val="-5"/>
                <w:w w:val="95"/>
                <w:sz w:val="21"/>
              </w:rPr>
              <w:t>液态</w:t>
            </w:r>
            <w:r>
              <w:rPr>
                <w:spacing w:val="-5"/>
                <w:w w:val="95"/>
                <w:sz w:val="21"/>
              </w:rPr>
              <w:t xml:space="preserve">泄漏的扩散情况建立警戒区，疏散救援组进入危险  </w:t>
            </w:r>
            <w:r>
              <w:rPr>
                <w:spacing w:val="-8"/>
                <w:w w:val="95"/>
                <w:sz w:val="21"/>
              </w:rPr>
              <w:t xml:space="preserve">区域人员必须佩戴氧气或空气呼吸器，严禁用纱布口罩或其他不适合的防中毒器具防  </w:t>
            </w:r>
            <w:r>
              <w:rPr>
                <w:spacing w:val="-4"/>
                <w:w w:val="95"/>
                <w:sz w:val="21"/>
              </w:rPr>
              <w:t>护。大面积泄漏时，应立即设立警戒范围，所有人员依据</w:t>
            </w:r>
            <w:r>
              <w:rPr>
                <w:rFonts w:ascii="Times New Roman" w:hAnsi="Times New Roman" w:eastAsia="Times New Roman"/>
                <w:w w:val="95"/>
                <w:sz w:val="21"/>
              </w:rPr>
              <w:t>“</w:t>
            </w:r>
            <w:r>
              <w:rPr>
                <w:w w:val="95"/>
                <w:sz w:val="21"/>
              </w:rPr>
              <w:t>逆风而逃</w:t>
            </w:r>
            <w:r>
              <w:rPr>
                <w:rFonts w:ascii="Times New Roman" w:hAnsi="Times New Roman" w:eastAsia="Times New Roman"/>
                <w:w w:val="95"/>
                <w:sz w:val="21"/>
              </w:rPr>
              <w:t>”</w:t>
            </w:r>
            <w:r>
              <w:rPr>
                <w:spacing w:val="-2"/>
                <w:w w:val="95"/>
                <w:sz w:val="21"/>
              </w:rPr>
              <w:t xml:space="preserve">的原则，迅速疏  </w:t>
            </w:r>
            <w:r>
              <w:rPr>
                <w:spacing w:val="-2"/>
                <w:sz w:val="21"/>
              </w:rPr>
              <w:t>散到安全地带。</w:t>
            </w:r>
          </w:p>
          <w:p>
            <w:pPr>
              <w:pStyle w:val="24"/>
              <w:spacing w:before="3" w:line="242" w:lineRule="auto"/>
              <w:ind w:left="118" w:right="75" w:firstLine="420"/>
              <w:jc w:val="both"/>
              <w:rPr>
                <w:sz w:val="21"/>
              </w:rPr>
            </w:pPr>
            <w:r>
              <w:rPr>
                <w:spacing w:val="-4"/>
                <w:w w:val="95"/>
                <w:sz w:val="21"/>
              </w:rPr>
              <w:t>少量泄漏，进行修理时可以采用堵缝</w:t>
            </w:r>
            <w:r>
              <w:rPr>
                <w:w w:val="95"/>
                <w:sz w:val="21"/>
              </w:rPr>
              <w:t>（</w:t>
            </w:r>
            <w:r>
              <w:rPr>
                <w:spacing w:val="-2"/>
                <w:w w:val="95"/>
                <w:sz w:val="21"/>
              </w:rPr>
              <w:t>用堵漏胶剂、木塞</w:t>
            </w:r>
            <w:r>
              <w:rPr>
                <w:spacing w:val="-10"/>
                <w:w w:val="95"/>
                <w:sz w:val="21"/>
              </w:rPr>
              <w:t>）</w:t>
            </w:r>
            <w:r>
              <w:rPr>
                <w:w w:val="95"/>
                <w:sz w:val="21"/>
              </w:rPr>
              <w:t xml:space="preserve">或者打补的方法来实  </w:t>
            </w:r>
            <w:r>
              <w:rPr>
                <w:spacing w:val="-6"/>
                <w:w w:val="95"/>
                <w:sz w:val="21"/>
              </w:rPr>
              <w:t>现。大量泄漏且修理难度较大的情况下，应停止生产，待</w:t>
            </w:r>
            <w:r>
              <w:rPr>
                <w:rFonts w:hint="eastAsia"/>
                <w:spacing w:val="-6"/>
                <w:w w:val="95"/>
                <w:sz w:val="21"/>
              </w:rPr>
              <w:t>液态</w:t>
            </w:r>
            <w:r>
              <w:rPr>
                <w:spacing w:val="-6"/>
                <w:w w:val="95"/>
                <w:sz w:val="21"/>
              </w:rPr>
              <w:t xml:space="preserve">扩散至安全浓度后，进  </w:t>
            </w:r>
            <w:r>
              <w:rPr>
                <w:spacing w:val="-6"/>
                <w:sz w:val="21"/>
              </w:rPr>
              <w:t>行整体包焊、整体包扎。</w:t>
            </w:r>
          </w:p>
          <w:p>
            <w:pPr>
              <w:pStyle w:val="24"/>
              <w:spacing w:before="1" w:line="242" w:lineRule="auto"/>
              <w:ind w:left="118" w:right="77" w:firstLine="420"/>
              <w:jc w:val="both"/>
              <w:rPr>
                <w:sz w:val="21"/>
              </w:rPr>
            </w:pPr>
            <w:r>
              <w:rPr>
                <w:spacing w:val="-3"/>
                <w:w w:val="95"/>
                <w:sz w:val="21"/>
              </w:rPr>
              <w:t xml:space="preserve">在进行上述修理操作前，必须对泄漏部位进行检查确认，一般采取用木质工具轻  </w:t>
            </w:r>
            <w:r>
              <w:rPr>
                <w:spacing w:val="-7"/>
                <w:w w:val="95"/>
                <w:sz w:val="21"/>
              </w:rPr>
              <w:t xml:space="preserve">敲的办法，查看泄漏点的形状和大小，检查泄漏部位是否适合于不停产粘接，检查人  </w:t>
            </w:r>
            <w:r>
              <w:rPr>
                <w:spacing w:val="-7"/>
                <w:sz w:val="21"/>
              </w:rPr>
              <w:t>应富有实践经验并必须佩戴呼吸器或其他防毒器具。</w:t>
            </w:r>
          </w:p>
          <w:p>
            <w:pPr>
              <w:pStyle w:val="24"/>
              <w:spacing w:before="3" w:line="242" w:lineRule="auto"/>
              <w:ind w:left="118" w:right="-29" w:firstLine="420"/>
              <w:rPr>
                <w:sz w:val="21"/>
              </w:rPr>
            </w:pPr>
            <w:r>
              <w:rPr>
                <w:rFonts w:hint="eastAsia" w:ascii="宋体" w:hAnsi="宋体" w:eastAsia="宋体"/>
                <w:sz w:val="21"/>
              </w:rPr>
              <w:t>③</w:t>
            </w:r>
            <w:r>
              <w:rPr>
                <w:spacing w:val="-13"/>
                <w:sz w:val="21"/>
              </w:rPr>
              <w:t xml:space="preserve">环境监测组：配合监测单位取煤气泄漏区域及周围空间空气样做 </w:t>
            </w:r>
            <w:r>
              <w:rPr>
                <w:rFonts w:ascii="Times New Roman" w:hAnsi="Times New Roman" w:eastAsia="Times New Roman"/>
                <w:sz w:val="21"/>
              </w:rPr>
              <w:t>CO</w:t>
            </w:r>
            <w:r>
              <w:rPr>
                <w:rFonts w:ascii="Times New Roman" w:hAnsi="Times New Roman" w:eastAsia="Times New Roman"/>
                <w:spacing w:val="-17"/>
                <w:sz w:val="21"/>
              </w:rPr>
              <w:t xml:space="preserve"> </w:t>
            </w:r>
            <w:r>
              <w:rPr>
                <w:sz w:val="21"/>
              </w:rPr>
              <w:t xml:space="preserve">含量分析， </w:t>
            </w:r>
            <w:r>
              <w:rPr>
                <w:spacing w:val="-9"/>
                <w:sz w:val="21"/>
              </w:rPr>
              <w:t xml:space="preserve">根据测定的 </w:t>
            </w:r>
            <w:r>
              <w:rPr>
                <w:rFonts w:ascii="Times New Roman" w:hAnsi="Times New Roman" w:eastAsia="Times New Roman"/>
                <w:sz w:val="21"/>
              </w:rPr>
              <w:t>CO</w:t>
            </w:r>
            <w:r>
              <w:rPr>
                <w:rFonts w:ascii="Times New Roman" w:hAnsi="Times New Roman" w:eastAsia="Times New Roman"/>
                <w:spacing w:val="3"/>
                <w:sz w:val="21"/>
              </w:rPr>
              <w:t xml:space="preserve"> </w:t>
            </w:r>
            <w:r>
              <w:rPr>
                <w:spacing w:val="-7"/>
                <w:sz w:val="21"/>
              </w:rPr>
              <w:t xml:space="preserve">含量结果，当 </w:t>
            </w:r>
            <w:r>
              <w:rPr>
                <w:rFonts w:ascii="Times New Roman" w:hAnsi="Times New Roman" w:eastAsia="Times New Roman"/>
                <w:sz w:val="21"/>
              </w:rPr>
              <w:t>CO</w:t>
            </w:r>
            <w:r>
              <w:rPr>
                <w:rFonts w:ascii="Times New Roman" w:hAnsi="Times New Roman" w:eastAsia="Times New Roman"/>
                <w:spacing w:val="3"/>
                <w:sz w:val="21"/>
              </w:rPr>
              <w:t xml:space="preserve"> </w:t>
            </w:r>
            <w:r>
              <w:rPr>
                <w:spacing w:val="1"/>
                <w:sz w:val="21"/>
              </w:rPr>
              <w:t xml:space="preserve">含量超过 </w:t>
            </w:r>
            <w:r>
              <w:rPr>
                <w:rFonts w:ascii="Times New Roman" w:hAnsi="Times New Roman" w:eastAsia="Times New Roman"/>
                <w:sz w:val="21"/>
              </w:rPr>
              <w:t>50mg/m</w:t>
            </w:r>
            <w:r>
              <w:rPr>
                <w:rFonts w:ascii="Times New Roman" w:hAnsi="Times New Roman" w:eastAsia="Times New Roman"/>
                <w:position w:val="7"/>
                <w:sz w:val="13"/>
              </w:rPr>
              <w:t>3</w:t>
            </w:r>
            <w:r>
              <w:rPr>
                <w:rFonts w:ascii="Times New Roman" w:hAnsi="Times New Roman" w:eastAsia="Times New Roman"/>
                <w:spacing w:val="19"/>
                <w:position w:val="7"/>
                <w:sz w:val="13"/>
              </w:rPr>
              <w:t xml:space="preserve"> </w:t>
            </w:r>
            <w:r>
              <w:rPr>
                <w:rFonts w:ascii="Times New Roman" w:hAnsi="Times New Roman" w:eastAsia="Times New Roman"/>
                <w:spacing w:val="2"/>
                <w:sz w:val="21"/>
              </w:rPr>
              <w:t xml:space="preserve">( </w:t>
            </w:r>
            <w:r>
              <w:rPr>
                <w:rFonts w:ascii="Times New Roman" w:hAnsi="Times New Roman" w:eastAsia="Times New Roman"/>
                <w:sz w:val="21"/>
              </w:rPr>
              <w:t>40PPm</w:t>
            </w:r>
            <w:r>
              <w:rPr>
                <w:sz w:val="21"/>
              </w:rPr>
              <w:t>）时，需进行人员疏散或戒严，由疏散救援组协助险区内人员的撤离、布岗，疏通抢险通道。</w:t>
            </w:r>
          </w:p>
          <w:p>
            <w:pPr>
              <w:pStyle w:val="24"/>
              <w:spacing w:line="252" w:lineRule="exact"/>
              <w:ind w:left="538"/>
              <w:rPr>
                <w:sz w:val="21"/>
              </w:rPr>
            </w:pPr>
            <w:r>
              <w:rPr>
                <w:rFonts w:hint="eastAsia" w:ascii="宋体" w:hAnsi="宋体" w:eastAsia="宋体"/>
                <w:sz w:val="21"/>
              </w:rPr>
              <w:t>④</w:t>
            </w:r>
            <w:r>
              <w:rPr>
                <w:sz w:val="21"/>
              </w:rPr>
              <w:t>后勤医疗组：组织伤员救护，调集应急物资、医疗物资。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957" w:type="dxa"/>
            <w:gridSpan w:val="4"/>
            <w:tcBorders>
              <w:top w:val="single" w:color="000000" w:sz="4" w:space="0"/>
              <w:bottom w:val="single" w:color="000000" w:sz="4" w:space="0"/>
            </w:tcBorders>
          </w:tcPr>
          <w:p>
            <w:pPr>
              <w:pStyle w:val="24"/>
              <w:spacing w:before="35"/>
              <w:ind w:left="4325" w:right="3882"/>
              <w:jc w:val="center"/>
              <w:rPr>
                <w:sz w:val="21"/>
              </w:rPr>
            </w:pPr>
            <w:r>
              <w:rPr>
                <w:sz w:val="21"/>
              </w:rPr>
              <w:t>应急处置注意事项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61" w:hRule="atLeast"/>
        </w:trPr>
        <w:tc>
          <w:tcPr>
            <w:tcW w:w="2013" w:type="dxa"/>
            <w:tcBorders>
              <w:top w:val="single" w:color="000000" w:sz="4" w:space="0"/>
              <w:bottom w:val="single" w:color="000000" w:sz="4" w:space="0"/>
              <w:right w:val="single" w:color="000000" w:sz="4" w:space="0"/>
            </w:tcBorders>
          </w:tcPr>
          <w:p>
            <w:pPr>
              <w:pStyle w:val="24"/>
              <w:rPr>
                <w:b/>
                <w:sz w:val="20"/>
              </w:rPr>
            </w:pPr>
          </w:p>
          <w:p>
            <w:pPr>
              <w:pStyle w:val="24"/>
              <w:spacing w:before="153" w:line="242" w:lineRule="auto"/>
              <w:ind w:left="691" w:right="147" w:hanging="526"/>
              <w:rPr>
                <w:sz w:val="21"/>
              </w:rPr>
            </w:pPr>
            <w:r>
              <w:rPr>
                <w:sz w:val="21"/>
              </w:rPr>
              <w:t>有毒</w:t>
            </w:r>
            <w:r>
              <w:rPr>
                <w:rFonts w:hint="eastAsia"/>
                <w:sz w:val="21"/>
              </w:rPr>
              <w:t>液态</w:t>
            </w:r>
            <w:r>
              <w:rPr>
                <w:sz w:val="21"/>
              </w:rPr>
              <w:t>环境下工作标准</w:t>
            </w:r>
          </w:p>
        </w:tc>
        <w:tc>
          <w:tcPr>
            <w:tcW w:w="7944" w:type="dxa"/>
            <w:gridSpan w:val="3"/>
            <w:tcBorders>
              <w:top w:val="single" w:color="000000" w:sz="4" w:space="0"/>
              <w:left w:val="single" w:color="000000" w:sz="4" w:space="0"/>
              <w:bottom w:val="single" w:color="000000" w:sz="4" w:space="0"/>
            </w:tcBorders>
          </w:tcPr>
          <w:p>
            <w:pPr>
              <w:pStyle w:val="24"/>
              <w:spacing w:before="1"/>
              <w:ind w:left="538"/>
              <w:rPr>
                <w:rFonts w:ascii="Times New Roman" w:eastAsia="Times New Roman"/>
                <w:sz w:val="13"/>
              </w:rPr>
            </w:pPr>
            <w:r>
              <w:rPr>
                <w:rFonts w:ascii="Times New Roman" w:eastAsia="Times New Roman"/>
                <w:sz w:val="21"/>
              </w:rPr>
              <w:t>CO</w:t>
            </w:r>
            <w:r>
              <w:rPr>
                <w:rFonts w:ascii="Times New Roman" w:eastAsia="Times New Roman"/>
                <w:spacing w:val="-1"/>
                <w:sz w:val="21"/>
              </w:rPr>
              <w:t xml:space="preserve"> </w:t>
            </w:r>
            <w:r>
              <w:rPr>
                <w:spacing w:val="-9"/>
                <w:sz w:val="21"/>
              </w:rPr>
              <w:t xml:space="preserve">含量不超过 </w:t>
            </w:r>
            <w:r>
              <w:rPr>
                <w:rFonts w:ascii="Times New Roman" w:eastAsia="Times New Roman"/>
                <w:sz w:val="21"/>
              </w:rPr>
              <w:t>30mg/m</w:t>
            </w:r>
            <w:r>
              <w:rPr>
                <w:rFonts w:ascii="Times New Roman" w:eastAsia="Times New Roman"/>
                <w:position w:val="7"/>
                <w:sz w:val="13"/>
              </w:rPr>
              <w:t>3</w:t>
            </w:r>
            <w:r>
              <w:rPr>
                <w:rFonts w:ascii="Times New Roman" w:eastAsia="Times New Roman"/>
                <w:spacing w:val="19"/>
                <w:position w:val="7"/>
                <w:sz w:val="13"/>
              </w:rPr>
              <w:t xml:space="preserve"> </w:t>
            </w:r>
            <w:r>
              <w:rPr>
                <w:rFonts w:ascii="Times New Roman" w:eastAsia="Times New Roman"/>
                <w:sz w:val="21"/>
              </w:rPr>
              <w:t xml:space="preserve">( </w:t>
            </w:r>
            <w:r>
              <w:rPr>
                <w:rFonts w:ascii="Times New Roman" w:eastAsia="Times New Roman"/>
                <w:spacing w:val="-12"/>
                <w:sz w:val="21"/>
              </w:rPr>
              <w:t>24PPm</w:t>
            </w:r>
            <w:r>
              <w:rPr>
                <w:spacing w:val="-12"/>
                <w:sz w:val="21"/>
              </w:rPr>
              <w:t>）时，可较长时间工作；</w:t>
            </w:r>
            <w:r>
              <w:rPr>
                <w:rFonts w:ascii="Times New Roman" w:eastAsia="Times New Roman"/>
                <w:spacing w:val="-24"/>
                <w:sz w:val="21"/>
              </w:rPr>
              <w:t>CO</w:t>
            </w:r>
            <w:r>
              <w:rPr>
                <w:rFonts w:ascii="Times New Roman" w:eastAsia="Times New Roman"/>
                <w:spacing w:val="-1"/>
                <w:sz w:val="21"/>
              </w:rPr>
              <w:t xml:space="preserve"> </w:t>
            </w:r>
            <w:r>
              <w:rPr>
                <w:spacing w:val="-9"/>
                <w:sz w:val="21"/>
              </w:rPr>
              <w:t xml:space="preserve">含量不超过 </w:t>
            </w:r>
            <w:r>
              <w:rPr>
                <w:rFonts w:ascii="Times New Roman" w:eastAsia="Times New Roman"/>
                <w:sz w:val="21"/>
              </w:rPr>
              <w:t>50mg/m</w:t>
            </w:r>
            <w:r>
              <w:rPr>
                <w:rFonts w:ascii="Times New Roman" w:eastAsia="Times New Roman"/>
                <w:position w:val="7"/>
                <w:sz w:val="13"/>
              </w:rPr>
              <w:t>3</w:t>
            </w:r>
          </w:p>
          <w:p>
            <w:pPr>
              <w:pStyle w:val="24"/>
              <w:spacing w:before="2" w:line="242" w:lineRule="auto"/>
              <w:ind w:left="118" w:right="-44"/>
              <w:rPr>
                <w:sz w:val="21"/>
              </w:rPr>
            </w:pPr>
            <w:r>
              <w:rPr>
                <w:rFonts w:ascii="Times New Roman" w:eastAsia="Times New Roman"/>
                <w:spacing w:val="-3"/>
                <w:sz w:val="21"/>
              </w:rPr>
              <w:t xml:space="preserve">( </w:t>
            </w:r>
            <w:r>
              <w:rPr>
                <w:rFonts w:ascii="Times New Roman" w:eastAsia="Times New Roman"/>
                <w:spacing w:val="-8"/>
                <w:sz w:val="21"/>
              </w:rPr>
              <w:t>40PPm</w:t>
            </w:r>
            <w:r>
              <w:rPr>
                <w:spacing w:val="-8"/>
                <w:sz w:val="21"/>
              </w:rPr>
              <w:t>）</w:t>
            </w:r>
            <w:r>
              <w:rPr>
                <w:spacing w:val="-12"/>
                <w:sz w:val="21"/>
              </w:rPr>
              <w:t xml:space="preserve">时，连续工作时间不得超过 </w:t>
            </w:r>
            <w:r>
              <w:rPr>
                <w:rFonts w:ascii="Times New Roman" w:eastAsia="Times New Roman"/>
                <w:sz w:val="21"/>
              </w:rPr>
              <w:t>1</w:t>
            </w:r>
            <w:r>
              <w:rPr>
                <w:rFonts w:ascii="Times New Roman" w:eastAsia="Times New Roman"/>
                <w:spacing w:val="-1"/>
                <w:sz w:val="21"/>
              </w:rPr>
              <w:t xml:space="preserve"> </w:t>
            </w:r>
            <w:r>
              <w:rPr>
                <w:spacing w:val="-6"/>
                <w:sz w:val="21"/>
              </w:rPr>
              <w:t>小时；</w:t>
            </w:r>
            <w:r>
              <w:rPr>
                <w:rFonts w:ascii="Times New Roman" w:eastAsia="Times New Roman"/>
                <w:spacing w:val="-17"/>
                <w:sz w:val="21"/>
              </w:rPr>
              <w:t>CO</w:t>
            </w:r>
            <w:r>
              <w:rPr>
                <w:rFonts w:ascii="Times New Roman" w:eastAsia="Times New Roman"/>
                <w:sz w:val="21"/>
              </w:rPr>
              <w:t xml:space="preserve"> </w:t>
            </w:r>
            <w:r>
              <w:rPr>
                <w:spacing w:val="-10"/>
                <w:sz w:val="21"/>
              </w:rPr>
              <w:t xml:space="preserve">含量不超过 </w:t>
            </w:r>
            <w:r>
              <w:rPr>
                <w:rFonts w:ascii="Times New Roman" w:eastAsia="Times New Roman"/>
                <w:sz w:val="21"/>
              </w:rPr>
              <w:t>100mg/m</w:t>
            </w:r>
            <w:r>
              <w:rPr>
                <w:rFonts w:ascii="Times New Roman" w:eastAsia="Times New Roman"/>
                <w:position w:val="7"/>
                <w:sz w:val="13"/>
              </w:rPr>
              <w:t>3</w:t>
            </w:r>
            <w:r>
              <w:rPr>
                <w:rFonts w:ascii="Times New Roman" w:eastAsia="Times New Roman"/>
                <w:spacing w:val="19"/>
                <w:position w:val="7"/>
                <w:sz w:val="13"/>
              </w:rPr>
              <w:t xml:space="preserve"> </w:t>
            </w:r>
            <w:r>
              <w:rPr>
                <w:rFonts w:ascii="Times New Roman" w:eastAsia="Times New Roman"/>
                <w:spacing w:val="-1"/>
                <w:sz w:val="21"/>
              </w:rPr>
              <w:t xml:space="preserve">( </w:t>
            </w:r>
            <w:r>
              <w:rPr>
                <w:rFonts w:ascii="Times New Roman" w:eastAsia="Times New Roman"/>
                <w:spacing w:val="-8"/>
                <w:sz w:val="21"/>
              </w:rPr>
              <w:t>80PPm</w:t>
            </w:r>
            <w:r>
              <w:rPr>
                <w:spacing w:val="-8"/>
                <w:sz w:val="21"/>
              </w:rPr>
              <w:t>）</w:t>
            </w:r>
            <w:r>
              <w:rPr>
                <w:sz w:val="21"/>
              </w:rPr>
              <w:t xml:space="preserve">时， </w:t>
            </w:r>
            <w:r>
              <w:rPr>
                <w:spacing w:val="-3"/>
                <w:sz w:val="21"/>
              </w:rPr>
              <w:t xml:space="preserve">连续工作时间不得超过 </w:t>
            </w:r>
            <w:r>
              <w:rPr>
                <w:rFonts w:ascii="Times New Roman" w:eastAsia="Times New Roman"/>
                <w:sz w:val="21"/>
              </w:rPr>
              <w:t>0.5</w:t>
            </w:r>
            <w:r>
              <w:rPr>
                <w:rFonts w:ascii="Times New Roman" w:eastAsia="Times New Roman"/>
                <w:spacing w:val="1"/>
                <w:sz w:val="21"/>
              </w:rPr>
              <w:t xml:space="preserve"> </w:t>
            </w:r>
            <w:r>
              <w:rPr>
                <w:spacing w:val="2"/>
                <w:sz w:val="21"/>
              </w:rPr>
              <w:t>小时；</w:t>
            </w:r>
            <w:r>
              <w:rPr>
                <w:rFonts w:ascii="Times New Roman" w:eastAsia="Times New Roman"/>
                <w:sz w:val="21"/>
              </w:rPr>
              <w:t>CO</w:t>
            </w:r>
            <w:r>
              <w:rPr>
                <w:rFonts w:ascii="Times New Roman" w:eastAsia="Times New Roman"/>
                <w:spacing w:val="2"/>
                <w:sz w:val="21"/>
              </w:rPr>
              <w:t xml:space="preserve"> </w:t>
            </w:r>
            <w:r>
              <w:rPr>
                <w:spacing w:val="-6"/>
                <w:sz w:val="21"/>
              </w:rPr>
              <w:t xml:space="preserve">含量不超过 </w:t>
            </w:r>
            <w:r>
              <w:rPr>
                <w:rFonts w:ascii="Times New Roman" w:eastAsia="Times New Roman"/>
                <w:sz w:val="21"/>
              </w:rPr>
              <w:t>200mg/m</w:t>
            </w:r>
            <w:r>
              <w:rPr>
                <w:rFonts w:ascii="Times New Roman" w:eastAsia="Times New Roman"/>
                <w:position w:val="7"/>
                <w:sz w:val="13"/>
              </w:rPr>
              <w:t>3</w:t>
            </w:r>
            <w:r>
              <w:rPr>
                <w:rFonts w:ascii="Times New Roman" w:eastAsia="Times New Roman"/>
                <w:spacing w:val="18"/>
                <w:position w:val="7"/>
                <w:sz w:val="13"/>
              </w:rPr>
              <w:t xml:space="preserve"> </w:t>
            </w:r>
            <w:r>
              <w:rPr>
                <w:rFonts w:ascii="Times New Roman" w:eastAsia="Times New Roman"/>
                <w:spacing w:val="1"/>
                <w:sz w:val="21"/>
              </w:rPr>
              <w:t xml:space="preserve">( </w:t>
            </w:r>
            <w:r>
              <w:rPr>
                <w:rFonts w:ascii="Times New Roman" w:eastAsia="Times New Roman"/>
                <w:sz w:val="21"/>
              </w:rPr>
              <w:t>160PPm)</w:t>
            </w:r>
            <w:r>
              <w:rPr>
                <w:spacing w:val="3"/>
                <w:sz w:val="21"/>
              </w:rPr>
              <w:t>时，连续工作</w:t>
            </w:r>
            <w:r>
              <w:rPr>
                <w:spacing w:val="-7"/>
                <w:sz w:val="21"/>
              </w:rPr>
              <w:t xml:space="preserve">时间不超过 </w:t>
            </w:r>
            <w:r>
              <w:rPr>
                <w:rFonts w:ascii="Times New Roman" w:eastAsia="Times New Roman"/>
                <w:sz w:val="21"/>
              </w:rPr>
              <w:t>15-20</w:t>
            </w:r>
            <w:r>
              <w:rPr>
                <w:rFonts w:ascii="Times New Roman" w:eastAsia="Times New Roman"/>
                <w:spacing w:val="-2"/>
                <w:sz w:val="21"/>
              </w:rPr>
              <w:t xml:space="preserve"> </w:t>
            </w:r>
            <w:r>
              <w:rPr>
                <w:spacing w:val="-4"/>
                <w:sz w:val="21"/>
              </w:rPr>
              <w:t xml:space="preserve">分钟。工作人员每次进入煤气泄漏区域工作的时间间隔至少在 </w:t>
            </w:r>
            <w:r>
              <w:rPr>
                <w:rFonts w:ascii="Times New Roman" w:eastAsia="Times New Roman"/>
                <w:sz w:val="21"/>
              </w:rPr>
              <w:t>2</w:t>
            </w:r>
            <w:r>
              <w:rPr>
                <w:rFonts w:ascii="Times New Roman" w:eastAsia="Times New Roman"/>
                <w:spacing w:val="-2"/>
                <w:sz w:val="21"/>
              </w:rPr>
              <w:t xml:space="preserve"> </w:t>
            </w:r>
            <w:r>
              <w:rPr>
                <w:sz w:val="21"/>
              </w:rPr>
              <w:t>小</w:t>
            </w:r>
          </w:p>
          <w:p>
            <w:pPr>
              <w:pStyle w:val="24"/>
              <w:spacing w:before="4" w:line="251" w:lineRule="exact"/>
              <w:ind w:left="118"/>
              <w:rPr>
                <w:sz w:val="21"/>
              </w:rPr>
            </w:pPr>
            <w:r>
              <w:rPr>
                <w:sz w:val="21"/>
              </w:rPr>
              <w:t>时以上。</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7" w:hRule="atLeast"/>
        </w:trPr>
        <w:tc>
          <w:tcPr>
            <w:tcW w:w="2013" w:type="dxa"/>
            <w:vMerge w:val="restart"/>
            <w:tcBorders>
              <w:top w:val="single" w:color="000000" w:sz="4" w:space="0"/>
              <w:bottom w:val="single" w:color="000000" w:sz="4" w:space="0"/>
              <w:right w:val="single" w:color="000000" w:sz="4" w:space="0"/>
            </w:tcBorders>
          </w:tcPr>
          <w:p>
            <w:pPr>
              <w:pStyle w:val="24"/>
              <w:rPr>
                <w:b/>
                <w:sz w:val="20"/>
              </w:rPr>
            </w:pPr>
          </w:p>
          <w:p>
            <w:pPr>
              <w:pStyle w:val="24"/>
              <w:spacing w:before="11"/>
              <w:rPr>
                <w:b/>
              </w:rPr>
            </w:pPr>
          </w:p>
          <w:p>
            <w:pPr>
              <w:pStyle w:val="24"/>
              <w:ind w:left="374"/>
              <w:rPr>
                <w:sz w:val="21"/>
              </w:rPr>
            </w:pPr>
            <w:r>
              <w:rPr>
                <w:sz w:val="21"/>
              </w:rPr>
              <w:t>防火防爆措施</w:t>
            </w:r>
          </w:p>
        </w:tc>
        <w:tc>
          <w:tcPr>
            <w:tcW w:w="7944" w:type="dxa"/>
            <w:gridSpan w:val="3"/>
            <w:tcBorders>
              <w:top w:val="single" w:color="000000" w:sz="4" w:space="0"/>
              <w:left w:val="single" w:color="000000" w:sz="4" w:space="0"/>
              <w:bottom w:val="single" w:color="000000" w:sz="4" w:space="0"/>
            </w:tcBorders>
          </w:tcPr>
          <w:p>
            <w:pPr>
              <w:pStyle w:val="24"/>
              <w:spacing w:line="242" w:lineRule="auto"/>
              <w:ind w:left="118" w:right="-29" w:firstLine="420"/>
              <w:rPr>
                <w:sz w:val="21"/>
              </w:rPr>
            </w:pPr>
            <w:r>
              <w:rPr>
                <w:spacing w:val="-13"/>
                <w:sz w:val="21"/>
              </w:rPr>
              <w:t xml:space="preserve">泄漏现场 </w:t>
            </w:r>
            <w:r>
              <w:rPr>
                <w:rFonts w:ascii="Times New Roman" w:eastAsia="Times New Roman"/>
                <w:sz w:val="21"/>
              </w:rPr>
              <w:t>40m</w:t>
            </w:r>
            <w:r>
              <w:rPr>
                <w:rFonts w:ascii="Times New Roman" w:eastAsia="Times New Roman"/>
                <w:spacing w:val="-5"/>
                <w:sz w:val="21"/>
              </w:rPr>
              <w:t xml:space="preserve"> </w:t>
            </w:r>
            <w:r>
              <w:rPr>
                <w:sz w:val="21"/>
              </w:rPr>
              <w:t xml:space="preserve">内，禁止有火源并应采取防止着火的措施，配备足够的灭火器具， </w:t>
            </w:r>
            <w:r>
              <w:rPr>
                <w:spacing w:val="-3"/>
                <w:sz w:val="21"/>
              </w:rPr>
              <w:t>有风力吹向的下风侧，应根据实际情况延长禁区范围。与堵漏工作无关的人员必须离</w:t>
            </w:r>
          </w:p>
          <w:p>
            <w:pPr>
              <w:pStyle w:val="24"/>
              <w:spacing w:before="1" w:line="252" w:lineRule="exact"/>
              <w:ind w:left="118"/>
              <w:rPr>
                <w:sz w:val="21"/>
              </w:rPr>
            </w:pPr>
            <w:r>
              <w:rPr>
                <w:sz w:val="21"/>
              </w:rPr>
              <w:t xml:space="preserve">开现场 </w:t>
            </w:r>
            <w:r>
              <w:rPr>
                <w:rFonts w:ascii="Times New Roman" w:eastAsia="Times New Roman"/>
                <w:sz w:val="21"/>
              </w:rPr>
              <w:t xml:space="preserve">40m </w:t>
            </w:r>
            <w:r>
              <w:rPr>
                <w:sz w:val="21"/>
              </w:rPr>
              <w:t>外。作业所采用的工具必须是不发火星的木质等材质工具。</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2013" w:type="dxa"/>
            <w:vMerge w:val="continue"/>
            <w:tcBorders>
              <w:top w:val="nil"/>
              <w:bottom w:val="single" w:color="000000" w:sz="4" w:space="0"/>
              <w:right w:val="single" w:color="000000" w:sz="4" w:space="0"/>
            </w:tcBorders>
          </w:tcPr>
          <w:p>
            <w:pPr>
              <w:rPr>
                <w:sz w:val="2"/>
                <w:szCs w:val="2"/>
              </w:rPr>
            </w:pPr>
          </w:p>
        </w:tc>
        <w:tc>
          <w:tcPr>
            <w:tcW w:w="7944" w:type="dxa"/>
            <w:gridSpan w:val="3"/>
            <w:tcBorders>
              <w:top w:val="single" w:color="000000" w:sz="4" w:space="0"/>
              <w:left w:val="single" w:color="000000" w:sz="4" w:space="0"/>
              <w:bottom w:val="single" w:color="000000" w:sz="4" w:space="0"/>
            </w:tcBorders>
          </w:tcPr>
          <w:p>
            <w:pPr>
              <w:pStyle w:val="24"/>
              <w:spacing w:before="1"/>
              <w:ind w:left="538"/>
              <w:rPr>
                <w:sz w:val="21"/>
              </w:rPr>
            </w:pPr>
            <w:r>
              <w:rPr>
                <w:sz w:val="21"/>
              </w:rPr>
              <w:t>若发生火灾爆炸事故，应立即停止产生有毒</w:t>
            </w:r>
            <w:r>
              <w:rPr>
                <w:rFonts w:hint="eastAsia"/>
                <w:sz w:val="21"/>
              </w:rPr>
              <w:t>液态</w:t>
            </w:r>
            <w:r>
              <w:rPr>
                <w:sz w:val="21"/>
              </w:rPr>
              <w:t>的生产工序，在实施上述应急措</w:t>
            </w:r>
          </w:p>
          <w:p>
            <w:pPr>
              <w:pStyle w:val="24"/>
              <w:spacing w:before="2" w:line="253" w:lineRule="exact"/>
              <w:ind w:left="118"/>
              <w:rPr>
                <w:sz w:val="21"/>
              </w:rPr>
            </w:pPr>
            <w:r>
              <w:rPr>
                <w:sz w:val="21"/>
              </w:rPr>
              <w:t>施的同时按照火灾爆炸应急处置措施开展处置工作。</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957" w:type="dxa"/>
            <w:gridSpan w:val="4"/>
            <w:tcBorders>
              <w:top w:val="single" w:color="000000" w:sz="4" w:space="0"/>
              <w:bottom w:val="single" w:color="000000" w:sz="4" w:space="0"/>
            </w:tcBorders>
          </w:tcPr>
          <w:p>
            <w:pPr>
              <w:pStyle w:val="24"/>
              <w:spacing w:before="34"/>
              <w:ind w:left="3905" w:right="3882"/>
              <w:jc w:val="center"/>
              <w:rPr>
                <w:sz w:val="21"/>
              </w:rPr>
            </w:pPr>
            <w:r>
              <w:rPr>
                <w:sz w:val="21"/>
              </w:rPr>
              <w:t>应急联系电话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013" w:type="dxa"/>
            <w:tcBorders>
              <w:top w:val="single" w:color="000000" w:sz="4" w:space="0"/>
              <w:bottom w:val="single" w:color="000000" w:sz="4" w:space="0"/>
              <w:right w:val="single" w:color="000000" w:sz="4" w:space="0"/>
            </w:tcBorders>
          </w:tcPr>
          <w:p>
            <w:pPr>
              <w:pStyle w:val="24"/>
              <w:spacing w:before="32"/>
              <w:ind w:left="353" w:right="340"/>
              <w:jc w:val="center"/>
              <w:rPr>
                <w:sz w:val="21"/>
              </w:rPr>
            </w:pPr>
            <w:r>
              <w:rPr>
                <w:sz w:val="21"/>
              </w:rPr>
              <w:t>内部</w:t>
            </w:r>
          </w:p>
        </w:tc>
        <w:tc>
          <w:tcPr>
            <w:tcW w:w="7944" w:type="dxa"/>
            <w:gridSpan w:val="3"/>
            <w:tcBorders>
              <w:top w:val="single" w:color="000000" w:sz="4" w:space="0"/>
              <w:left w:val="single" w:color="000000" w:sz="4" w:space="0"/>
              <w:bottom w:val="single" w:color="000000" w:sz="4" w:space="0"/>
            </w:tcBorders>
          </w:tcPr>
          <w:p>
            <w:pPr>
              <w:pStyle w:val="24"/>
              <w:spacing w:before="48"/>
              <w:ind w:right="3345" w:firstLine="2640" w:firstLineChars="1200"/>
              <w:jc w:val="both"/>
              <w:rPr>
                <w:rFonts w:ascii="Times New Roman"/>
                <w:sz w:val="21"/>
              </w:rPr>
            </w:pPr>
            <w:r>
              <w:rPr>
                <w:rFonts w:hint="eastAsia"/>
                <w:szCs w:val="21"/>
              </w:rPr>
              <w:t>13907246986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2013" w:type="dxa"/>
            <w:vMerge w:val="restart"/>
            <w:tcBorders>
              <w:top w:val="single" w:color="000000" w:sz="4" w:space="0"/>
              <w:right w:val="single" w:color="000000" w:sz="4" w:space="0"/>
            </w:tcBorders>
          </w:tcPr>
          <w:p>
            <w:pPr>
              <w:pStyle w:val="24"/>
              <w:spacing w:before="3"/>
              <w:rPr>
                <w:b/>
                <w:sz w:val="24"/>
              </w:rPr>
            </w:pPr>
          </w:p>
          <w:p>
            <w:pPr>
              <w:pStyle w:val="24"/>
              <w:ind w:left="353" w:right="340"/>
              <w:jc w:val="center"/>
              <w:rPr>
                <w:sz w:val="21"/>
              </w:rPr>
            </w:pPr>
            <w:r>
              <w:rPr>
                <w:sz w:val="21"/>
              </w:rPr>
              <w:t>其他</w:t>
            </w:r>
          </w:p>
        </w:tc>
        <w:tc>
          <w:tcPr>
            <w:tcW w:w="1788" w:type="dxa"/>
            <w:tcBorders>
              <w:top w:val="single" w:color="000000" w:sz="4" w:space="0"/>
              <w:left w:val="single" w:color="000000" w:sz="4" w:space="0"/>
              <w:bottom w:val="single" w:color="000000" w:sz="4" w:space="0"/>
              <w:right w:val="single" w:color="000000" w:sz="4" w:space="0"/>
            </w:tcBorders>
          </w:tcPr>
          <w:p>
            <w:pPr>
              <w:pStyle w:val="24"/>
              <w:spacing w:before="32"/>
              <w:ind w:left="431" w:right="405"/>
              <w:jc w:val="center"/>
              <w:rPr>
                <w:sz w:val="21"/>
              </w:rPr>
            </w:pPr>
            <w:r>
              <w:rPr>
                <w:sz w:val="21"/>
              </w:rPr>
              <w:t>火警</w:t>
            </w:r>
            <w:r>
              <w:rPr>
                <w:rFonts w:ascii="Times New Roman" w:eastAsia="Times New Roman"/>
                <w:sz w:val="21"/>
              </w:rPr>
              <w:t>/</w:t>
            </w:r>
            <w:r>
              <w:rPr>
                <w:sz w:val="21"/>
              </w:rPr>
              <w:t>匪警</w:t>
            </w:r>
          </w:p>
        </w:tc>
        <w:tc>
          <w:tcPr>
            <w:tcW w:w="2079" w:type="dxa"/>
            <w:tcBorders>
              <w:top w:val="single" w:color="000000" w:sz="4" w:space="0"/>
              <w:left w:val="single" w:color="000000" w:sz="4" w:space="0"/>
              <w:bottom w:val="single" w:color="000000" w:sz="4" w:space="0"/>
              <w:right w:val="single" w:color="000000" w:sz="4" w:space="0"/>
            </w:tcBorders>
          </w:tcPr>
          <w:p>
            <w:pPr>
              <w:pStyle w:val="24"/>
              <w:spacing w:before="32"/>
              <w:ind w:left="415" w:right="388"/>
              <w:jc w:val="center"/>
              <w:rPr>
                <w:sz w:val="21"/>
              </w:rPr>
            </w:pPr>
            <w:r>
              <w:rPr>
                <w:sz w:val="21"/>
              </w:rPr>
              <w:t>生态环境局</w:t>
            </w:r>
          </w:p>
        </w:tc>
        <w:tc>
          <w:tcPr>
            <w:tcW w:w="4077" w:type="dxa"/>
            <w:tcBorders>
              <w:top w:val="single" w:color="000000" w:sz="4" w:space="0"/>
              <w:left w:val="single" w:color="000000" w:sz="4" w:space="0"/>
              <w:bottom w:val="single" w:color="000000" w:sz="4" w:space="0"/>
            </w:tcBorders>
          </w:tcPr>
          <w:p>
            <w:pPr>
              <w:pStyle w:val="24"/>
              <w:spacing w:before="32"/>
              <w:ind w:left="727" w:right="694"/>
              <w:jc w:val="center"/>
              <w:rPr>
                <w:sz w:val="21"/>
              </w:rPr>
            </w:pPr>
            <w:r>
              <w:rPr>
                <w:sz w:val="21"/>
              </w:rPr>
              <w:t>周边联防单位</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3" w:hRule="atLeast"/>
        </w:trPr>
        <w:tc>
          <w:tcPr>
            <w:tcW w:w="2013" w:type="dxa"/>
            <w:vMerge w:val="continue"/>
            <w:tcBorders>
              <w:top w:val="nil"/>
              <w:right w:val="single" w:color="000000" w:sz="4" w:space="0"/>
            </w:tcBorders>
          </w:tcPr>
          <w:p>
            <w:pPr>
              <w:rPr>
                <w:sz w:val="2"/>
                <w:szCs w:val="2"/>
              </w:rPr>
            </w:pPr>
          </w:p>
        </w:tc>
        <w:tc>
          <w:tcPr>
            <w:tcW w:w="1788" w:type="dxa"/>
            <w:tcBorders>
              <w:top w:val="single" w:color="000000" w:sz="4" w:space="0"/>
              <w:left w:val="single" w:color="000000" w:sz="4" w:space="0"/>
              <w:right w:val="single" w:color="000000" w:sz="4" w:space="0"/>
            </w:tcBorders>
          </w:tcPr>
          <w:p>
            <w:pPr>
              <w:pStyle w:val="24"/>
              <w:spacing w:before="140"/>
              <w:ind w:left="432" w:right="403"/>
              <w:jc w:val="center"/>
              <w:rPr>
                <w:rFonts w:ascii="Times New Roman"/>
                <w:sz w:val="21"/>
              </w:rPr>
            </w:pPr>
            <w:r>
              <w:rPr>
                <w:rFonts w:ascii="Times New Roman"/>
                <w:sz w:val="21"/>
              </w:rPr>
              <w:t>119/110</w:t>
            </w:r>
          </w:p>
        </w:tc>
        <w:tc>
          <w:tcPr>
            <w:tcW w:w="2079" w:type="dxa"/>
            <w:tcBorders>
              <w:top w:val="single" w:color="000000" w:sz="4" w:space="0"/>
              <w:left w:val="single" w:color="000000" w:sz="4" w:space="0"/>
              <w:right w:val="single" w:color="000000" w:sz="4" w:space="0"/>
            </w:tcBorders>
          </w:tcPr>
          <w:p>
            <w:pPr>
              <w:pStyle w:val="24"/>
              <w:spacing w:before="140"/>
              <w:ind w:left="414" w:right="388"/>
              <w:jc w:val="center"/>
              <w:rPr>
                <w:rFonts w:ascii="Times New Roman"/>
                <w:sz w:val="21"/>
              </w:rPr>
            </w:pPr>
            <w:r>
              <w:rPr>
                <w:rFonts w:ascii="Times New Roman"/>
                <w:sz w:val="21"/>
              </w:rPr>
              <w:t>0715-5355351</w:t>
            </w:r>
          </w:p>
        </w:tc>
        <w:tc>
          <w:tcPr>
            <w:tcW w:w="4077" w:type="dxa"/>
            <w:tcBorders>
              <w:top w:val="single" w:color="000000" w:sz="4" w:space="0"/>
              <w:left w:val="single" w:color="000000" w:sz="4" w:space="0"/>
            </w:tcBorders>
          </w:tcPr>
          <w:p>
            <w:pPr>
              <w:pStyle w:val="24"/>
              <w:spacing w:line="258" w:lineRule="exact"/>
              <w:ind w:left="733" w:right="694"/>
              <w:jc w:val="center"/>
              <w:rPr>
                <w:rFonts w:ascii="Times New Roman" w:eastAsia="Times New Roman"/>
                <w:sz w:val="21"/>
              </w:rPr>
            </w:pPr>
            <w:r>
              <w:rPr>
                <w:sz w:val="21"/>
              </w:rPr>
              <w:t xml:space="preserve">县应急管理局 </w:t>
            </w:r>
            <w:r>
              <w:rPr>
                <w:rFonts w:ascii="Times New Roman" w:eastAsia="Times New Roman"/>
                <w:sz w:val="21"/>
              </w:rPr>
              <w:t>0715-5353630</w:t>
            </w:r>
          </w:p>
          <w:p>
            <w:pPr>
              <w:pStyle w:val="24"/>
              <w:spacing w:before="4" w:line="251" w:lineRule="exact"/>
              <w:ind w:left="733" w:right="694"/>
              <w:jc w:val="center"/>
              <w:rPr>
                <w:rFonts w:ascii="Times New Roman" w:eastAsia="Times New Roman"/>
                <w:sz w:val="21"/>
              </w:rPr>
            </w:pPr>
            <w:r>
              <w:rPr>
                <w:rFonts w:hint="eastAsia"/>
                <w:sz w:val="21"/>
              </w:rPr>
              <w:t>陆水湖街道办</w:t>
            </w:r>
            <w:r>
              <w:rPr>
                <w:rFonts w:hint="eastAsia"/>
                <w:sz w:val="21"/>
                <w:lang w:val="en-US"/>
              </w:rPr>
              <w:t xml:space="preserve"> </w:t>
            </w:r>
            <w:r>
              <w:rPr>
                <w:rFonts w:ascii="Times New Roman"/>
                <w:sz w:val="21"/>
              </w:rPr>
              <w:t>0715-5</w:t>
            </w:r>
            <w:r>
              <w:rPr>
                <w:rFonts w:hint="eastAsia" w:ascii="Times New Roman"/>
                <w:sz w:val="21"/>
                <w:lang w:val="en-US"/>
              </w:rPr>
              <w:t>510037</w:t>
            </w:r>
          </w:p>
        </w:tc>
      </w:tr>
    </w:tbl>
    <w:p>
      <w:pPr>
        <w:spacing w:line="251" w:lineRule="exact"/>
        <w:jc w:val="center"/>
        <w:rPr>
          <w:rFonts w:ascii="Times New Roman" w:eastAsia="Times New Roman"/>
          <w:sz w:val="21"/>
        </w:rPr>
        <w:sectPr>
          <w:pgSz w:w="11910" w:h="16840"/>
          <w:pgMar w:top="1360" w:right="839" w:bottom="1180" w:left="840" w:header="882" w:footer="993" w:gutter="0"/>
          <w:cols w:space="720" w:num="1"/>
        </w:sectPr>
      </w:pPr>
    </w:p>
    <w:p>
      <w:pPr>
        <w:pStyle w:val="9"/>
        <w:spacing w:before="64"/>
        <w:ind w:left="5"/>
      </w:pPr>
      <w:r>
        <w:t>废气泄漏应急处置卡</w:t>
      </w:r>
    </w:p>
    <w:p>
      <w:pPr>
        <w:pStyle w:val="10"/>
        <w:spacing w:before="4"/>
        <w:rPr>
          <w:b/>
          <w:sz w:val="12"/>
        </w:rPr>
      </w:pPr>
    </w:p>
    <w:tbl>
      <w:tblPr>
        <w:tblStyle w:val="15"/>
        <w:tblW w:w="0" w:type="auto"/>
        <w:tblInd w:w="14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009"/>
        <w:gridCol w:w="1784"/>
        <w:gridCol w:w="2079"/>
        <w:gridCol w:w="408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009" w:type="dxa"/>
            <w:tcBorders>
              <w:bottom w:val="single" w:color="000000" w:sz="4" w:space="0"/>
              <w:right w:val="single" w:color="000000" w:sz="4" w:space="0"/>
            </w:tcBorders>
          </w:tcPr>
          <w:p>
            <w:pPr>
              <w:pStyle w:val="24"/>
              <w:spacing w:before="33"/>
              <w:ind w:left="248" w:right="231"/>
              <w:jc w:val="center"/>
              <w:rPr>
                <w:sz w:val="21"/>
              </w:rPr>
            </w:pPr>
            <w:r>
              <w:rPr>
                <w:sz w:val="21"/>
              </w:rPr>
              <w:t>突发事件描述</w:t>
            </w:r>
          </w:p>
        </w:tc>
        <w:tc>
          <w:tcPr>
            <w:tcW w:w="7948" w:type="dxa"/>
            <w:gridSpan w:val="3"/>
            <w:tcBorders>
              <w:left w:val="single" w:color="000000" w:sz="4" w:space="0"/>
              <w:bottom w:val="single" w:color="000000" w:sz="4" w:space="0"/>
            </w:tcBorders>
          </w:tcPr>
          <w:p>
            <w:pPr>
              <w:pStyle w:val="24"/>
              <w:spacing w:before="33"/>
              <w:ind w:left="117"/>
              <w:rPr>
                <w:sz w:val="21"/>
              </w:rPr>
            </w:pPr>
            <w:r>
              <w:rPr>
                <w:rFonts w:hint="eastAsia"/>
                <w:sz w:val="21"/>
              </w:rPr>
              <w:t>机械故障等导致热切工序与印刷等废气集气罩收集治理设施</w:t>
            </w:r>
            <w:r>
              <w:rPr>
                <w:sz w:val="21"/>
              </w:rPr>
              <w:t>效率下降、停止运行，废气泄漏。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009" w:type="dxa"/>
            <w:tcBorders>
              <w:top w:val="single" w:color="000000" w:sz="4" w:space="0"/>
              <w:bottom w:val="single" w:color="000000" w:sz="4" w:space="0"/>
              <w:right w:val="single" w:color="000000" w:sz="4" w:space="0"/>
            </w:tcBorders>
          </w:tcPr>
          <w:p>
            <w:pPr>
              <w:pStyle w:val="24"/>
              <w:spacing w:before="34"/>
              <w:ind w:left="245" w:right="231"/>
              <w:jc w:val="center"/>
              <w:rPr>
                <w:sz w:val="21"/>
              </w:rPr>
            </w:pPr>
            <w:r>
              <w:rPr>
                <w:sz w:val="21"/>
              </w:rPr>
              <w:t>事件级别</w:t>
            </w:r>
          </w:p>
        </w:tc>
        <w:tc>
          <w:tcPr>
            <w:tcW w:w="7948" w:type="dxa"/>
            <w:gridSpan w:val="3"/>
            <w:tcBorders>
              <w:top w:val="single" w:color="000000" w:sz="4" w:space="0"/>
              <w:left w:val="single" w:color="000000" w:sz="4" w:space="0"/>
              <w:bottom w:val="single" w:color="000000" w:sz="4" w:space="0"/>
            </w:tcBorders>
          </w:tcPr>
          <w:p>
            <w:pPr>
              <w:pStyle w:val="24"/>
              <w:spacing w:before="34"/>
              <w:ind w:left="117"/>
              <w:rPr>
                <w:sz w:val="21"/>
              </w:rPr>
            </w:pPr>
            <w:r>
              <w:rPr>
                <w:rFonts w:ascii="Times New Roman" w:eastAsia="Times New Roman"/>
                <w:sz w:val="21"/>
              </w:rPr>
              <w:t xml:space="preserve">III </w:t>
            </w:r>
            <w:r>
              <w:rPr>
                <w:sz w:val="21"/>
              </w:rPr>
              <w:t>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009" w:type="dxa"/>
            <w:tcBorders>
              <w:top w:val="single" w:color="000000" w:sz="4" w:space="0"/>
              <w:bottom w:val="single" w:color="000000" w:sz="4" w:space="0"/>
              <w:right w:val="single" w:color="000000" w:sz="4" w:space="0"/>
            </w:tcBorders>
          </w:tcPr>
          <w:p>
            <w:pPr>
              <w:pStyle w:val="24"/>
              <w:spacing w:before="34"/>
              <w:ind w:left="248" w:right="231"/>
              <w:jc w:val="center"/>
              <w:rPr>
                <w:sz w:val="21"/>
              </w:rPr>
            </w:pPr>
            <w:r>
              <w:rPr>
                <w:sz w:val="21"/>
              </w:rPr>
              <w:t>危害及后果分析</w:t>
            </w:r>
          </w:p>
        </w:tc>
        <w:tc>
          <w:tcPr>
            <w:tcW w:w="7948" w:type="dxa"/>
            <w:gridSpan w:val="3"/>
            <w:tcBorders>
              <w:top w:val="single" w:color="000000" w:sz="4" w:space="0"/>
              <w:left w:val="single" w:color="000000" w:sz="4" w:space="0"/>
              <w:bottom w:val="single" w:color="000000" w:sz="4" w:space="0"/>
            </w:tcBorders>
          </w:tcPr>
          <w:p>
            <w:pPr>
              <w:pStyle w:val="24"/>
              <w:spacing w:before="34"/>
              <w:ind w:left="117"/>
              <w:rPr>
                <w:sz w:val="21"/>
              </w:rPr>
            </w:pPr>
            <w:r>
              <w:rPr>
                <w:sz w:val="21"/>
              </w:rPr>
              <w:t>环境污染。</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009" w:type="dxa"/>
            <w:tcBorders>
              <w:top w:val="single" w:color="000000" w:sz="4" w:space="0"/>
              <w:bottom w:val="single" w:color="000000" w:sz="4" w:space="0"/>
              <w:right w:val="single" w:color="000000" w:sz="4" w:space="0"/>
            </w:tcBorders>
          </w:tcPr>
          <w:p>
            <w:pPr>
              <w:pStyle w:val="24"/>
              <w:spacing w:before="32"/>
              <w:ind w:left="245" w:right="231"/>
              <w:jc w:val="center"/>
              <w:rPr>
                <w:sz w:val="21"/>
              </w:rPr>
            </w:pPr>
            <w:r>
              <w:rPr>
                <w:sz w:val="21"/>
              </w:rPr>
              <w:t>应急物资</w:t>
            </w:r>
          </w:p>
        </w:tc>
        <w:tc>
          <w:tcPr>
            <w:tcW w:w="7948" w:type="dxa"/>
            <w:gridSpan w:val="3"/>
            <w:tcBorders>
              <w:top w:val="single" w:color="000000" w:sz="4" w:space="0"/>
              <w:left w:val="single" w:color="000000" w:sz="4" w:space="0"/>
              <w:bottom w:val="single" w:color="000000" w:sz="4" w:space="0"/>
            </w:tcBorders>
          </w:tcPr>
          <w:p>
            <w:pPr>
              <w:pStyle w:val="24"/>
              <w:spacing w:before="32"/>
              <w:ind w:left="117"/>
              <w:rPr>
                <w:sz w:val="21"/>
              </w:rPr>
            </w:pPr>
            <w:r>
              <w:rPr>
                <w:sz w:val="21"/>
              </w:rPr>
              <w:t>电工工具等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957" w:type="dxa"/>
            <w:gridSpan w:val="4"/>
            <w:tcBorders>
              <w:top w:val="single" w:color="000000" w:sz="4" w:space="0"/>
              <w:bottom w:val="single" w:color="000000" w:sz="4" w:space="0"/>
            </w:tcBorders>
          </w:tcPr>
          <w:p>
            <w:pPr>
              <w:pStyle w:val="24"/>
              <w:spacing w:before="32"/>
              <w:ind w:left="3907" w:right="3882"/>
              <w:jc w:val="center"/>
              <w:rPr>
                <w:sz w:val="21"/>
              </w:rPr>
            </w:pPr>
            <w:r>
              <w:rPr>
                <w:sz w:val="21"/>
              </w:rPr>
              <w:t>处置措施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2009" w:type="dxa"/>
            <w:tcBorders>
              <w:top w:val="single" w:color="000000" w:sz="4" w:space="0"/>
              <w:bottom w:val="single" w:color="000000" w:sz="4" w:space="0"/>
              <w:right w:val="single" w:color="000000" w:sz="4" w:space="0"/>
            </w:tcBorders>
          </w:tcPr>
          <w:p>
            <w:pPr>
              <w:pStyle w:val="24"/>
              <w:spacing w:before="136"/>
              <w:ind w:left="248" w:right="231"/>
              <w:jc w:val="center"/>
              <w:rPr>
                <w:sz w:val="21"/>
              </w:rPr>
            </w:pPr>
            <w:r>
              <w:rPr>
                <w:sz w:val="21"/>
              </w:rPr>
              <w:t>报警</w:t>
            </w:r>
          </w:p>
        </w:tc>
        <w:tc>
          <w:tcPr>
            <w:tcW w:w="7948" w:type="dxa"/>
            <w:gridSpan w:val="3"/>
            <w:tcBorders>
              <w:top w:val="single" w:color="000000" w:sz="4" w:space="0"/>
              <w:left w:val="single" w:color="000000" w:sz="4" w:space="0"/>
              <w:bottom w:val="single" w:color="000000" w:sz="4" w:space="0"/>
            </w:tcBorders>
          </w:tcPr>
          <w:p>
            <w:pPr>
              <w:pStyle w:val="24"/>
              <w:spacing w:line="268" w:lineRule="exact"/>
              <w:ind w:left="537"/>
              <w:rPr>
                <w:sz w:val="21"/>
              </w:rPr>
            </w:pPr>
            <w:r>
              <w:rPr>
                <w:rFonts w:hint="eastAsia" w:ascii="宋体" w:hAnsi="宋体" w:eastAsia="宋体"/>
                <w:sz w:val="21"/>
              </w:rPr>
              <w:t>①</w:t>
            </w:r>
            <w:r>
              <w:rPr>
                <w:sz w:val="21"/>
              </w:rPr>
              <w:t>报警程序：发现</w:t>
            </w:r>
            <w:r>
              <w:rPr>
                <w:rFonts w:hint="eastAsia"/>
                <w:sz w:val="21"/>
              </w:rPr>
              <w:t>液态</w:t>
            </w:r>
            <w:r>
              <w:rPr>
                <w:sz w:val="21"/>
              </w:rPr>
              <w:t>泄漏事故，第一发现人立即向车间负责人报告。</w:t>
            </w:r>
          </w:p>
          <w:p>
            <w:pPr>
              <w:pStyle w:val="24"/>
              <w:spacing w:before="4" w:line="252" w:lineRule="exact"/>
              <w:ind w:left="537"/>
              <w:rPr>
                <w:sz w:val="21"/>
              </w:rPr>
            </w:pPr>
            <w:r>
              <w:rPr>
                <w:rFonts w:hint="eastAsia" w:ascii="宋体" w:hAnsi="宋体" w:eastAsia="宋体"/>
                <w:sz w:val="21"/>
              </w:rPr>
              <w:t>②</w:t>
            </w:r>
            <w:r>
              <w:rPr>
                <w:sz w:val="21"/>
              </w:rPr>
              <w:t>报告内容：</w:t>
            </w:r>
            <w:r>
              <w:rPr>
                <w:rFonts w:hint="eastAsia"/>
                <w:sz w:val="21"/>
              </w:rPr>
              <w:t>液态</w:t>
            </w:r>
            <w:r>
              <w:rPr>
                <w:sz w:val="21"/>
              </w:rPr>
              <w:t>污染物的性质、排放量、严重程度、可控能力、影响范围等。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60" w:hRule="atLeast"/>
        </w:trPr>
        <w:tc>
          <w:tcPr>
            <w:tcW w:w="2009" w:type="dxa"/>
            <w:tcBorders>
              <w:top w:val="single" w:color="000000" w:sz="4" w:space="0"/>
              <w:bottom w:val="single" w:color="000000" w:sz="4" w:space="0"/>
              <w:right w:val="single" w:color="000000" w:sz="4" w:space="0"/>
            </w:tcBorders>
          </w:tcPr>
          <w:p>
            <w:pPr>
              <w:pStyle w:val="24"/>
              <w:rPr>
                <w:b/>
                <w:sz w:val="20"/>
              </w:rPr>
            </w:pPr>
          </w:p>
          <w:p>
            <w:pPr>
              <w:pStyle w:val="24"/>
              <w:spacing w:before="5"/>
              <w:rPr>
                <w:b/>
              </w:rPr>
            </w:pPr>
          </w:p>
          <w:p>
            <w:pPr>
              <w:pStyle w:val="24"/>
              <w:ind w:left="245" w:right="231"/>
              <w:jc w:val="center"/>
              <w:rPr>
                <w:sz w:val="21"/>
              </w:rPr>
            </w:pPr>
            <w:r>
              <w:rPr>
                <w:sz w:val="21"/>
              </w:rPr>
              <w:t>应急处置</w:t>
            </w:r>
          </w:p>
        </w:tc>
        <w:tc>
          <w:tcPr>
            <w:tcW w:w="7948" w:type="dxa"/>
            <w:gridSpan w:val="3"/>
            <w:tcBorders>
              <w:top w:val="single" w:color="000000" w:sz="4" w:space="0"/>
              <w:left w:val="single" w:color="000000" w:sz="4" w:space="0"/>
              <w:bottom w:val="single" w:color="000000" w:sz="4" w:space="0"/>
            </w:tcBorders>
          </w:tcPr>
          <w:p>
            <w:pPr>
              <w:pStyle w:val="24"/>
              <w:spacing w:before="1" w:line="242" w:lineRule="auto"/>
              <w:ind w:left="117" w:right="77" w:firstLine="420"/>
              <w:rPr>
                <w:sz w:val="21"/>
              </w:rPr>
            </w:pPr>
            <w:r>
              <w:rPr>
                <w:rFonts w:hint="eastAsia" w:ascii="宋体" w:hAnsi="宋体" w:eastAsia="宋体"/>
                <w:w w:val="95"/>
                <w:sz w:val="21"/>
              </w:rPr>
              <w:t>①</w:t>
            </w:r>
            <w:r>
              <w:rPr>
                <w:spacing w:val="-3"/>
                <w:w w:val="95"/>
                <w:sz w:val="21"/>
              </w:rPr>
              <w:t xml:space="preserve">应急指挥部办公室：联系维修单位对废气治理设施进行检修，废气污染防治设  </w:t>
            </w:r>
            <w:r>
              <w:rPr>
                <w:spacing w:val="-3"/>
                <w:sz w:val="21"/>
              </w:rPr>
              <w:t>备设施空车运行正常后，恢复生产。通知疏散救援组、电工赶赴现场。</w:t>
            </w:r>
          </w:p>
          <w:p>
            <w:pPr>
              <w:pStyle w:val="24"/>
              <w:spacing w:line="268" w:lineRule="exact"/>
              <w:ind w:left="117" w:firstLine="420"/>
              <w:rPr>
                <w:sz w:val="21"/>
              </w:rPr>
            </w:pPr>
            <w:r>
              <w:rPr>
                <w:rFonts w:hint="eastAsia" w:ascii="宋体" w:hAnsi="宋体" w:eastAsia="宋体"/>
                <w:sz w:val="21"/>
              </w:rPr>
              <w:t>②</w:t>
            </w:r>
            <w:r>
              <w:rPr>
                <w:sz w:val="21"/>
              </w:rPr>
              <w:t>疏散救援组：根据事故情况、发生地风向风速以及大气稳定度分析可能受影响</w:t>
            </w:r>
          </w:p>
          <w:p>
            <w:pPr>
              <w:pStyle w:val="24"/>
              <w:spacing w:before="3" w:line="270" w:lineRule="atLeast"/>
              <w:ind w:left="117" w:right="-29"/>
              <w:rPr>
                <w:sz w:val="21"/>
              </w:rPr>
            </w:pPr>
            <w:r>
              <w:rPr>
                <w:spacing w:val="-4"/>
                <w:sz w:val="21"/>
              </w:rPr>
              <w:t>的范围和程度，确定需要疏散的人员和疏散路线。疏散救援组组织速组织查明泄漏源</w:t>
            </w:r>
            <w:r>
              <w:rPr>
                <w:spacing w:val="-12"/>
                <w:w w:val="95"/>
                <w:sz w:val="21"/>
              </w:rPr>
              <w:t>和泄漏原因，采取措施切断泄漏源，减少泄漏量，降低污染物危害，必要时停止生产。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957" w:type="dxa"/>
            <w:gridSpan w:val="4"/>
            <w:tcBorders>
              <w:top w:val="single" w:color="000000" w:sz="4" w:space="0"/>
              <w:bottom w:val="single" w:color="000000" w:sz="4" w:space="0"/>
            </w:tcBorders>
          </w:tcPr>
          <w:p>
            <w:pPr>
              <w:pStyle w:val="24"/>
              <w:spacing w:before="34"/>
              <w:ind w:left="3905" w:right="3882"/>
              <w:jc w:val="center"/>
              <w:rPr>
                <w:sz w:val="21"/>
              </w:rPr>
            </w:pPr>
            <w:r>
              <w:rPr>
                <w:sz w:val="21"/>
              </w:rPr>
              <w:t>应急联系电话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009" w:type="dxa"/>
            <w:tcBorders>
              <w:top w:val="single" w:color="000000" w:sz="4" w:space="0"/>
              <w:bottom w:val="single" w:color="000000" w:sz="4" w:space="0"/>
              <w:right w:val="single" w:color="000000" w:sz="4" w:space="0"/>
            </w:tcBorders>
          </w:tcPr>
          <w:p>
            <w:pPr>
              <w:pStyle w:val="24"/>
              <w:spacing w:before="34"/>
              <w:ind w:left="248" w:right="231"/>
              <w:jc w:val="center"/>
              <w:rPr>
                <w:sz w:val="21"/>
              </w:rPr>
            </w:pPr>
            <w:r>
              <w:rPr>
                <w:sz w:val="21"/>
              </w:rPr>
              <w:t>内部</w:t>
            </w:r>
          </w:p>
        </w:tc>
        <w:tc>
          <w:tcPr>
            <w:tcW w:w="7948" w:type="dxa"/>
            <w:gridSpan w:val="3"/>
            <w:tcBorders>
              <w:top w:val="single" w:color="000000" w:sz="4" w:space="0"/>
              <w:left w:val="single" w:color="000000" w:sz="4" w:space="0"/>
              <w:bottom w:val="single" w:color="000000" w:sz="4" w:space="0"/>
            </w:tcBorders>
          </w:tcPr>
          <w:p>
            <w:pPr>
              <w:pStyle w:val="24"/>
              <w:spacing w:before="48"/>
              <w:ind w:right="3347" w:firstLine="2420" w:firstLineChars="1100"/>
              <w:jc w:val="both"/>
              <w:rPr>
                <w:rFonts w:ascii="Times New Roman"/>
                <w:sz w:val="21"/>
              </w:rPr>
            </w:pPr>
            <w:r>
              <w:rPr>
                <w:rFonts w:hint="eastAsia"/>
                <w:szCs w:val="21"/>
              </w:rPr>
              <w:t>13907246986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2009" w:type="dxa"/>
            <w:vMerge w:val="restart"/>
            <w:tcBorders>
              <w:top w:val="single" w:color="000000" w:sz="4" w:space="0"/>
              <w:right w:val="single" w:color="000000" w:sz="4" w:space="0"/>
            </w:tcBorders>
          </w:tcPr>
          <w:p>
            <w:pPr>
              <w:pStyle w:val="24"/>
              <w:spacing w:before="5"/>
              <w:rPr>
                <w:b/>
                <w:sz w:val="16"/>
              </w:rPr>
            </w:pPr>
          </w:p>
          <w:p>
            <w:pPr>
              <w:pStyle w:val="24"/>
              <w:ind w:left="248" w:right="231"/>
              <w:jc w:val="center"/>
              <w:rPr>
                <w:sz w:val="21"/>
              </w:rPr>
            </w:pPr>
            <w:r>
              <w:rPr>
                <w:sz w:val="21"/>
              </w:rPr>
              <w:t>其他</w:t>
            </w:r>
          </w:p>
        </w:tc>
        <w:tc>
          <w:tcPr>
            <w:tcW w:w="1784" w:type="dxa"/>
            <w:tcBorders>
              <w:top w:val="single" w:color="000000" w:sz="4" w:space="0"/>
              <w:left w:val="single" w:color="000000" w:sz="4" w:space="0"/>
              <w:bottom w:val="single" w:color="000000" w:sz="4" w:space="0"/>
              <w:right w:val="single" w:color="000000" w:sz="4" w:space="0"/>
            </w:tcBorders>
          </w:tcPr>
          <w:p>
            <w:pPr>
              <w:pStyle w:val="24"/>
              <w:spacing w:before="35"/>
              <w:ind w:left="353" w:right="327"/>
              <w:jc w:val="center"/>
              <w:rPr>
                <w:sz w:val="21"/>
              </w:rPr>
            </w:pPr>
            <w:r>
              <w:rPr>
                <w:sz w:val="21"/>
              </w:rPr>
              <w:t>火警</w:t>
            </w:r>
            <w:r>
              <w:rPr>
                <w:rFonts w:ascii="Times New Roman" w:eastAsia="Times New Roman"/>
                <w:sz w:val="21"/>
              </w:rPr>
              <w:t>/</w:t>
            </w:r>
            <w:r>
              <w:rPr>
                <w:sz w:val="21"/>
              </w:rPr>
              <w:t>匪警</w:t>
            </w:r>
          </w:p>
        </w:tc>
        <w:tc>
          <w:tcPr>
            <w:tcW w:w="2079" w:type="dxa"/>
            <w:tcBorders>
              <w:top w:val="single" w:color="000000" w:sz="4" w:space="0"/>
              <w:left w:val="single" w:color="000000" w:sz="4" w:space="0"/>
              <w:bottom w:val="single" w:color="000000" w:sz="4" w:space="0"/>
              <w:right w:val="single" w:color="000000" w:sz="4" w:space="0"/>
            </w:tcBorders>
          </w:tcPr>
          <w:p>
            <w:pPr>
              <w:pStyle w:val="24"/>
              <w:spacing w:before="35"/>
              <w:ind w:left="412" w:right="388"/>
              <w:jc w:val="center"/>
              <w:rPr>
                <w:sz w:val="21"/>
              </w:rPr>
            </w:pPr>
            <w:r>
              <w:rPr>
                <w:sz w:val="21"/>
              </w:rPr>
              <w:t>生态环境局</w:t>
            </w:r>
          </w:p>
        </w:tc>
        <w:tc>
          <w:tcPr>
            <w:tcW w:w="4085" w:type="dxa"/>
            <w:tcBorders>
              <w:top w:val="single" w:color="000000" w:sz="4" w:space="0"/>
              <w:left w:val="single" w:color="000000" w:sz="4" w:space="0"/>
              <w:bottom w:val="single" w:color="000000" w:sz="4" w:space="0"/>
            </w:tcBorders>
          </w:tcPr>
          <w:p>
            <w:pPr>
              <w:pStyle w:val="24"/>
              <w:spacing w:before="35"/>
              <w:ind w:left="945" w:right="909"/>
              <w:jc w:val="center"/>
              <w:rPr>
                <w:sz w:val="21"/>
              </w:rPr>
            </w:pPr>
            <w:r>
              <w:rPr>
                <w:sz w:val="21"/>
              </w:rPr>
              <w:t>周边联防单位</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2009" w:type="dxa"/>
            <w:vMerge w:val="continue"/>
            <w:tcBorders>
              <w:top w:val="nil"/>
              <w:right w:val="single" w:color="000000" w:sz="4" w:space="0"/>
            </w:tcBorders>
          </w:tcPr>
          <w:p>
            <w:pPr>
              <w:rPr>
                <w:sz w:val="2"/>
                <w:szCs w:val="2"/>
              </w:rPr>
            </w:pPr>
          </w:p>
        </w:tc>
        <w:tc>
          <w:tcPr>
            <w:tcW w:w="1784" w:type="dxa"/>
            <w:tcBorders>
              <w:top w:val="single" w:color="000000" w:sz="4" w:space="0"/>
              <w:left w:val="single" w:color="000000" w:sz="4" w:space="0"/>
              <w:right w:val="single" w:color="000000" w:sz="4" w:space="0"/>
            </w:tcBorders>
          </w:tcPr>
          <w:p>
            <w:pPr>
              <w:pStyle w:val="24"/>
              <w:spacing w:before="39"/>
              <w:ind w:left="356" w:right="324"/>
              <w:jc w:val="center"/>
              <w:rPr>
                <w:rFonts w:ascii="Times New Roman"/>
                <w:sz w:val="21"/>
              </w:rPr>
            </w:pPr>
            <w:r>
              <w:rPr>
                <w:rFonts w:ascii="Times New Roman"/>
                <w:sz w:val="21"/>
              </w:rPr>
              <w:t>119/110</w:t>
            </w:r>
          </w:p>
        </w:tc>
        <w:tc>
          <w:tcPr>
            <w:tcW w:w="2079" w:type="dxa"/>
            <w:tcBorders>
              <w:top w:val="single" w:color="000000" w:sz="4" w:space="0"/>
              <w:left w:val="single" w:color="000000" w:sz="4" w:space="0"/>
              <w:right w:val="single" w:color="000000" w:sz="4" w:space="0"/>
            </w:tcBorders>
          </w:tcPr>
          <w:p>
            <w:pPr>
              <w:pStyle w:val="24"/>
              <w:spacing w:before="39"/>
              <w:ind w:left="415" w:right="387"/>
              <w:jc w:val="center"/>
              <w:rPr>
                <w:rFonts w:ascii="Times New Roman"/>
                <w:sz w:val="21"/>
              </w:rPr>
            </w:pPr>
            <w:r>
              <w:rPr>
                <w:rFonts w:ascii="Times New Roman"/>
                <w:sz w:val="21"/>
              </w:rPr>
              <w:t>0715-5355351</w:t>
            </w:r>
          </w:p>
        </w:tc>
        <w:tc>
          <w:tcPr>
            <w:tcW w:w="4085" w:type="dxa"/>
            <w:tcBorders>
              <w:top w:val="single" w:color="000000" w:sz="4" w:space="0"/>
              <w:left w:val="single" w:color="000000" w:sz="4" w:space="0"/>
            </w:tcBorders>
          </w:tcPr>
          <w:p>
            <w:pPr>
              <w:pStyle w:val="24"/>
              <w:spacing w:before="23"/>
              <w:ind w:right="909" w:firstLine="420" w:firstLineChars="200"/>
              <w:jc w:val="both"/>
              <w:rPr>
                <w:rFonts w:ascii="Times New Roman" w:eastAsia="Times New Roman"/>
                <w:sz w:val="21"/>
              </w:rPr>
            </w:pPr>
            <w:r>
              <w:rPr>
                <w:rFonts w:hint="eastAsia"/>
                <w:sz w:val="21"/>
              </w:rPr>
              <w:t>陆水湖街道办</w:t>
            </w:r>
            <w:r>
              <w:rPr>
                <w:rFonts w:hint="eastAsia"/>
                <w:sz w:val="21"/>
                <w:lang w:val="en-US"/>
              </w:rPr>
              <w:t xml:space="preserve"> </w:t>
            </w:r>
            <w:r>
              <w:rPr>
                <w:rFonts w:ascii="Times New Roman"/>
                <w:sz w:val="21"/>
              </w:rPr>
              <w:t>0715-5</w:t>
            </w:r>
            <w:r>
              <w:rPr>
                <w:rFonts w:hint="eastAsia" w:ascii="Times New Roman"/>
                <w:sz w:val="21"/>
                <w:lang w:val="en-US"/>
              </w:rPr>
              <w:t>510037</w:t>
            </w:r>
          </w:p>
        </w:tc>
      </w:tr>
    </w:tbl>
    <w:p>
      <w:pPr>
        <w:jc w:val="center"/>
        <w:rPr>
          <w:rFonts w:ascii="Times New Roman" w:eastAsia="Times New Roman"/>
          <w:sz w:val="21"/>
        </w:rPr>
        <w:sectPr>
          <w:pgSz w:w="11910" w:h="16840"/>
          <w:pgMar w:top="1360" w:right="839" w:bottom="1180" w:left="840" w:header="882" w:footer="993" w:gutter="0"/>
          <w:cols w:space="720" w:num="1"/>
        </w:sectPr>
      </w:pPr>
    </w:p>
    <w:p>
      <w:pPr>
        <w:pStyle w:val="9"/>
        <w:spacing w:before="64"/>
        <w:ind w:right="1"/>
      </w:pPr>
      <w:r>
        <w:t>化学品泄漏应急处置卡</w:t>
      </w:r>
    </w:p>
    <w:p>
      <w:pPr>
        <w:pStyle w:val="10"/>
        <w:spacing w:before="4"/>
        <w:rPr>
          <w:b/>
          <w:sz w:val="12"/>
        </w:rPr>
      </w:pPr>
    </w:p>
    <w:tbl>
      <w:tblPr>
        <w:tblStyle w:val="15"/>
        <w:tblW w:w="0" w:type="auto"/>
        <w:tblInd w:w="14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012"/>
        <w:gridCol w:w="1788"/>
        <w:gridCol w:w="2081"/>
        <w:gridCol w:w="407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012" w:type="dxa"/>
            <w:tcBorders>
              <w:bottom w:val="single" w:color="000000" w:sz="4" w:space="0"/>
              <w:right w:val="single" w:color="000000" w:sz="4" w:space="0"/>
            </w:tcBorders>
          </w:tcPr>
          <w:p>
            <w:pPr>
              <w:pStyle w:val="24"/>
              <w:spacing w:before="33"/>
              <w:ind w:left="246" w:right="232"/>
              <w:jc w:val="center"/>
              <w:rPr>
                <w:sz w:val="21"/>
              </w:rPr>
            </w:pPr>
            <w:r>
              <w:rPr>
                <w:sz w:val="21"/>
              </w:rPr>
              <w:t>突发事件描述</w:t>
            </w:r>
          </w:p>
        </w:tc>
        <w:tc>
          <w:tcPr>
            <w:tcW w:w="7946" w:type="dxa"/>
            <w:gridSpan w:val="3"/>
            <w:tcBorders>
              <w:left w:val="single" w:color="000000" w:sz="4" w:space="0"/>
              <w:bottom w:val="single" w:color="000000" w:sz="4" w:space="0"/>
            </w:tcBorders>
          </w:tcPr>
          <w:p>
            <w:pPr>
              <w:pStyle w:val="24"/>
              <w:spacing w:before="33"/>
              <w:ind w:left="117"/>
              <w:rPr>
                <w:sz w:val="21"/>
              </w:rPr>
            </w:pPr>
            <w:r>
              <w:rPr>
                <w:rFonts w:hint="eastAsia"/>
                <w:sz w:val="21"/>
              </w:rPr>
              <w:t>油墨、乙烯</w:t>
            </w:r>
            <w:r>
              <w:rPr>
                <w:sz w:val="21"/>
              </w:rPr>
              <w:t>危废机油泄漏。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012" w:type="dxa"/>
            <w:tcBorders>
              <w:top w:val="single" w:color="000000" w:sz="4" w:space="0"/>
              <w:bottom w:val="single" w:color="000000" w:sz="4" w:space="0"/>
              <w:right w:val="single" w:color="000000" w:sz="4" w:space="0"/>
            </w:tcBorders>
          </w:tcPr>
          <w:p>
            <w:pPr>
              <w:pStyle w:val="24"/>
              <w:spacing w:before="34"/>
              <w:ind w:left="248" w:right="232"/>
              <w:jc w:val="center"/>
              <w:rPr>
                <w:sz w:val="21"/>
              </w:rPr>
            </w:pPr>
            <w:r>
              <w:rPr>
                <w:sz w:val="21"/>
              </w:rPr>
              <w:t>事件级别</w:t>
            </w:r>
          </w:p>
        </w:tc>
        <w:tc>
          <w:tcPr>
            <w:tcW w:w="7946" w:type="dxa"/>
            <w:gridSpan w:val="3"/>
            <w:tcBorders>
              <w:top w:val="single" w:color="000000" w:sz="4" w:space="0"/>
              <w:left w:val="single" w:color="000000" w:sz="4" w:space="0"/>
              <w:bottom w:val="single" w:color="000000" w:sz="4" w:space="0"/>
            </w:tcBorders>
          </w:tcPr>
          <w:p>
            <w:pPr>
              <w:pStyle w:val="24"/>
              <w:spacing w:before="34"/>
              <w:ind w:left="117"/>
              <w:rPr>
                <w:sz w:val="21"/>
              </w:rPr>
            </w:pPr>
            <w:r>
              <w:rPr>
                <w:rFonts w:ascii="Times New Roman" w:eastAsia="Times New Roman"/>
                <w:sz w:val="21"/>
              </w:rPr>
              <w:t xml:space="preserve">III </w:t>
            </w:r>
            <w:r>
              <w:rPr>
                <w:sz w:val="21"/>
              </w:rPr>
              <w:t>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012" w:type="dxa"/>
            <w:tcBorders>
              <w:top w:val="single" w:color="000000" w:sz="4" w:space="0"/>
              <w:bottom w:val="single" w:color="000000" w:sz="4" w:space="0"/>
              <w:right w:val="single" w:color="000000" w:sz="4" w:space="0"/>
            </w:tcBorders>
          </w:tcPr>
          <w:p>
            <w:pPr>
              <w:pStyle w:val="24"/>
              <w:spacing w:before="34"/>
              <w:ind w:left="250" w:right="232"/>
              <w:jc w:val="center"/>
              <w:rPr>
                <w:sz w:val="21"/>
              </w:rPr>
            </w:pPr>
            <w:r>
              <w:rPr>
                <w:sz w:val="21"/>
              </w:rPr>
              <w:t>危害及后果分析</w:t>
            </w:r>
          </w:p>
        </w:tc>
        <w:tc>
          <w:tcPr>
            <w:tcW w:w="7946" w:type="dxa"/>
            <w:gridSpan w:val="3"/>
            <w:tcBorders>
              <w:top w:val="single" w:color="000000" w:sz="4" w:space="0"/>
              <w:left w:val="single" w:color="000000" w:sz="4" w:space="0"/>
              <w:bottom w:val="single" w:color="000000" w:sz="4" w:space="0"/>
            </w:tcBorders>
          </w:tcPr>
          <w:p>
            <w:pPr>
              <w:pStyle w:val="24"/>
              <w:spacing w:before="34"/>
              <w:ind w:left="117"/>
              <w:rPr>
                <w:sz w:val="21"/>
              </w:rPr>
            </w:pPr>
            <w:r>
              <w:rPr>
                <w:sz w:val="21"/>
              </w:rPr>
              <w:t>环境污染。</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012" w:type="dxa"/>
            <w:tcBorders>
              <w:top w:val="single" w:color="000000" w:sz="4" w:space="0"/>
              <w:bottom w:val="single" w:color="000000" w:sz="4" w:space="0"/>
              <w:right w:val="single" w:color="000000" w:sz="4" w:space="0"/>
            </w:tcBorders>
          </w:tcPr>
          <w:p>
            <w:pPr>
              <w:pStyle w:val="24"/>
              <w:spacing w:before="32"/>
              <w:ind w:left="248" w:right="232"/>
              <w:jc w:val="center"/>
              <w:rPr>
                <w:sz w:val="21"/>
              </w:rPr>
            </w:pPr>
            <w:r>
              <w:rPr>
                <w:sz w:val="21"/>
              </w:rPr>
              <w:t>应急物资</w:t>
            </w:r>
          </w:p>
        </w:tc>
        <w:tc>
          <w:tcPr>
            <w:tcW w:w="7946" w:type="dxa"/>
            <w:gridSpan w:val="3"/>
            <w:tcBorders>
              <w:top w:val="single" w:color="000000" w:sz="4" w:space="0"/>
              <w:left w:val="single" w:color="000000" w:sz="4" w:space="0"/>
              <w:bottom w:val="single" w:color="000000" w:sz="4" w:space="0"/>
            </w:tcBorders>
          </w:tcPr>
          <w:p>
            <w:pPr>
              <w:pStyle w:val="24"/>
              <w:spacing w:before="32"/>
              <w:ind w:left="117"/>
              <w:rPr>
                <w:sz w:val="21"/>
                <w:lang w:val="en-US"/>
              </w:rPr>
            </w:pPr>
            <w:r>
              <w:rPr>
                <w:sz w:val="21"/>
              </w:rPr>
              <w:t>消防沙、吸油毡</w:t>
            </w:r>
            <w:r>
              <w:rPr>
                <w:rFonts w:hint="eastAsia"/>
                <w:sz w:val="21"/>
                <w:lang w:val="en-US"/>
              </w:rPr>
              <w:t xml:space="preserve"> 拖盘</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958" w:type="dxa"/>
            <w:gridSpan w:val="4"/>
            <w:tcBorders>
              <w:top w:val="single" w:color="000000" w:sz="4" w:space="0"/>
              <w:bottom w:val="single" w:color="000000" w:sz="4" w:space="0"/>
            </w:tcBorders>
          </w:tcPr>
          <w:p>
            <w:pPr>
              <w:pStyle w:val="24"/>
              <w:spacing w:before="32"/>
              <w:ind w:left="4325" w:right="4301"/>
              <w:jc w:val="center"/>
              <w:rPr>
                <w:sz w:val="21"/>
              </w:rPr>
            </w:pPr>
            <w:r>
              <w:rPr>
                <w:sz w:val="21"/>
              </w:rPr>
              <w:t>处置措施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88" w:hRule="atLeast"/>
        </w:trPr>
        <w:tc>
          <w:tcPr>
            <w:tcW w:w="2012" w:type="dxa"/>
            <w:tcBorders>
              <w:top w:val="single" w:color="000000" w:sz="4" w:space="0"/>
              <w:bottom w:val="single" w:color="000000" w:sz="4" w:space="0"/>
              <w:right w:val="single" w:color="000000" w:sz="4" w:space="0"/>
            </w:tcBorders>
          </w:tcPr>
          <w:p>
            <w:pPr>
              <w:pStyle w:val="24"/>
              <w:rPr>
                <w:b/>
                <w:sz w:val="20"/>
              </w:rPr>
            </w:pPr>
          </w:p>
          <w:p>
            <w:pPr>
              <w:pStyle w:val="24"/>
              <w:spacing w:before="151"/>
              <w:ind w:left="246" w:right="232"/>
              <w:jc w:val="center"/>
              <w:rPr>
                <w:sz w:val="21"/>
              </w:rPr>
            </w:pPr>
            <w:r>
              <w:rPr>
                <w:sz w:val="21"/>
              </w:rPr>
              <w:t>报警</w:t>
            </w:r>
          </w:p>
        </w:tc>
        <w:tc>
          <w:tcPr>
            <w:tcW w:w="7946" w:type="dxa"/>
            <w:gridSpan w:val="3"/>
            <w:tcBorders>
              <w:top w:val="single" w:color="000000" w:sz="4" w:space="0"/>
              <w:left w:val="single" w:color="000000" w:sz="4" w:space="0"/>
              <w:bottom w:val="single" w:color="000000" w:sz="4" w:space="0"/>
            </w:tcBorders>
          </w:tcPr>
          <w:p>
            <w:pPr>
              <w:pStyle w:val="24"/>
              <w:spacing w:line="244" w:lineRule="auto"/>
              <w:ind w:left="117" w:right="76" w:firstLine="420"/>
              <w:rPr>
                <w:sz w:val="21"/>
              </w:rPr>
            </w:pPr>
            <w:r>
              <w:rPr>
                <w:rFonts w:hint="eastAsia" w:ascii="宋体" w:hAnsi="宋体" w:eastAsia="宋体"/>
                <w:w w:val="95"/>
                <w:sz w:val="21"/>
              </w:rPr>
              <w:t>①</w:t>
            </w:r>
            <w:r>
              <w:rPr>
                <w:spacing w:val="-5"/>
                <w:w w:val="95"/>
                <w:sz w:val="21"/>
              </w:rPr>
              <w:t>报警程序：发生</w:t>
            </w:r>
            <w:r>
              <w:rPr>
                <w:rFonts w:hint="eastAsia"/>
                <w:spacing w:val="-5"/>
                <w:w w:val="95"/>
                <w:sz w:val="21"/>
              </w:rPr>
              <w:t>油墨、</w:t>
            </w:r>
            <w:r>
              <w:rPr>
                <w:spacing w:val="-5"/>
                <w:w w:val="95"/>
                <w:sz w:val="21"/>
              </w:rPr>
              <w:t>机油</w:t>
            </w:r>
            <w:r>
              <w:rPr>
                <w:w w:val="95"/>
                <w:sz w:val="21"/>
              </w:rPr>
              <w:t>（废机油</w:t>
            </w:r>
            <w:r>
              <w:rPr>
                <w:spacing w:val="-5"/>
                <w:w w:val="95"/>
                <w:sz w:val="21"/>
              </w:rPr>
              <w:t>）</w:t>
            </w:r>
            <w:r>
              <w:rPr>
                <w:spacing w:val="-2"/>
                <w:w w:val="95"/>
                <w:sz w:val="21"/>
              </w:rPr>
              <w:t xml:space="preserve">泄漏事件后，第一发现人应  </w:t>
            </w:r>
            <w:r>
              <w:rPr>
                <w:spacing w:val="-2"/>
                <w:sz w:val="21"/>
              </w:rPr>
              <w:t>立即报告应急指挥部。</w:t>
            </w:r>
          </w:p>
          <w:p>
            <w:pPr>
              <w:pStyle w:val="24"/>
              <w:spacing w:line="265" w:lineRule="exact"/>
              <w:ind w:left="537"/>
              <w:rPr>
                <w:sz w:val="21"/>
              </w:rPr>
            </w:pPr>
            <w:r>
              <w:rPr>
                <w:rFonts w:hint="eastAsia" w:ascii="宋体" w:hAnsi="宋体" w:eastAsia="宋体"/>
                <w:sz w:val="21"/>
              </w:rPr>
              <w:t>②</w:t>
            </w:r>
            <w:r>
              <w:rPr>
                <w:sz w:val="21"/>
              </w:rPr>
              <w:t>报警内容：流失、泄漏、扩散的危险废物类别、数量、发生时间、影响范围及</w:t>
            </w:r>
          </w:p>
          <w:p>
            <w:pPr>
              <w:pStyle w:val="24"/>
              <w:spacing w:before="4" w:line="251" w:lineRule="exact"/>
              <w:ind w:left="117"/>
              <w:rPr>
                <w:sz w:val="21"/>
              </w:rPr>
            </w:pPr>
            <w:r>
              <w:rPr>
                <w:sz w:val="21"/>
              </w:rPr>
              <w:t>严重程度等。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58" w:hRule="atLeast"/>
        </w:trPr>
        <w:tc>
          <w:tcPr>
            <w:tcW w:w="2012" w:type="dxa"/>
            <w:tcBorders>
              <w:top w:val="single" w:color="000000" w:sz="4" w:space="0"/>
              <w:bottom w:val="single" w:color="000000" w:sz="4" w:space="0"/>
              <w:right w:val="single" w:color="000000" w:sz="4" w:space="0"/>
            </w:tcBorders>
          </w:tcPr>
          <w:p>
            <w:pPr>
              <w:pStyle w:val="24"/>
              <w:rPr>
                <w:b/>
                <w:sz w:val="20"/>
              </w:rPr>
            </w:pPr>
          </w:p>
          <w:p>
            <w:pPr>
              <w:pStyle w:val="24"/>
              <w:rPr>
                <w:b/>
                <w:sz w:val="20"/>
              </w:rPr>
            </w:pPr>
          </w:p>
          <w:p>
            <w:pPr>
              <w:pStyle w:val="24"/>
              <w:rPr>
                <w:b/>
                <w:sz w:val="20"/>
              </w:rPr>
            </w:pPr>
          </w:p>
          <w:p>
            <w:pPr>
              <w:pStyle w:val="24"/>
              <w:rPr>
                <w:b/>
                <w:sz w:val="20"/>
              </w:rPr>
            </w:pPr>
          </w:p>
          <w:p>
            <w:pPr>
              <w:pStyle w:val="24"/>
              <w:rPr>
                <w:b/>
                <w:sz w:val="20"/>
              </w:rPr>
            </w:pPr>
          </w:p>
          <w:p>
            <w:pPr>
              <w:pStyle w:val="24"/>
              <w:rPr>
                <w:b/>
                <w:sz w:val="20"/>
              </w:rPr>
            </w:pPr>
          </w:p>
          <w:p>
            <w:pPr>
              <w:pStyle w:val="24"/>
              <w:rPr>
                <w:b/>
                <w:sz w:val="20"/>
              </w:rPr>
            </w:pPr>
          </w:p>
          <w:p>
            <w:pPr>
              <w:pStyle w:val="24"/>
              <w:spacing w:before="4"/>
              <w:rPr>
                <w:b/>
                <w:sz w:val="19"/>
              </w:rPr>
            </w:pPr>
          </w:p>
          <w:p>
            <w:pPr>
              <w:pStyle w:val="24"/>
              <w:spacing w:before="1"/>
              <w:ind w:left="248" w:right="232"/>
              <w:jc w:val="center"/>
              <w:rPr>
                <w:sz w:val="21"/>
              </w:rPr>
            </w:pPr>
            <w:r>
              <w:rPr>
                <w:sz w:val="21"/>
              </w:rPr>
              <w:t>应急处置</w:t>
            </w:r>
          </w:p>
        </w:tc>
        <w:tc>
          <w:tcPr>
            <w:tcW w:w="7946" w:type="dxa"/>
            <w:gridSpan w:val="3"/>
            <w:tcBorders>
              <w:top w:val="single" w:color="000000" w:sz="4" w:space="0"/>
              <w:left w:val="single" w:color="000000" w:sz="4" w:space="0"/>
              <w:bottom w:val="single" w:color="000000" w:sz="4" w:space="0"/>
            </w:tcBorders>
          </w:tcPr>
          <w:p>
            <w:pPr>
              <w:pStyle w:val="24"/>
              <w:spacing w:before="2" w:line="242" w:lineRule="auto"/>
              <w:ind w:left="117" w:right="-29" w:firstLine="420"/>
              <w:rPr>
                <w:sz w:val="21"/>
              </w:rPr>
            </w:pPr>
            <w:r>
              <w:rPr>
                <w:rFonts w:hint="eastAsia" w:ascii="宋体" w:hAnsi="宋体" w:eastAsia="宋体"/>
                <w:sz w:val="21"/>
              </w:rPr>
              <w:t>①</w:t>
            </w:r>
            <w:r>
              <w:rPr>
                <w:spacing w:val="-4"/>
                <w:sz w:val="21"/>
              </w:rPr>
              <w:t>应急指挥部办公室：接到突发</w:t>
            </w:r>
            <w:r>
              <w:rPr>
                <w:rFonts w:hint="eastAsia"/>
                <w:spacing w:val="-4"/>
                <w:sz w:val="21"/>
              </w:rPr>
              <w:t>油墨、</w:t>
            </w:r>
            <w:r>
              <w:rPr>
                <w:spacing w:val="-4"/>
                <w:sz w:val="21"/>
              </w:rPr>
              <w:t>机油</w:t>
            </w:r>
            <w:r>
              <w:rPr>
                <w:sz w:val="21"/>
              </w:rPr>
              <w:t>（废机油</w:t>
            </w:r>
            <w:r>
              <w:rPr>
                <w:spacing w:val="-8"/>
                <w:sz w:val="21"/>
              </w:rPr>
              <w:t>）</w:t>
            </w:r>
            <w:r>
              <w:rPr>
                <w:sz w:val="21"/>
              </w:rPr>
              <w:t>泄漏事件情况</w:t>
            </w:r>
            <w:r>
              <w:rPr>
                <w:spacing w:val="-11"/>
                <w:w w:val="95"/>
                <w:sz w:val="21"/>
              </w:rPr>
              <w:t xml:space="preserve">后，应急指挥部应迅速组织相关人员确定流失、泄漏、扩散的危险废物的类别、数量、  </w:t>
            </w:r>
            <w:r>
              <w:rPr>
                <w:spacing w:val="-11"/>
                <w:sz w:val="21"/>
              </w:rPr>
              <w:t>发生时间、影响范围及严重程度。通知各小组赶赴现场。</w:t>
            </w:r>
          </w:p>
          <w:p>
            <w:pPr>
              <w:pStyle w:val="24"/>
              <w:spacing w:line="242" w:lineRule="auto"/>
              <w:ind w:left="117" w:right="76" w:firstLine="420"/>
              <w:rPr>
                <w:sz w:val="21"/>
              </w:rPr>
            </w:pPr>
            <w:r>
              <w:rPr>
                <w:rFonts w:hint="eastAsia" w:ascii="宋体" w:hAnsi="宋体" w:eastAsia="宋体"/>
                <w:w w:val="95"/>
                <w:sz w:val="21"/>
              </w:rPr>
              <w:t>②</w:t>
            </w:r>
            <w:r>
              <w:rPr>
                <w:spacing w:val="-5"/>
                <w:w w:val="95"/>
                <w:sz w:val="21"/>
              </w:rPr>
              <w:t xml:space="preserve">疏散救援组：对发生危险废物泄漏、扩散的现场进行封锁警戒，疏散救援组对  </w:t>
            </w:r>
            <w:r>
              <w:rPr>
                <w:spacing w:val="-5"/>
                <w:sz w:val="21"/>
              </w:rPr>
              <w:t>泄漏及受污染的区域、物品进行消毒或者无害化处置。</w:t>
            </w:r>
          </w:p>
          <w:p>
            <w:pPr>
              <w:pStyle w:val="24"/>
              <w:spacing w:before="2" w:line="242" w:lineRule="auto"/>
              <w:ind w:left="117" w:right="78" w:firstLine="420"/>
              <w:jc w:val="both"/>
              <w:rPr>
                <w:sz w:val="21"/>
              </w:rPr>
            </w:pPr>
            <w:r>
              <w:rPr>
                <w:spacing w:val="-4"/>
                <w:w w:val="95"/>
                <w:sz w:val="21"/>
              </w:rPr>
              <w:t>若出现</w:t>
            </w:r>
            <w:r>
              <w:rPr>
                <w:rFonts w:hint="eastAsia"/>
                <w:spacing w:val="-4"/>
                <w:w w:val="95"/>
                <w:sz w:val="21"/>
              </w:rPr>
              <w:t>油墨</w:t>
            </w:r>
            <w:r>
              <w:rPr>
                <w:spacing w:val="-4"/>
                <w:w w:val="95"/>
                <w:sz w:val="21"/>
              </w:rPr>
              <w:t>、机油</w:t>
            </w:r>
            <w:r>
              <w:rPr>
                <w:w w:val="95"/>
                <w:sz w:val="21"/>
              </w:rPr>
              <w:t>（废机油</w:t>
            </w:r>
            <w:r>
              <w:rPr>
                <w:spacing w:val="-10"/>
                <w:w w:val="95"/>
                <w:sz w:val="21"/>
              </w:rPr>
              <w:t>）</w:t>
            </w:r>
            <w:r>
              <w:rPr>
                <w:w w:val="95"/>
                <w:sz w:val="21"/>
              </w:rPr>
              <w:t xml:space="preserve">泄漏后与生活垃圾混装或散落污染在公  </w:t>
            </w:r>
            <w:r>
              <w:rPr>
                <w:spacing w:val="-6"/>
                <w:w w:val="95"/>
                <w:sz w:val="21"/>
              </w:rPr>
              <w:t xml:space="preserve">司内，应急指挥部应立即组织疏散救援组对散落的物品进行收集，一起作为危险废物  </w:t>
            </w:r>
            <w:r>
              <w:rPr>
                <w:spacing w:val="-6"/>
                <w:sz w:val="21"/>
              </w:rPr>
              <w:t>进行处理。</w:t>
            </w:r>
          </w:p>
          <w:p>
            <w:pPr>
              <w:pStyle w:val="24"/>
              <w:spacing w:line="242" w:lineRule="auto"/>
              <w:ind w:left="117" w:right="76" w:firstLine="420"/>
              <w:jc w:val="both"/>
              <w:rPr>
                <w:sz w:val="21"/>
              </w:rPr>
            </w:pPr>
            <w:r>
              <w:rPr>
                <w:spacing w:val="-3"/>
                <w:w w:val="95"/>
                <w:sz w:val="21"/>
              </w:rPr>
              <w:t>若出现</w:t>
            </w:r>
            <w:r>
              <w:rPr>
                <w:rFonts w:hint="eastAsia"/>
                <w:sz w:val="21"/>
              </w:rPr>
              <w:t>油墨、机油</w:t>
            </w:r>
            <w:r>
              <w:rPr>
                <w:w w:val="95"/>
                <w:sz w:val="21"/>
              </w:rPr>
              <w:t>（废机油</w:t>
            </w:r>
            <w:r>
              <w:rPr>
                <w:spacing w:val="-5"/>
                <w:w w:val="95"/>
                <w:sz w:val="21"/>
              </w:rPr>
              <w:t>）</w:t>
            </w:r>
            <w:r>
              <w:rPr>
                <w:spacing w:val="-2"/>
                <w:w w:val="95"/>
                <w:sz w:val="21"/>
              </w:rPr>
              <w:t xml:space="preserve">泄漏污染地下水、地表水、土壤等环境  </w:t>
            </w:r>
            <w:r>
              <w:rPr>
                <w:spacing w:val="-6"/>
                <w:w w:val="95"/>
                <w:sz w:val="21"/>
              </w:rPr>
              <w:t xml:space="preserve">污染事件，应急指挥部应配合上级部门开展对环境污染的监测工作，应急指挥部办公  </w:t>
            </w:r>
            <w:r>
              <w:rPr>
                <w:spacing w:val="3"/>
                <w:w w:val="95"/>
                <w:sz w:val="21"/>
              </w:rPr>
              <w:t xml:space="preserve">室应加强与上级有关部门的联系，按照上级部门和应急指挥部要求及时发布救援信  </w:t>
            </w:r>
            <w:r>
              <w:rPr>
                <w:spacing w:val="-5"/>
                <w:w w:val="95"/>
                <w:sz w:val="21"/>
              </w:rPr>
              <w:t xml:space="preserve">息，并左后善后处置工作。事件处理工作结束后，疏散救援组对事件的起因进行调查  </w:t>
            </w:r>
            <w:r>
              <w:rPr>
                <w:spacing w:val="-8"/>
                <w:w w:val="95"/>
                <w:sz w:val="21"/>
              </w:rPr>
              <w:t xml:space="preserve">并形成报告，向公司应急指挥部及有关部门汇报，并采取有效的防范措施、预防类似  </w:t>
            </w:r>
            <w:r>
              <w:rPr>
                <w:spacing w:val="-8"/>
                <w:sz w:val="21"/>
              </w:rPr>
              <w:t>事件发生。</w:t>
            </w:r>
          </w:p>
          <w:p>
            <w:pPr>
              <w:pStyle w:val="24"/>
              <w:spacing w:before="4"/>
              <w:ind w:left="537"/>
              <w:rPr>
                <w:sz w:val="21"/>
              </w:rPr>
            </w:pPr>
            <w:r>
              <w:rPr>
                <w:rFonts w:hint="eastAsia" w:ascii="宋体" w:hAnsi="宋体" w:eastAsia="宋体"/>
                <w:sz w:val="21"/>
              </w:rPr>
              <w:t>③</w:t>
            </w:r>
            <w:r>
              <w:rPr>
                <w:sz w:val="21"/>
              </w:rPr>
              <w:t>环境监测组：引发土壤和水体污染时，配合监测单位开展环境监测。</w:t>
            </w:r>
          </w:p>
          <w:p>
            <w:pPr>
              <w:pStyle w:val="24"/>
              <w:spacing w:before="5" w:line="251" w:lineRule="exact"/>
              <w:ind w:left="537"/>
              <w:rPr>
                <w:sz w:val="21"/>
              </w:rPr>
            </w:pPr>
            <w:r>
              <w:rPr>
                <w:rFonts w:hint="eastAsia" w:ascii="宋体" w:hAnsi="宋体" w:eastAsia="宋体"/>
                <w:sz w:val="21"/>
              </w:rPr>
              <w:t>④</w:t>
            </w:r>
            <w:r>
              <w:rPr>
                <w:sz w:val="21"/>
              </w:rPr>
              <w:t>后勤医疗组：组织伤员救护，调集应急物资、医疗物资。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012" w:type="dxa"/>
            <w:vMerge w:val="restart"/>
            <w:tcBorders>
              <w:top w:val="single" w:color="000000" w:sz="4" w:space="0"/>
              <w:bottom w:val="single" w:color="000000" w:sz="4" w:space="0"/>
              <w:right w:val="single" w:color="000000" w:sz="4" w:space="0"/>
            </w:tcBorders>
          </w:tcPr>
          <w:p>
            <w:pPr>
              <w:pStyle w:val="24"/>
              <w:rPr>
                <w:b/>
                <w:sz w:val="20"/>
              </w:rPr>
            </w:pPr>
          </w:p>
          <w:p>
            <w:pPr>
              <w:pStyle w:val="24"/>
              <w:rPr>
                <w:b/>
                <w:sz w:val="20"/>
              </w:rPr>
            </w:pPr>
          </w:p>
          <w:p>
            <w:pPr>
              <w:pStyle w:val="24"/>
              <w:rPr>
                <w:b/>
                <w:sz w:val="20"/>
              </w:rPr>
            </w:pPr>
          </w:p>
          <w:p>
            <w:pPr>
              <w:pStyle w:val="24"/>
              <w:spacing w:before="169"/>
              <w:ind w:left="165"/>
              <w:rPr>
                <w:sz w:val="21"/>
              </w:rPr>
            </w:pPr>
            <w:r>
              <w:rPr>
                <w:sz w:val="21"/>
              </w:rPr>
              <w:t>应急处置注意事项</w:t>
            </w:r>
          </w:p>
        </w:tc>
        <w:tc>
          <w:tcPr>
            <w:tcW w:w="7946" w:type="dxa"/>
            <w:gridSpan w:val="3"/>
            <w:tcBorders>
              <w:top w:val="single" w:color="000000" w:sz="4" w:space="0"/>
              <w:left w:val="single" w:color="000000" w:sz="4" w:space="0"/>
              <w:bottom w:val="single" w:color="000000" w:sz="4" w:space="0"/>
            </w:tcBorders>
          </w:tcPr>
          <w:p>
            <w:pPr>
              <w:pStyle w:val="24"/>
              <w:spacing w:before="33"/>
              <w:ind w:left="537"/>
              <w:rPr>
                <w:sz w:val="21"/>
              </w:rPr>
            </w:pPr>
            <w:r>
              <w:rPr>
                <w:sz w:val="21"/>
              </w:rPr>
              <w:t>必要时</w:t>
            </w:r>
            <w:r>
              <w:rPr>
                <w:rFonts w:ascii="Times New Roman" w:eastAsia="Times New Roman"/>
                <w:sz w:val="21"/>
              </w:rPr>
              <w:t>,</w:t>
            </w:r>
            <w:r>
              <w:rPr>
                <w:sz w:val="21"/>
              </w:rPr>
              <w:t>应报告公安消防部门</w:t>
            </w:r>
            <w:r>
              <w:rPr>
                <w:rFonts w:ascii="Times New Roman" w:eastAsia="Times New Roman"/>
                <w:sz w:val="21"/>
              </w:rPr>
              <w:t>,</w:t>
            </w:r>
            <w:r>
              <w:rPr>
                <w:sz w:val="21"/>
              </w:rPr>
              <w:t>以便临时封闭附近的交通道路。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3" w:hRule="atLeast"/>
        </w:trPr>
        <w:tc>
          <w:tcPr>
            <w:tcW w:w="2012" w:type="dxa"/>
            <w:vMerge w:val="continue"/>
            <w:tcBorders>
              <w:top w:val="nil"/>
              <w:bottom w:val="single" w:color="000000" w:sz="4" w:space="0"/>
              <w:right w:val="single" w:color="000000" w:sz="4" w:space="0"/>
            </w:tcBorders>
          </w:tcPr>
          <w:p>
            <w:pPr>
              <w:rPr>
                <w:sz w:val="2"/>
                <w:szCs w:val="2"/>
              </w:rPr>
            </w:pPr>
          </w:p>
        </w:tc>
        <w:tc>
          <w:tcPr>
            <w:tcW w:w="7946" w:type="dxa"/>
            <w:gridSpan w:val="3"/>
            <w:tcBorders>
              <w:top w:val="single" w:color="000000" w:sz="4" w:space="0"/>
              <w:left w:val="single" w:color="000000" w:sz="4" w:space="0"/>
              <w:bottom w:val="single" w:color="000000" w:sz="4" w:space="0"/>
            </w:tcBorders>
          </w:tcPr>
          <w:p>
            <w:pPr>
              <w:pStyle w:val="24"/>
              <w:ind w:left="537"/>
              <w:rPr>
                <w:sz w:val="21"/>
              </w:rPr>
            </w:pPr>
            <w:r>
              <w:rPr>
                <w:sz w:val="21"/>
              </w:rPr>
              <w:t>在进行</w:t>
            </w:r>
            <w:r>
              <w:rPr>
                <w:rFonts w:hint="eastAsia"/>
                <w:sz w:val="21"/>
              </w:rPr>
              <w:t>油墨、</w:t>
            </w:r>
            <w:r>
              <w:rPr>
                <w:sz w:val="21"/>
              </w:rPr>
              <w:t>（废机油）回收操作中禁止使用铁制工具等易产生</w:t>
            </w:r>
          </w:p>
          <w:p>
            <w:pPr>
              <w:pStyle w:val="24"/>
              <w:spacing w:before="2" w:line="253" w:lineRule="exact"/>
              <w:ind w:left="117"/>
              <w:rPr>
                <w:sz w:val="21"/>
              </w:rPr>
            </w:pPr>
            <w:r>
              <w:rPr>
                <w:sz w:val="21"/>
              </w:rPr>
              <w:t>火花的器具。</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2012" w:type="dxa"/>
            <w:vMerge w:val="continue"/>
            <w:tcBorders>
              <w:top w:val="nil"/>
              <w:bottom w:val="single" w:color="000000" w:sz="4" w:space="0"/>
              <w:right w:val="single" w:color="000000" w:sz="4" w:space="0"/>
            </w:tcBorders>
          </w:tcPr>
          <w:p>
            <w:pPr>
              <w:rPr>
                <w:sz w:val="2"/>
                <w:szCs w:val="2"/>
              </w:rPr>
            </w:pPr>
          </w:p>
        </w:tc>
        <w:tc>
          <w:tcPr>
            <w:tcW w:w="7946" w:type="dxa"/>
            <w:gridSpan w:val="3"/>
            <w:tcBorders>
              <w:top w:val="single" w:color="000000" w:sz="4" w:space="0"/>
              <w:left w:val="single" w:color="000000" w:sz="4" w:space="0"/>
              <w:bottom w:val="single" w:color="000000" w:sz="4" w:space="0"/>
            </w:tcBorders>
          </w:tcPr>
          <w:p>
            <w:pPr>
              <w:pStyle w:val="24"/>
              <w:ind w:left="537"/>
              <w:rPr>
                <w:sz w:val="21"/>
              </w:rPr>
            </w:pPr>
            <w:r>
              <w:rPr>
                <w:sz w:val="21"/>
              </w:rPr>
              <w:t>引发水体污染时，要及时通知沿岸居民和地方政府，严禁下游人畜取水，对水体</w:t>
            </w:r>
          </w:p>
          <w:p>
            <w:pPr>
              <w:pStyle w:val="24"/>
              <w:spacing w:before="5" w:line="251" w:lineRule="exact"/>
              <w:ind w:left="117"/>
              <w:rPr>
                <w:sz w:val="21"/>
              </w:rPr>
            </w:pPr>
            <w:r>
              <w:rPr>
                <w:sz w:val="21"/>
              </w:rPr>
              <w:t>进行监测，</w:t>
            </w:r>
            <w:r>
              <w:rPr>
                <w:rFonts w:hint="eastAsia"/>
                <w:sz w:val="21"/>
                <w:lang w:val="en-US" w:eastAsia="zh-CN"/>
              </w:rPr>
              <w:t>采</w:t>
            </w:r>
            <w:bookmarkStart w:id="251" w:name="_GoBack"/>
            <w:bookmarkEnd w:id="251"/>
            <w:r>
              <w:rPr>
                <w:sz w:val="21"/>
              </w:rPr>
              <w:t>取打捞收集泄漏物、拦河筑坝、中和等方法严控污染扩大。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012" w:type="dxa"/>
            <w:vMerge w:val="continue"/>
            <w:tcBorders>
              <w:top w:val="nil"/>
              <w:bottom w:val="single" w:color="000000" w:sz="4" w:space="0"/>
              <w:right w:val="single" w:color="000000" w:sz="4" w:space="0"/>
            </w:tcBorders>
          </w:tcPr>
          <w:p>
            <w:pPr>
              <w:rPr>
                <w:sz w:val="2"/>
                <w:szCs w:val="2"/>
              </w:rPr>
            </w:pPr>
          </w:p>
        </w:tc>
        <w:tc>
          <w:tcPr>
            <w:tcW w:w="7946" w:type="dxa"/>
            <w:gridSpan w:val="3"/>
            <w:tcBorders>
              <w:top w:val="single" w:color="000000" w:sz="4" w:space="0"/>
              <w:left w:val="single" w:color="000000" w:sz="4" w:space="0"/>
              <w:bottom w:val="single" w:color="000000" w:sz="4" w:space="0"/>
            </w:tcBorders>
          </w:tcPr>
          <w:p>
            <w:pPr>
              <w:pStyle w:val="24"/>
              <w:spacing w:before="33"/>
              <w:ind w:left="537" w:right="-29"/>
              <w:rPr>
                <w:sz w:val="21"/>
              </w:rPr>
            </w:pPr>
            <w:r>
              <w:rPr>
                <w:spacing w:val="-10"/>
                <w:w w:val="95"/>
                <w:sz w:val="21"/>
              </w:rPr>
              <w:t>含</w:t>
            </w:r>
            <w:r>
              <w:rPr>
                <w:rFonts w:hint="eastAsia"/>
                <w:spacing w:val="-10"/>
                <w:w w:val="95"/>
                <w:sz w:val="21"/>
              </w:rPr>
              <w:t>油墨</w:t>
            </w:r>
            <w:r>
              <w:rPr>
                <w:spacing w:val="-10"/>
                <w:w w:val="95"/>
                <w:sz w:val="21"/>
              </w:rPr>
              <w:t>、机油</w:t>
            </w:r>
            <w:r>
              <w:rPr>
                <w:w w:val="95"/>
                <w:sz w:val="21"/>
              </w:rPr>
              <w:t>（废机油</w:t>
            </w:r>
            <w:r>
              <w:rPr>
                <w:spacing w:val="-22"/>
                <w:w w:val="95"/>
                <w:sz w:val="21"/>
              </w:rPr>
              <w:t>）</w:t>
            </w:r>
            <w:r>
              <w:rPr>
                <w:spacing w:val="-8"/>
                <w:w w:val="95"/>
                <w:sz w:val="21"/>
              </w:rPr>
              <w:t>的土、沙、吸油毡</w:t>
            </w:r>
            <w:r>
              <w:rPr>
                <w:rFonts w:hint="eastAsia"/>
                <w:spacing w:val="-8"/>
                <w:w w:val="95"/>
                <w:sz w:val="21"/>
              </w:rPr>
              <w:t>、拖盘</w:t>
            </w:r>
            <w:r>
              <w:rPr>
                <w:spacing w:val="-8"/>
                <w:w w:val="95"/>
                <w:sz w:val="21"/>
              </w:rPr>
              <w:t>应集中统一作为危废处理。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012" w:type="dxa"/>
            <w:vMerge w:val="continue"/>
            <w:tcBorders>
              <w:top w:val="nil"/>
              <w:bottom w:val="single" w:color="000000" w:sz="4" w:space="0"/>
              <w:right w:val="single" w:color="000000" w:sz="4" w:space="0"/>
            </w:tcBorders>
          </w:tcPr>
          <w:p>
            <w:pPr>
              <w:rPr>
                <w:sz w:val="2"/>
                <w:szCs w:val="2"/>
              </w:rPr>
            </w:pPr>
          </w:p>
        </w:tc>
        <w:tc>
          <w:tcPr>
            <w:tcW w:w="7946" w:type="dxa"/>
            <w:gridSpan w:val="3"/>
            <w:tcBorders>
              <w:top w:val="single" w:color="000000" w:sz="4" w:space="0"/>
              <w:left w:val="single" w:color="000000" w:sz="4" w:space="0"/>
              <w:bottom w:val="single" w:color="000000" w:sz="4" w:space="0"/>
            </w:tcBorders>
          </w:tcPr>
          <w:p>
            <w:pPr>
              <w:pStyle w:val="24"/>
              <w:spacing w:before="33"/>
              <w:ind w:left="537"/>
              <w:rPr>
                <w:sz w:val="21"/>
              </w:rPr>
            </w:pPr>
            <w:r>
              <w:rPr>
                <w:sz w:val="21"/>
              </w:rPr>
              <w:t>引发火灾爆炸时，参照火灾爆炸应急处置措施。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958" w:type="dxa"/>
            <w:gridSpan w:val="4"/>
            <w:tcBorders>
              <w:top w:val="single" w:color="000000" w:sz="4" w:space="0"/>
              <w:bottom w:val="single" w:color="000000" w:sz="4" w:space="0"/>
            </w:tcBorders>
          </w:tcPr>
          <w:p>
            <w:pPr>
              <w:pStyle w:val="24"/>
              <w:spacing w:before="34"/>
              <w:ind w:left="4327" w:right="4301"/>
              <w:jc w:val="center"/>
              <w:rPr>
                <w:sz w:val="21"/>
              </w:rPr>
            </w:pPr>
            <w:r>
              <w:rPr>
                <w:sz w:val="21"/>
              </w:rPr>
              <w:t>应急联系电话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2012" w:type="dxa"/>
            <w:tcBorders>
              <w:top w:val="single" w:color="000000" w:sz="4" w:space="0"/>
              <w:bottom w:val="single" w:color="000000" w:sz="4" w:space="0"/>
              <w:right w:val="single" w:color="000000" w:sz="4" w:space="0"/>
            </w:tcBorders>
          </w:tcPr>
          <w:p>
            <w:pPr>
              <w:pStyle w:val="24"/>
              <w:spacing w:before="34"/>
              <w:ind w:left="246" w:right="232"/>
              <w:jc w:val="center"/>
              <w:rPr>
                <w:sz w:val="21"/>
              </w:rPr>
            </w:pPr>
            <w:r>
              <w:rPr>
                <w:sz w:val="21"/>
              </w:rPr>
              <w:t>内部</w:t>
            </w:r>
          </w:p>
        </w:tc>
        <w:tc>
          <w:tcPr>
            <w:tcW w:w="7946" w:type="dxa"/>
            <w:gridSpan w:val="3"/>
            <w:tcBorders>
              <w:top w:val="single" w:color="000000" w:sz="4" w:space="0"/>
              <w:left w:val="single" w:color="000000" w:sz="4" w:space="0"/>
              <w:bottom w:val="single" w:color="000000" w:sz="4" w:space="0"/>
            </w:tcBorders>
          </w:tcPr>
          <w:p>
            <w:pPr>
              <w:pStyle w:val="24"/>
              <w:spacing w:before="48"/>
              <w:ind w:right="3346" w:firstLine="2640" w:firstLineChars="1200"/>
              <w:jc w:val="both"/>
              <w:rPr>
                <w:rFonts w:ascii="Times New Roman"/>
                <w:sz w:val="21"/>
              </w:rPr>
            </w:pPr>
            <w:r>
              <w:rPr>
                <w:rFonts w:hint="eastAsia"/>
                <w:szCs w:val="21"/>
              </w:rPr>
              <w:t>13907246986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2012" w:type="dxa"/>
            <w:vMerge w:val="restart"/>
            <w:tcBorders>
              <w:top w:val="single" w:color="000000" w:sz="4" w:space="0"/>
              <w:right w:val="single" w:color="000000" w:sz="4" w:space="0"/>
            </w:tcBorders>
          </w:tcPr>
          <w:p>
            <w:pPr>
              <w:pStyle w:val="24"/>
              <w:spacing w:before="3"/>
              <w:rPr>
                <w:b/>
                <w:sz w:val="24"/>
              </w:rPr>
            </w:pPr>
          </w:p>
          <w:p>
            <w:pPr>
              <w:pStyle w:val="24"/>
              <w:ind w:left="246" w:right="232"/>
              <w:jc w:val="center"/>
              <w:rPr>
                <w:sz w:val="21"/>
              </w:rPr>
            </w:pPr>
            <w:r>
              <w:rPr>
                <w:sz w:val="21"/>
              </w:rPr>
              <w:t>其他</w:t>
            </w:r>
          </w:p>
        </w:tc>
        <w:tc>
          <w:tcPr>
            <w:tcW w:w="1788" w:type="dxa"/>
            <w:tcBorders>
              <w:top w:val="single" w:color="000000" w:sz="4" w:space="0"/>
              <w:left w:val="single" w:color="000000" w:sz="4" w:space="0"/>
              <w:bottom w:val="single" w:color="000000" w:sz="4" w:space="0"/>
              <w:right w:val="single" w:color="000000" w:sz="4" w:space="0"/>
            </w:tcBorders>
          </w:tcPr>
          <w:p>
            <w:pPr>
              <w:pStyle w:val="24"/>
              <w:spacing w:before="35"/>
              <w:ind w:left="432" w:right="404"/>
              <w:jc w:val="center"/>
              <w:rPr>
                <w:sz w:val="21"/>
              </w:rPr>
            </w:pPr>
            <w:r>
              <w:rPr>
                <w:sz w:val="21"/>
              </w:rPr>
              <w:t>火警</w:t>
            </w:r>
            <w:r>
              <w:rPr>
                <w:rFonts w:ascii="Times New Roman" w:eastAsia="Times New Roman"/>
                <w:sz w:val="21"/>
              </w:rPr>
              <w:t>/</w:t>
            </w:r>
            <w:r>
              <w:rPr>
                <w:sz w:val="21"/>
              </w:rPr>
              <w:t>匪警</w:t>
            </w:r>
          </w:p>
        </w:tc>
        <w:tc>
          <w:tcPr>
            <w:tcW w:w="2081" w:type="dxa"/>
            <w:tcBorders>
              <w:top w:val="single" w:color="000000" w:sz="4" w:space="0"/>
              <w:left w:val="single" w:color="000000" w:sz="4" w:space="0"/>
              <w:bottom w:val="single" w:color="000000" w:sz="4" w:space="0"/>
              <w:right w:val="single" w:color="000000" w:sz="4" w:space="0"/>
            </w:tcBorders>
          </w:tcPr>
          <w:p>
            <w:pPr>
              <w:pStyle w:val="24"/>
              <w:spacing w:before="35"/>
              <w:ind w:left="416" w:right="389"/>
              <w:jc w:val="center"/>
              <w:rPr>
                <w:sz w:val="21"/>
              </w:rPr>
            </w:pPr>
            <w:r>
              <w:rPr>
                <w:sz w:val="21"/>
              </w:rPr>
              <w:t>生态环境局</w:t>
            </w:r>
          </w:p>
        </w:tc>
        <w:tc>
          <w:tcPr>
            <w:tcW w:w="4077" w:type="dxa"/>
            <w:tcBorders>
              <w:top w:val="single" w:color="000000" w:sz="4" w:space="0"/>
              <w:left w:val="single" w:color="000000" w:sz="4" w:space="0"/>
              <w:bottom w:val="single" w:color="000000" w:sz="4" w:space="0"/>
            </w:tcBorders>
          </w:tcPr>
          <w:p>
            <w:pPr>
              <w:pStyle w:val="24"/>
              <w:spacing w:before="35"/>
              <w:ind w:left="729" w:right="694"/>
              <w:jc w:val="center"/>
              <w:rPr>
                <w:sz w:val="21"/>
              </w:rPr>
            </w:pPr>
            <w:r>
              <w:rPr>
                <w:sz w:val="21"/>
              </w:rPr>
              <w:t>周边联防单位</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4" w:hRule="atLeast"/>
        </w:trPr>
        <w:tc>
          <w:tcPr>
            <w:tcW w:w="2012" w:type="dxa"/>
            <w:vMerge w:val="continue"/>
            <w:tcBorders>
              <w:top w:val="nil"/>
              <w:right w:val="single" w:color="000000" w:sz="4" w:space="0"/>
            </w:tcBorders>
          </w:tcPr>
          <w:p>
            <w:pPr>
              <w:rPr>
                <w:sz w:val="2"/>
                <w:szCs w:val="2"/>
              </w:rPr>
            </w:pPr>
          </w:p>
        </w:tc>
        <w:tc>
          <w:tcPr>
            <w:tcW w:w="1788" w:type="dxa"/>
            <w:tcBorders>
              <w:top w:val="single" w:color="000000" w:sz="4" w:space="0"/>
              <w:left w:val="single" w:color="000000" w:sz="4" w:space="0"/>
              <w:right w:val="single" w:color="000000" w:sz="4" w:space="0"/>
            </w:tcBorders>
          </w:tcPr>
          <w:p>
            <w:pPr>
              <w:pStyle w:val="24"/>
              <w:spacing w:before="140"/>
              <w:ind w:left="432" w:right="401"/>
              <w:jc w:val="center"/>
              <w:rPr>
                <w:rFonts w:ascii="Times New Roman"/>
                <w:sz w:val="21"/>
              </w:rPr>
            </w:pPr>
            <w:r>
              <w:rPr>
                <w:rFonts w:ascii="Times New Roman"/>
                <w:sz w:val="21"/>
              </w:rPr>
              <w:t>119/110</w:t>
            </w:r>
          </w:p>
        </w:tc>
        <w:tc>
          <w:tcPr>
            <w:tcW w:w="2081" w:type="dxa"/>
            <w:tcBorders>
              <w:top w:val="single" w:color="000000" w:sz="4" w:space="0"/>
              <w:left w:val="single" w:color="000000" w:sz="4" w:space="0"/>
              <w:right w:val="single" w:color="000000" w:sz="4" w:space="0"/>
            </w:tcBorders>
          </w:tcPr>
          <w:p>
            <w:pPr>
              <w:pStyle w:val="24"/>
              <w:spacing w:before="140"/>
              <w:ind w:left="416" w:right="390"/>
              <w:jc w:val="center"/>
              <w:rPr>
                <w:rFonts w:ascii="Times New Roman"/>
                <w:sz w:val="21"/>
              </w:rPr>
            </w:pPr>
            <w:r>
              <w:rPr>
                <w:rFonts w:ascii="Times New Roman"/>
                <w:sz w:val="21"/>
              </w:rPr>
              <w:t>0715-5355351</w:t>
            </w:r>
          </w:p>
        </w:tc>
        <w:tc>
          <w:tcPr>
            <w:tcW w:w="4077" w:type="dxa"/>
            <w:tcBorders>
              <w:top w:val="single" w:color="000000" w:sz="4" w:space="0"/>
              <w:left w:val="single" w:color="000000" w:sz="4" w:space="0"/>
            </w:tcBorders>
          </w:tcPr>
          <w:p>
            <w:pPr>
              <w:pStyle w:val="24"/>
              <w:spacing w:line="261" w:lineRule="exact"/>
              <w:ind w:left="733" w:right="694"/>
              <w:jc w:val="center"/>
              <w:rPr>
                <w:rFonts w:ascii="Times New Roman" w:eastAsia="Times New Roman"/>
                <w:sz w:val="19"/>
              </w:rPr>
            </w:pPr>
            <w:r>
              <w:rPr>
                <w:sz w:val="21"/>
              </w:rPr>
              <w:t xml:space="preserve">县应急管理局 </w:t>
            </w:r>
            <w:r>
              <w:rPr>
                <w:rFonts w:ascii="Times New Roman" w:eastAsia="Times New Roman"/>
                <w:sz w:val="19"/>
              </w:rPr>
              <w:t>0715-5353630</w:t>
            </w:r>
          </w:p>
          <w:p>
            <w:pPr>
              <w:pStyle w:val="24"/>
              <w:spacing w:before="2" w:line="252" w:lineRule="exact"/>
              <w:ind w:left="733" w:right="694"/>
              <w:jc w:val="center"/>
              <w:rPr>
                <w:rFonts w:ascii="Times New Roman" w:eastAsia="Times New Roman"/>
                <w:sz w:val="19"/>
              </w:rPr>
            </w:pPr>
            <w:r>
              <w:rPr>
                <w:rFonts w:hint="eastAsia"/>
                <w:sz w:val="21"/>
              </w:rPr>
              <w:t>陆水湖街道办</w:t>
            </w:r>
            <w:r>
              <w:rPr>
                <w:rFonts w:hint="eastAsia"/>
                <w:sz w:val="21"/>
                <w:lang w:val="en-US"/>
              </w:rPr>
              <w:t xml:space="preserve"> </w:t>
            </w:r>
            <w:r>
              <w:rPr>
                <w:sz w:val="21"/>
              </w:rPr>
              <w:t>0715-5</w:t>
            </w:r>
            <w:r>
              <w:rPr>
                <w:rFonts w:hint="eastAsia"/>
                <w:sz w:val="21"/>
                <w:lang w:val="en-US"/>
              </w:rPr>
              <w:t>510037</w:t>
            </w:r>
          </w:p>
        </w:tc>
      </w:tr>
    </w:tbl>
    <w:p>
      <w:pPr>
        <w:spacing w:line="252" w:lineRule="exact"/>
        <w:jc w:val="center"/>
        <w:rPr>
          <w:rFonts w:ascii="Times New Roman" w:eastAsia="Times New Roman"/>
          <w:sz w:val="19"/>
        </w:rPr>
        <w:sectPr>
          <w:pgSz w:w="11910" w:h="16840"/>
          <w:pgMar w:top="1360" w:right="840" w:bottom="1180" w:left="840" w:header="882" w:footer="993" w:gutter="0"/>
          <w:cols w:space="720" w:num="1"/>
        </w:sectPr>
      </w:pPr>
    </w:p>
    <w:p>
      <w:pPr>
        <w:spacing w:before="64"/>
        <w:ind w:left="1" w:right="1"/>
        <w:jc w:val="center"/>
        <w:rPr>
          <w:b/>
          <w:sz w:val="28"/>
        </w:rPr>
      </w:pPr>
      <w:r>
        <w:rPr>
          <w:b/>
          <w:sz w:val="28"/>
        </w:rPr>
        <w:t>化学品火灾应急处置卡</w:t>
      </w:r>
    </w:p>
    <w:p>
      <w:pPr>
        <w:pStyle w:val="10"/>
        <w:spacing w:before="5"/>
        <w:rPr>
          <w:b/>
          <w:sz w:val="14"/>
        </w:rPr>
      </w:pPr>
    </w:p>
    <w:tbl>
      <w:tblPr>
        <w:tblStyle w:val="15"/>
        <w:tblW w:w="0" w:type="auto"/>
        <w:tblInd w:w="27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18"/>
        <w:gridCol w:w="1798"/>
        <w:gridCol w:w="2093"/>
        <w:gridCol w:w="410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718" w:type="dxa"/>
            <w:tcBorders>
              <w:bottom w:val="single" w:color="000000" w:sz="4" w:space="0"/>
              <w:right w:val="single" w:color="000000" w:sz="4" w:space="0"/>
            </w:tcBorders>
          </w:tcPr>
          <w:p>
            <w:pPr>
              <w:pStyle w:val="24"/>
              <w:spacing w:before="32"/>
              <w:ind w:left="102" w:right="86"/>
              <w:jc w:val="center"/>
              <w:rPr>
                <w:sz w:val="21"/>
              </w:rPr>
            </w:pPr>
            <w:r>
              <w:rPr>
                <w:sz w:val="21"/>
              </w:rPr>
              <w:t>突发事件描述</w:t>
            </w:r>
          </w:p>
        </w:tc>
        <w:tc>
          <w:tcPr>
            <w:tcW w:w="7992" w:type="dxa"/>
            <w:gridSpan w:val="3"/>
            <w:tcBorders>
              <w:left w:val="single" w:color="000000" w:sz="4" w:space="0"/>
              <w:bottom w:val="single" w:color="000000" w:sz="4" w:space="0"/>
            </w:tcBorders>
          </w:tcPr>
          <w:p>
            <w:pPr>
              <w:pStyle w:val="24"/>
              <w:spacing w:before="32"/>
              <w:ind w:left="116"/>
              <w:rPr>
                <w:sz w:val="21"/>
              </w:rPr>
            </w:pPr>
            <w:r>
              <w:rPr>
                <w:rFonts w:hint="eastAsia"/>
                <w:sz w:val="21"/>
              </w:rPr>
              <w:t>油墨</w:t>
            </w:r>
            <w:r>
              <w:rPr>
                <w:sz w:val="21"/>
              </w:rPr>
              <w:t>、机油等油品发生火灾</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718" w:type="dxa"/>
            <w:tcBorders>
              <w:top w:val="single" w:color="000000" w:sz="4" w:space="0"/>
              <w:bottom w:val="single" w:color="000000" w:sz="4" w:space="0"/>
              <w:right w:val="single" w:color="000000" w:sz="4" w:space="0"/>
            </w:tcBorders>
          </w:tcPr>
          <w:p>
            <w:pPr>
              <w:pStyle w:val="24"/>
              <w:spacing w:before="32"/>
              <w:ind w:left="100" w:right="86"/>
              <w:jc w:val="center"/>
              <w:rPr>
                <w:sz w:val="21"/>
              </w:rPr>
            </w:pPr>
            <w:r>
              <w:rPr>
                <w:sz w:val="21"/>
              </w:rPr>
              <w:t>事件级别</w:t>
            </w:r>
          </w:p>
        </w:tc>
        <w:tc>
          <w:tcPr>
            <w:tcW w:w="7992" w:type="dxa"/>
            <w:gridSpan w:val="3"/>
            <w:tcBorders>
              <w:top w:val="single" w:color="000000" w:sz="4" w:space="0"/>
              <w:left w:val="single" w:color="000000" w:sz="4" w:space="0"/>
              <w:bottom w:val="single" w:color="000000" w:sz="4" w:space="0"/>
            </w:tcBorders>
          </w:tcPr>
          <w:p>
            <w:pPr>
              <w:pStyle w:val="24"/>
              <w:spacing w:before="32"/>
              <w:ind w:left="116"/>
              <w:rPr>
                <w:sz w:val="21"/>
              </w:rPr>
            </w:pPr>
            <w:r>
              <w:rPr>
                <w:rFonts w:ascii="Times New Roman" w:eastAsia="Times New Roman"/>
                <w:sz w:val="21"/>
              </w:rPr>
              <w:t xml:space="preserve">I-II </w:t>
            </w:r>
            <w:r>
              <w:rPr>
                <w:sz w:val="21"/>
              </w:rPr>
              <w:t>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718" w:type="dxa"/>
            <w:vMerge w:val="restart"/>
            <w:tcBorders>
              <w:top w:val="single" w:color="000000" w:sz="4" w:space="0"/>
              <w:bottom w:val="single" w:color="000000" w:sz="4" w:space="0"/>
              <w:right w:val="single" w:color="000000" w:sz="4" w:space="0"/>
            </w:tcBorders>
          </w:tcPr>
          <w:p>
            <w:pPr>
              <w:pStyle w:val="24"/>
              <w:spacing w:before="11"/>
              <w:rPr>
                <w:b/>
                <w:sz w:val="29"/>
              </w:rPr>
            </w:pPr>
          </w:p>
          <w:p>
            <w:pPr>
              <w:pStyle w:val="24"/>
              <w:spacing w:before="1"/>
              <w:ind w:left="122"/>
              <w:rPr>
                <w:sz w:val="21"/>
              </w:rPr>
            </w:pPr>
            <w:r>
              <w:rPr>
                <w:sz w:val="21"/>
              </w:rPr>
              <w:t>危害及后果分析</w:t>
            </w:r>
          </w:p>
        </w:tc>
        <w:tc>
          <w:tcPr>
            <w:tcW w:w="7992" w:type="dxa"/>
            <w:gridSpan w:val="3"/>
            <w:tcBorders>
              <w:top w:val="single" w:color="000000" w:sz="4" w:space="0"/>
              <w:left w:val="single" w:color="000000" w:sz="4" w:space="0"/>
              <w:bottom w:val="single" w:color="000000" w:sz="4" w:space="0"/>
            </w:tcBorders>
          </w:tcPr>
          <w:p>
            <w:pPr>
              <w:pStyle w:val="24"/>
              <w:spacing w:before="33"/>
              <w:ind w:left="116"/>
              <w:rPr>
                <w:sz w:val="21"/>
              </w:rPr>
            </w:pPr>
            <w:r>
              <w:rPr>
                <w:rFonts w:ascii="Times New Roman" w:eastAsia="Times New Roman"/>
                <w:sz w:val="21"/>
              </w:rPr>
              <w:t>1.</w:t>
            </w:r>
            <w:r>
              <w:rPr>
                <w:sz w:val="21"/>
              </w:rPr>
              <w:t>产生明火</w:t>
            </w:r>
            <w:r>
              <w:rPr>
                <w:rFonts w:ascii="Times New Roman" w:eastAsia="Times New Roman"/>
                <w:sz w:val="21"/>
              </w:rPr>
              <w:t>,</w:t>
            </w:r>
            <w:r>
              <w:rPr>
                <w:sz w:val="21"/>
              </w:rPr>
              <w:t>可能造成次生事故。</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718" w:type="dxa"/>
            <w:vMerge w:val="continue"/>
            <w:tcBorders>
              <w:top w:val="nil"/>
              <w:bottom w:val="single" w:color="000000" w:sz="4" w:space="0"/>
              <w:right w:val="single" w:color="000000" w:sz="4" w:space="0"/>
            </w:tcBorders>
          </w:tcPr>
          <w:p>
            <w:pPr>
              <w:rPr>
                <w:sz w:val="2"/>
                <w:szCs w:val="2"/>
              </w:rPr>
            </w:pPr>
          </w:p>
        </w:tc>
        <w:tc>
          <w:tcPr>
            <w:tcW w:w="7992" w:type="dxa"/>
            <w:gridSpan w:val="3"/>
            <w:tcBorders>
              <w:top w:val="single" w:color="000000" w:sz="4" w:space="0"/>
              <w:left w:val="single" w:color="000000" w:sz="4" w:space="0"/>
              <w:bottom w:val="single" w:color="000000" w:sz="4" w:space="0"/>
            </w:tcBorders>
          </w:tcPr>
          <w:p>
            <w:pPr>
              <w:pStyle w:val="24"/>
              <w:spacing w:before="33"/>
              <w:ind w:left="116"/>
              <w:rPr>
                <w:sz w:val="21"/>
              </w:rPr>
            </w:pPr>
            <w:r>
              <w:rPr>
                <w:rFonts w:ascii="Times New Roman" w:eastAsia="Times New Roman"/>
                <w:sz w:val="21"/>
              </w:rPr>
              <w:t>2.</w:t>
            </w:r>
            <w:r>
              <w:rPr>
                <w:sz w:val="21"/>
              </w:rPr>
              <w:t>设备设施损坏。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718" w:type="dxa"/>
            <w:vMerge w:val="continue"/>
            <w:tcBorders>
              <w:top w:val="nil"/>
              <w:bottom w:val="single" w:color="000000" w:sz="4" w:space="0"/>
              <w:right w:val="single" w:color="000000" w:sz="4" w:space="0"/>
            </w:tcBorders>
          </w:tcPr>
          <w:p>
            <w:pPr>
              <w:rPr>
                <w:sz w:val="2"/>
                <w:szCs w:val="2"/>
              </w:rPr>
            </w:pPr>
          </w:p>
        </w:tc>
        <w:tc>
          <w:tcPr>
            <w:tcW w:w="7992" w:type="dxa"/>
            <w:gridSpan w:val="3"/>
            <w:tcBorders>
              <w:top w:val="single" w:color="000000" w:sz="4" w:space="0"/>
              <w:left w:val="single" w:color="000000" w:sz="4" w:space="0"/>
              <w:bottom w:val="single" w:color="000000" w:sz="4" w:space="0"/>
            </w:tcBorders>
          </w:tcPr>
          <w:p>
            <w:pPr>
              <w:pStyle w:val="24"/>
              <w:spacing w:before="34"/>
              <w:ind w:left="116"/>
              <w:rPr>
                <w:sz w:val="21"/>
              </w:rPr>
            </w:pPr>
            <w:r>
              <w:rPr>
                <w:rFonts w:ascii="Times New Roman" w:eastAsia="Times New Roman"/>
                <w:sz w:val="21"/>
              </w:rPr>
              <w:t>3.</w:t>
            </w:r>
            <w:r>
              <w:rPr>
                <w:sz w:val="21"/>
              </w:rPr>
              <w:t>可能造成人身伤害。</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718" w:type="dxa"/>
            <w:tcBorders>
              <w:top w:val="single" w:color="000000" w:sz="4" w:space="0"/>
              <w:bottom w:val="single" w:color="000000" w:sz="4" w:space="0"/>
              <w:right w:val="single" w:color="000000" w:sz="4" w:space="0"/>
            </w:tcBorders>
          </w:tcPr>
          <w:p>
            <w:pPr>
              <w:pStyle w:val="24"/>
              <w:spacing w:before="34"/>
              <w:ind w:left="100" w:right="86"/>
              <w:jc w:val="center"/>
              <w:rPr>
                <w:sz w:val="21"/>
              </w:rPr>
            </w:pPr>
            <w:r>
              <w:rPr>
                <w:sz w:val="21"/>
              </w:rPr>
              <w:t>应急物资</w:t>
            </w:r>
          </w:p>
        </w:tc>
        <w:tc>
          <w:tcPr>
            <w:tcW w:w="7992" w:type="dxa"/>
            <w:gridSpan w:val="3"/>
            <w:tcBorders>
              <w:top w:val="single" w:color="000000" w:sz="4" w:space="0"/>
              <w:left w:val="single" w:color="000000" w:sz="4" w:space="0"/>
              <w:bottom w:val="single" w:color="000000" w:sz="4" w:space="0"/>
            </w:tcBorders>
          </w:tcPr>
          <w:p>
            <w:pPr>
              <w:pStyle w:val="24"/>
              <w:spacing w:before="34"/>
              <w:ind w:left="116"/>
              <w:rPr>
                <w:sz w:val="21"/>
              </w:rPr>
            </w:pPr>
            <w:r>
              <w:rPr>
                <w:sz w:val="21"/>
              </w:rPr>
              <w:t>灭火器、消防沙、吸油毡、</w:t>
            </w:r>
            <w:r>
              <w:rPr>
                <w:rFonts w:hint="eastAsia"/>
                <w:sz w:val="21"/>
              </w:rPr>
              <w:t>拖盘、</w:t>
            </w:r>
            <w:r>
              <w:rPr>
                <w:sz w:val="21"/>
              </w:rPr>
              <w:t>警戒桩、警戒线</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710" w:type="dxa"/>
            <w:gridSpan w:val="4"/>
            <w:tcBorders>
              <w:top w:val="single" w:color="000000" w:sz="4" w:space="0"/>
              <w:bottom w:val="single" w:color="000000" w:sz="4" w:space="0"/>
            </w:tcBorders>
          </w:tcPr>
          <w:p>
            <w:pPr>
              <w:pStyle w:val="24"/>
              <w:spacing w:before="32"/>
              <w:ind w:left="4201" w:right="4177"/>
              <w:jc w:val="center"/>
              <w:rPr>
                <w:sz w:val="21"/>
              </w:rPr>
            </w:pPr>
            <w:r>
              <w:rPr>
                <w:sz w:val="21"/>
              </w:rPr>
              <w:t>处置措施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88" w:hRule="atLeast"/>
        </w:trPr>
        <w:tc>
          <w:tcPr>
            <w:tcW w:w="1718" w:type="dxa"/>
            <w:tcBorders>
              <w:top w:val="single" w:color="000000" w:sz="4" w:space="0"/>
              <w:bottom w:val="single" w:color="000000" w:sz="4" w:space="0"/>
              <w:right w:val="single" w:color="000000" w:sz="4" w:space="0"/>
            </w:tcBorders>
          </w:tcPr>
          <w:p>
            <w:pPr>
              <w:pStyle w:val="24"/>
              <w:rPr>
                <w:b/>
                <w:sz w:val="20"/>
              </w:rPr>
            </w:pPr>
          </w:p>
          <w:p>
            <w:pPr>
              <w:pStyle w:val="24"/>
              <w:spacing w:before="150"/>
              <w:ind w:left="102" w:right="86"/>
              <w:jc w:val="center"/>
              <w:rPr>
                <w:sz w:val="21"/>
              </w:rPr>
            </w:pPr>
            <w:r>
              <w:rPr>
                <w:sz w:val="21"/>
              </w:rPr>
              <w:t>报警</w:t>
            </w:r>
          </w:p>
        </w:tc>
        <w:tc>
          <w:tcPr>
            <w:tcW w:w="7992" w:type="dxa"/>
            <w:gridSpan w:val="3"/>
            <w:tcBorders>
              <w:top w:val="single" w:color="000000" w:sz="4" w:space="0"/>
              <w:left w:val="single" w:color="000000" w:sz="4" w:space="0"/>
              <w:bottom w:val="single" w:color="000000" w:sz="4" w:space="0"/>
            </w:tcBorders>
          </w:tcPr>
          <w:p>
            <w:pPr>
              <w:pStyle w:val="24"/>
              <w:spacing w:line="242" w:lineRule="auto"/>
              <w:ind w:left="116" w:right="77" w:firstLine="420"/>
              <w:jc w:val="both"/>
              <w:rPr>
                <w:sz w:val="21"/>
              </w:rPr>
            </w:pPr>
            <w:r>
              <w:rPr>
                <w:rFonts w:hint="eastAsia" w:ascii="宋体" w:hAnsi="宋体" w:eastAsia="宋体"/>
                <w:sz w:val="21"/>
              </w:rPr>
              <w:t>①</w:t>
            </w:r>
            <w:r>
              <w:rPr>
                <w:sz w:val="21"/>
              </w:rPr>
              <w:t>报警程序：现场第一发现人用喊话或电子报警器方式向车间其他人员报警。其他人员闻警后立即停止作业。车间负责人报告应急指挥部，若情况紧急，第一发现人直接报告应急指挥部。应急指挥部视情况报告应急管理、生态环境部门。</w:t>
            </w:r>
          </w:p>
          <w:p>
            <w:pPr>
              <w:pStyle w:val="24"/>
              <w:spacing w:before="2" w:line="252" w:lineRule="exact"/>
              <w:ind w:left="536"/>
              <w:rPr>
                <w:sz w:val="21"/>
              </w:rPr>
            </w:pPr>
            <w:r>
              <w:rPr>
                <w:rFonts w:hint="eastAsia" w:ascii="宋体" w:hAnsi="宋体" w:eastAsia="宋体"/>
                <w:sz w:val="21"/>
              </w:rPr>
              <w:t>②</w:t>
            </w:r>
            <w:r>
              <w:rPr>
                <w:sz w:val="21"/>
              </w:rPr>
              <w:t>报警内容：发生火灾化学品类别、数量、发生时间、影响范围及严重程度等。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89" w:hRule="atLeast"/>
        </w:trPr>
        <w:tc>
          <w:tcPr>
            <w:tcW w:w="1718" w:type="dxa"/>
            <w:vMerge w:val="restart"/>
            <w:tcBorders>
              <w:top w:val="single" w:color="000000" w:sz="4" w:space="0"/>
              <w:bottom w:val="single" w:color="000000" w:sz="4" w:space="0"/>
              <w:right w:val="single" w:color="000000" w:sz="4" w:space="0"/>
            </w:tcBorders>
          </w:tcPr>
          <w:p>
            <w:pPr>
              <w:pStyle w:val="24"/>
              <w:rPr>
                <w:b/>
                <w:sz w:val="20"/>
              </w:rPr>
            </w:pPr>
          </w:p>
          <w:p>
            <w:pPr>
              <w:pStyle w:val="24"/>
              <w:rPr>
                <w:b/>
                <w:sz w:val="20"/>
              </w:rPr>
            </w:pPr>
          </w:p>
          <w:p>
            <w:pPr>
              <w:pStyle w:val="24"/>
              <w:rPr>
                <w:b/>
                <w:sz w:val="20"/>
              </w:rPr>
            </w:pPr>
          </w:p>
          <w:p>
            <w:pPr>
              <w:pStyle w:val="24"/>
              <w:rPr>
                <w:b/>
                <w:sz w:val="20"/>
              </w:rPr>
            </w:pPr>
          </w:p>
          <w:p>
            <w:pPr>
              <w:pStyle w:val="24"/>
              <w:spacing w:before="147"/>
              <w:ind w:left="437"/>
              <w:rPr>
                <w:sz w:val="21"/>
              </w:rPr>
            </w:pPr>
            <w:r>
              <w:rPr>
                <w:sz w:val="21"/>
              </w:rPr>
              <w:t>应急处置</w:t>
            </w:r>
          </w:p>
        </w:tc>
        <w:tc>
          <w:tcPr>
            <w:tcW w:w="7992" w:type="dxa"/>
            <w:gridSpan w:val="3"/>
            <w:tcBorders>
              <w:top w:val="single" w:color="000000" w:sz="4" w:space="0"/>
              <w:left w:val="single" w:color="000000" w:sz="4" w:space="0"/>
              <w:bottom w:val="single" w:color="000000" w:sz="4" w:space="0"/>
            </w:tcBorders>
          </w:tcPr>
          <w:p>
            <w:pPr>
              <w:pStyle w:val="24"/>
              <w:spacing w:before="1" w:line="242" w:lineRule="auto"/>
              <w:ind w:left="116" w:right="74" w:firstLine="420"/>
              <w:jc w:val="both"/>
              <w:rPr>
                <w:sz w:val="21"/>
              </w:rPr>
            </w:pPr>
            <w:r>
              <w:rPr>
                <w:rFonts w:hint="eastAsia" w:ascii="宋体" w:hAnsi="宋体" w:eastAsia="宋体"/>
                <w:w w:val="95"/>
                <w:sz w:val="21"/>
              </w:rPr>
              <w:t>①</w:t>
            </w:r>
            <w:r>
              <w:rPr>
                <w:spacing w:val="-3"/>
                <w:w w:val="95"/>
                <w:sz w:val="21"/>
              </w:rPr>
              <w:t>车间负责人：组织停止作业，切断总电源</w:t>
            </w:r>
            <w:r>
              <w:rPr>
                <w:rFonts w:ascii="Times New Roman" w:hAnsi="Times New Roman" w:eastAsia="Times New Roman"/>
                <w:w w:val="95"/>
                <w:sz w:val="21"/>
              </w:rPr>
              <w:t>,</w:t>
            </w:r>
            <w:r>
              <w:rPr>
                <w:spacing w:val="-2"/>
                <w:w w:val="95"/>
                <w:sz w:val="21"/>
              </w:rPr>
              <w:t xml:space="preserve">其他员工使用灭火器、消防沙、石棉 </w:t>
            </w:r>
            <w:r>
              <w:rPr>
                <w:sz w:val="21"/>
              </w:rPr>
              <w:t>被进行扑救。人体着火</w:t>
            </w:r>
            <w:r>
              <w:rPr>
                <w:rFonts w:ascii="Times New Roman" w:hAnsi="Times New Roman" w:eastAsia="Times New Roman"/>
                <w:sz w:val="21"/>
              </w:rPr>
              <w:t>:</w:t>
            </w:r>
            <w:r>
              <w:rPr>
                <w:sz w:val="21"/>
              </w:rPr>
              <w:t>着火人员大喊</w:t>
            </w:r>
            <w:r>
              <w:rPr>
                <w:rFonts w:ascii="Times New Roman" w:hAnsi="Times New Roman" w:eastAsia="Times New Roman"/>
                <w:spacing w:val="3"/>
                <w:sz w:val="21"/>
              </w:rPr>
              <w:t>“</w:t>
            </w:r>
            <w:r>
              <w:rPr>
                <w:spacing w:val="1"/>
                <w:sz w:val="21"/>
              </w:rPr>
              <w:t>着火了</w:t>
            </w:r>
            <w:r>
              <w:rPr>
                <w:rFonts w:ascii="Times New Roman" w:hAnsi="Times New Roman" w:eastAsia="Times New Roman"/>
                <w:sz w:val="21"/>
              </w:rPr>
              <w:t>”,</w:t>
            </w:r>
            <w:r>
              <w:rPr>
                <w:sz w:val="21"/>
              </w:rPr>
              <w:t>并立刻躺在地下进行翻滚压熄火焰</w:t>
            </w:r>
            <w:r>
              <w:rPr>
                <w:rFonts w:ascii="Times New Roman" w:hAnsi="Times New Roman" w:eastAsia="Times New Roman"/>
                <w:sz w:val="21"/>
              </w:rPr>
              <w:t>,</w:t>
            </w:r>
            <w:r>
              <w:rPr>
                <w:sz w:val="21"/>
              </w:rPr>
              <w:t>或</w:t>
            </w:r>
            <w:r>
              <w:rPr>
                <w:w w:val="95"/>
                <w:sz w:val="21"/>
              </w:rPr>
              <w:t>脱掉衣服</w:t>
            </w:r>
            <w:r>
              <w:rPr>
                <w:rFonts w:ascii="Times New Roman" w:hAnsi="Times New Roman" w:eastAsia="Times New Roman"/>
                <w:w w:val="95"/>
                <w:sz w:val="21"/>
              </w:rPr>
              <w:t>,</w:t>
            </w:r>
            <w:r>
              <w:rPr>
                <w:w w:val="95"/>
                <w:sz w:val="21"/>
              </w:rPr>
              <w:t>其他员工用灭火器帮他扑灭</w:t>
            </w:r>
            <w:r>
              <w:rPr>
                <w:rFonts w:ascii="Times New Roman" w:hAnsi="Times New Roman" w:eastAsia="Times New Roman"/>
                <w:w w:val="95"/>
                <w:sz w:val="21"/>
              </w:rPr>
              <w:t>(</w:t>
            </w:r>
            <w:r>
              <w:rPr>
                <w:w w:val="95"/>
                <w:sz w:val="21"/>
              </w:rPr>
              <w:t>注意不要喷射头部</w:t>
            </w:r>
            <w:r>
              <w:rPr>
                <w:rFonts w:ascii="Times New Roman" w:hAnsi="Times New Roman" w:eastAsia="Times New Roman"/>
                <w:spacing w:val="-14"/>
                <w:w w:val="95"/>
                <w:sz w:val="21"/>
              </w:rPr>
              <w:t>)</w:t>
            </w:r>
            <w:r>
              <w:rPr>
                <w:spacing w:val="-4"/>
                <w:w w:val="95"/>
                <w:sz w:val="21"/>
              </w:rPr>
              <w:t>，其他员工停止作业</w:t>
            </w:r>
            <w:r>
              <w:rPr>
                <w:rFonts w:ascii="Times New Roman" w:hAnsi="Times New Roman" w:eastAsia="Times New Roman"/>
                <w:w w:val="95"/>
                <w:sz w:val="21"/>
              </w:rPr>
              <w:t>,</w:t>
            </w:r>
            <w:r>
              <w:rPr>
                <w:w w:val="95"/>
                <w:sz w:val="21"/>
              </w:rPr>
              <w:t>用石棉</w:t>
            </w:r>
          </w:p>
          <w:p>
            <w:pPr>
              <w:pStyle w:val="24"/>
              <w:spacing w:before="1" w:line="251" w:lineRule="exact"/>
              <w:ind w:left="116"/>
              <w:jc w:val="both"/>
              <w:rPr>
                <w:sz w:val="21"/>
              </w:rPr>
            </w:pPr>
            <w:r>
              <w:rPr>
                <w:sz w:val="21"/>
              </w:rPr>
              <w:t>毯或淋湿的窗帘、衣服等覆盖灭火</w:t>
            </w:r>
            <w:r>
              <w:rPr>
                <w:rFonts w:ascii="Times New Roman" w:eastAsia="Times New Roman"/>
                <w:sz w:val="21"/>
              </w:rPr>
              <w:t>,</w:t>
            </w:r>
            <w:r>
              <w:rPr>
                <w:sz w:val="21"/>
              </w:rPr>
              <w:t xml:space="preserve">并拨打 </w:t>
            </w:r>
            <w:r>
              <w:rPr>
                <w:rFonts w:ascii="Times New Roman" w:eastAsia="Times New Roman"/>
                <w:sz w:val="21"/>
              </w:rPr>
              <w:t xml:space="preserve">120 </w:t>
            </w:r>
            <w:r>
              <w:rPr>
                <w:sz w:val="21"/>
              </w:rPr>
              <w:t>急救。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718" w:type="dxa"/>
            <w:vMerge w:val="continue"/>
            <w:tcBorders>
              <w:top w:val="nil"/>
              <w:bottom w:val="single" w:color="000000" w:sz="4" w:space="0"/>
              <w:right w:val="single" w:color="000000" w:sz="4" w:space="0"/>
            </w:tcBorders>
          </w:tcPr>
          <w:p>
            <w:pPr>
              <w:rPr>
                <w:sz w:val="2"/>
                <w:szCs w:val="2"/>
              </w:rPr>
            </w:pPr>
          </w:p>
        </w:tc>
        <w:tc>
          <w:tcPr>
            <w:tcW w:w="7992" w:type="dxa"/>
            <w:gridSpan w:val="3"/>
            <w:tcBorders>
              <w:top w:val="single" w:color="000000" w:sz="4" w:space="0"/>
              <w:left w:val="single" w:color="000000" w:sz="4" w:space="0"/>
              <w:bottom w:val="single" w:color="000000" w:sz="4" w:space="0"/>
            </w:tcBorders>
          </w:tcPr>
          <w:p>
            <w:pPr>
              <w:pStyle w:val="24"/>
              <w:spacing w:before="33"/>
              <w:ind w:left="536"/>
              <w:rPr>
                <w:sz w:val="21"/>
              </w:rPr>
            </w:pPr>
            <w:r>
              <w:rPr>
                <w:rFonts w:hint="eastAsia" w:ascii="宋体" w:hAnsi="宋体" w:eastAsia="宋体"/>
                <w:sz w:val="21"/>
              </w:rPr>
              <w:t>②</w:t>
            </w:r>
            <w:r>
              <w:rPr>
                <w:sz w:val="21"/>
              </w:rPr>
              <w:t>应急指挥部办公室：通知各小组赶赴现场。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7" w:hRule="atLeast"/>
        </w:trPr>
        <w:tc>
          <w:tcPr>
            <w:tcW w:w="1718" w:type="dxa"/>
            <w:vMerge w:val="continue"/>
            <w:tcBorders>
              <w:top w:val="nil"/>
              <w:bottom w:val="single" w:color="000000" w:sz="4" w:space="0"/>
              <w:right w:val="single" w:color="000000" w:sz="4" w:space="0"/>
            </w:tcBorders>
          </w:tcPr>
          <w:p>
            <w:pPr>
              <w:rPr>
                <w:sz w:val="2"/>
                <w:szCs w:val="2"/>
              </w:rPr>
            </w:pPr>
          </w:p>
        </w:tc>
        <w:tc>
          <w:tcPr>
            <w:tcW w:w="7992" w:type="dxa"/>
            <w:gridSpan w:val="3"/>
            <w:tcBorders>
              <w:top w:val="single" w:color="000000" w:sz="4" w:space="0"/>
              <w:left w:val="single" w:color="000000" w:sz="4" w:space="0"/>
              <w:bottom w:val="single" w:color="000000" w:sz="4" w:space="0"/>
            </w:tcBorders>
          </w:tcPr>
          <w:p>
            <w:pPr>
              <w:pStyle w:val="24"/>
              <w:spacing w:before="1" w:line="270" w:lineRule="atLeast"/>
              <w:ind w:left="116" w:right="75" w:firstLine="420"/>
              <w:jc w:val="both"/>
              <w:rPr>
                <w:sz w:val="21"/>
              </w:rPr>
            </w:pPr>
            <w:r>
              <w:rPr>
                <w:rFonts w:hint="eastAsia" w:ascii="宋体" w:hAnsi="宋体" w:eastAsia="宋体"/>
                <w:sz w:val="21"/>
              </w:rPr>
              <w:t>③</w:t>
            </w:r>
            <w:r>
              <w:rPr>
                <w:sz w:val="21"/>
              </w:rPr>
              <w:t>疏散救援组：建立警戒区，疏散救援组进入危险区域人员必须佩戴氧气或空气</w:t>
            </w:r>
            <w:r>
              <w:rPr>
                <w:spacing w:val="4"/>
                <w:w w:val="95"/>
                <w:sz w:val="21"/>
              </w:rPr>
              <w:t>呼吸器，严禁用纱布口罩或其他不适合的防中毒器具防护。油料外溢引起地面着火</w:t>
            </w:r>
            <w:r>
              <w:rPr>
                <w:rFonts w:ascii="Times New Roman" w:hAnsi="Times New Roman" w:eastAsia="Times New Roman"/>
                <w:w w:val="95"/>
                <w:sz w:val="21"/>
              </w:rPr>
              <w:t xml:space="preserve">,    </w:t>
            </w:r>
            <w:r>
              <w:rPr>
                <w:sz w:val="21"/>
              </w:rPr>
              <w:t>组织车间人员用灭火器、消防沙、石棉被同时对地面进行扑救。移走可燃物。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718" w:type="dxa"/>
            <w:vMerge w:val="continue"/>
            <w:tcBorders>
              <w:top w:val="nil"/>
              <w:bottom w:val="single" w:color="000000" w:sz="4" w:space="0"/>
              <w:right w:val="single" w:color="000000" w:sz="4" w:space="0"/>
            </w:tcBorders>
          </w:tcPr>
          <w:p>
            <w:pPr>
              <w:rPr>
                <w:sz w:val="2"/>
                <w:szCs w:val="2"/>
              </w:rPr>
            </w:pPr>
          </w:p>
        </w:tc>
        <w:tc>
          <w:tcPr>
            <w:tcW w:w="7992" w:type="dxa"/>
            <w:gridSpan w:val="3"/>
            <w:tcBorders>
              <w:top w:val="single" w:color="000000" w:sz="4" w:space="0"/>
              <w:left w:val="single" w:color="000000" w:sz="4" w:space="0"/>
              <w:bottom w:val="single" w:color="000000" w:sz="4" w:space="0"/>
            </w:tcBorders>
          </w:tcPr>
          <w:p>
            <w:pPr>
              <w:pStyle w:val="24"/>
              <w:spacing w:before="34"/>
              <w:ind w:left="536"/>
              <w:rPr>
                <w:sz w:val="21"/>
              </w:rPr>
            </w:pPr>
            <w:r>
              <w:rPr>
                <w:rFonts w:hint="eastAsia" w:ascii="宋体" w:hAnsi="宋体" w:eastAsia="宋体"/>
                <w:sz w:val="21"/>
              </w:rPr>
              <w:t>④</w:t>
            </w:r>
            <w:r>
              <w:rPr>
                <w:sz w:val="21"/>
              </w:rPr>
              <w:t>医疗后勤组：组织伤员救护，调集应急物资、医疗物资。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1718" w:type="dxa"/>
            <w:tcBorders>
              <w:top w:val="single" w:color="000000" w:sz="4" w:space="0"/>
              <w:bottom w:val="single" w:color="000000" w:sz="4" w:space="0"/>
              <w:right w:val="single" w:color="000000" w:sz="4" w:space="0"/>
            </w:tcBorders>
          </w:tcPr>
          <w:p>
            <w:pPr>
              <w:pStyle w:val="24"/>
              <w:spacing w:before="1"/>
              <w:ind w:left="102" w:right="86"/>
              <w:jc w:val="center"/>
              <w:rPr>
                <w:sz w:val="21"/>
              </w:rPr>
            </w:pPr>
            <w:r>
              <w:rPr>
                <w:sz w:val="21"/>
              </w:rPr>
              <w:t>应急处置注意事</w:t>
            </w:r>
          </w:p>
          <w:p>
            <w:pPr>
              <w:pStyle w:val="24"/>
              <w:spacing w:before="2" w:line="253" w:lineRule="exact"/>
              <w:ind w:left="19"/>
              <w:jc w:val="center"/>
              <w:rPr>
                <w:sz w:val="21"/>
              </w:rPr>
            </w:pPr>
            <w:r>
              <w:rPr>
                <w:w w:val="99"/>
                <w:sz w:val="21"/>
              </w:rPr>
              <w:t>项</w:t>
            </w:r>
          </w:p>
        </w:tc>
        <w:tc>
          <w:tcPr>
            <w:tcW w:w="7992" w:type="dxa"/>
            <w:gridSpan w:val="3"/>
            <w:tcBorders>
              <w:top w:val="single" w:color="000000" w:sz="4" w:space="0"/>
              <w:left w:val="single" w:color="000000" w:sz="4" w:space="0"/>
              <w:bottom w:val="single" w:color="000000" w:sz="4" w:space="0"/>
            </w:tcBorders>
          </w:tcPr>
          <w:p>
            <w:pPr>
              <w:pStyle w:val="24"/>
              <w:spacing w:before="1"/>
              <w:ind w:left="116"/>
              <w:rPr>
                <w:sz w:val="21"/>
              </w:rPr>
            </w:pPr>
            <w:r>
              <w:rPr>
                <w:sz w:val="21"/>
              </w:rPr>
              <w:t>在无法控制火势的情况下</w:t>
            </w:r>
            <w:r>
              <w:rPr>
                <w:rFonts w:ascii="Times New Roman" w:eastAsia="Times New Roman"/>
                <w:sz w:val="21"/>
              </w:rPr>
              <w:t>,</w:t>
            </w:r>
            <w:r>
              <w:rPr>
                <w:spacing w:val="-10"/>
                <w:sz w:val="21"/>
              </w:rPr>
              <w:t xml:space="preserve">车间负责人、第一发现人迅速拨打 </w:t>
            </w:r>
            <w:r>
              <w:rPr>
                <w:rFonts w:ascii="Times New Roman" w:eastAsia="Times New Roman"/>
                <w:sz w:val="21"/>
              </w:rPr>
              <w:t>119,</w:t>
            </w:r>
            <w:r>
              <w:rPr>
                <w:sz w:val="21"/>
              </w:rPr>
              <w:t>并组织疏散人员和车</w:t>
            </w:r>
          </w:p>
          <w:p>
            <w:pPr>
              <w:pStyle w:val="24"/>
              <w:spacing w:before="2" w:line="253" w:lineRule="exact"/>
              <w:ind w:left="116"/>
              <w:rPr>
                <w:sz w:val="21"/>
              </w:rPr>
            </w:pPr>
            <w:r>
              <w:rPr>
                <w:sz w:val="21"/>
              </w:rPr>
              <w:t>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710" w:type="dxa"/>
            <w:gridSpan w:val="4"/>
            <w:tcBorders>
              <w:top w:val="single" w:color="000000" w:sz="4" w:space="0"/>
              <w:bottom w:val="single" w:color="000000" w:sz="4" w:space="0"/>
            </w:tcBorders>
          </w:tcPr>
          <w:p>
            <w:pPr>
              <w:pStyle w:val="24"/>
              <w:spacing w:before="34"/>
              <w:ind w:left="4203" w:right="4177"/>
              <w:jc w:val="center"/>
              <w:rPr>
                <w:sz w:val="21"/>
              </w:rPr>
            </w:pPr>
            <w:r>
              <w:rPr>
                <w:sz w:val="21"/>
              </w:rPr>
              <w:t>应急联系电话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718" w:type="dxa"/>
            <w:tcBorders>
              <w:top w:val="single" w:color="000000" w:sz="4" w:space="0"/>
              <w:bottom w:val="single" w:color="000000" w:sz="4" w:space="0"/>
              <w:right w:val="single" w:color="000000" w:sz="4" w:space="0"/>
            </w:tcBorders>
          </w:tcPr>
          <w:p>
            <w:pPr>
              <w:pStyle w:val="24"/>
              <w:spacing w:before="34"/>
              <w:ind w:left="102" w:right="86"/>
              <w:jc w:val="center"/>
              <w:rPr>
                <w:sz w:val="21"/>
              </w:rPr>
            </w:pPr>
            <w:r>
              <w:rPr>
                <w:sz w:val="21"/>
              </w:rPr>
              <w:t>内部</w:t>
            </w:r>
          </w:p>
        </w:tc>
        <w:tc>
          <w:tcPr>
            <w:tcW w:w="7992" w:type="dxa"/>
            <w:gridSpan w:val="3"/>
            <w:tcBorders>
              <w:top w:val="single" w:color="000000" w:sz="4" w:space="0"/>
              <w:left w:val="single" w:color="000000" w:sz="4" w:space="0"/>
              <w:bottom w:val="single" w:color="000000" w:sz="4" w:space="0"/>
            </w:tcBorders>
          </w:tcPr>
          <w:p>
            <w:pPr>
              <w:pStyle w:val="24"/>
              <w:spacing w:before="48"/>
              <w:ind w:right="3370" w:firstLine="2640" w:firstLineChars="1200"/>
              <w:jc w:val="both"/>
              <w:rPr>
                <w:rFonts w:ascii="Times New Roman"/>
                <w:sz w:val="21"/>
              </w:rPr>
            </w:pPr>
            <w:r>
              <w:rPr>
                <w:rFonts w:hint="eastAsia"/>
                <w:szCs w:val="21"/>
              </w:rPr>
              <w:t>13907246986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1718" w:type="dxa"/>
            <w:vMerge w:val="restart"/>
            <w:tcBorders>
              <w:top w:val="single" w:color="000000" w:sz="4" w:space="0"/>
              <w:right w:val="single" w:color="000000" w:sz="4" w:space="0"/>
            </w:tcBorders>
          </w:tcPr>
          <w:p>
            <w:pPr>
              <w:pStyle w:val="24"/>
              <w:spacing w:before="3"/>
              <w:rPr>
                <w:b/>
                <w:sz w:val="24"/>
              </w:rPr>
            </w:pPr>
          </w:p>
          <w:p>
            <w:pPr>
              <w:pStyle w:val="24"/>
              <w:ind w:left="102" w:right="86"/>
              <w:jc w:val="center"/>
              <w:rPr>
                <w:sz w:val="21"/>
              </w:rPr>
            </w:pPr>
            <w:r>
              <w:rPr>
                <w:sz w:val="21"/>
              </w:rPr>
              <w:t>其他</w:t>
            </w:r>
          </w:p>
        </w:tc>
        <w:tc>
          <w:tcPr>
            <w:tcW w:w="1798" w:type="dxa"/>
            <w:tcBorders>
              <w:top w:val="single" w:color="000000" w:sz="4" w:space="0"/>
              <w:left w:val="single" w:color="000000" w:sz="4" w:space="0"/>
              <w:bottom w:val="single" w:color="000000" w:sz="4" w:space="0"/>
              <w:right w:val="single" w:color="000000" w:sz="4" w:space="0"/>
            </w:tcBorders>
          </w:tcPr>
          <w:p>
            <w:pPr>
              <w:pStyle w:val="24"/>
              <w:spacing w:before="35"/>
              <w:ind w:left="437" w:right="411"/>
              <w:jc w:val="center"/>
              <w:rPr>
                <w:sz w:val="21"/>
              </w:rPr>
            </w:pPr>
            <w:r>
              <w:rPr>
                <w:sz w:val="21"/>
              </w:rPr>
              <w:t>火警</w:t>
            </w:r>
            <w:r>
              <w:rPr>
                <w:rFonts w:ascii="Times New Roman" w:eastAsia="Times New Roman"/>
                <w:sz w:val="21"/>
              </w:rPr>
              <w:t>/</w:t>
            </w:r>
            <w:r>
              <w:rPr>
                <w:sz w:val="21"/>
              </w:rPr>
              <w:t>匪警</w:t>
            </w:r>
          </w:p>
        </w:tc>
        <w:tc>
          <w:tcPr>
            <w:tcW w:w="2093" w:type="dxa"/>
            <w:tcBorders>
              <w:top w:val="single" w:color="000000" w:sz="4" w:space="0"/>
              <w:left w:val="single" w:color="000000" w:sz="4" w:space="0"/>
              <w:bottom w:val="single" w:color="000000" w:sz="4" w:space="0"/>
              <w:right w:val="single" w:color="000000" w:sz="4" w:space="0"/>
            </w:tcBorders>
          </w:tcPr>
          <w:p>
            <w:pPr>
              <w:pStyle w:val="24"/>
              <w:spacing w:before="35"/>
              <w:ind w:left="422" w:right="394"/>
              <w:jc w:val="center"/>
              <w:rPr>
                <w:sz w:val="21"/>
              </w:rPr>
            </w:pPr>
            <w:r>
              <w:rPr>
                <w:sz w:val="21"/>
              </w:rPr>
              <w:t>生态环境局</w:t>
            </w:r>
          </w:p>
        </w:tc>
        <w:tc>
          <w:tcPr>
            <w:tcW w:w="4101" w:type="dxa"/>
            <w:tcBorders>
              <w:top w:val="single" w:color="000000" w:sz="4" w:space="0"/>
              <w:left w:val="single" w:color="000000" w:sz="4" w:space="0"/>
              <w:bottom w:val="single" w:color="000000" w:sz="4" w:space="0"/>
            </w:tcBorders>
          </w:tcPr>
          <w:p>
            <w:pPr>
              <w:pStyle w:val="24"/>
              <w:spacing w:before="35"/>
              <w:ind w:left="797" w:right="763"/>
              <w:jc w:val="center"/>
              <w:rPr>
                <w:sz w:val="21"/>
              </w:rPr>
            </w:pPr>
            <w:r>
              <w:rPr>
                <w:sz w:val="21"/>
              </w:rPr>
              <w:t>周边联防单位</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4" w:hRule="atLeast"/>
        </w:trPr>
        <w:tc>
          <w:tcPr>
            <w:tcW w:w="1718" w:type="dxa"/>
            <w:vMerge w:val="continue"/>
            <w:tcBorders>
              <w:top w:val="nil"/>
              <w:right w:val="single" w:color="000000" w:sz="4" w:space="0"/>
            </w:tcBorders>
          </w:tcPr>
          <w:p>
            <w:pPr>
              <w:rPr>
                <w:sz w:val="2"/>
                <w:szCs w:val="2"/>
              </w:rPr>
            </w:pPr>
          </w:p>
        </w:tc>
        <w:tc>
          <w:tcPr>
            <w:tcW w:w="1798" w:type="dxa"/>
            <w:tcBorders>
              <w:top w:val="single" w:color="000000" w:sz="4" w:space="0"/>
              <w:left w:val="single" w:color="000000" w:sz="4" w:space="0"/>
              <w:right w:val="single" w:color="000000" w:sz="4" w:space="0"/>
            </w:tcBorders>
          </w:tcPr>
          <w:p>
            <w:pPr>
              <w:pStyle w:val="24"/>
              <w:spacing w:before="140"/>
              <w:ind w:left="437" w:right="407"/>
              <w:jc w:val="center"/>
              <w:rPr>
                <w:rFonts w:ascii="Times New Roman"/>
                <w:sz w:val="21"/>
              </w:rPr>
            </w:pPr>
            <w:r>
              <w:rPr>
                <w:rFonts w:ascii="Times New Roman"/>
                <w:sz w:val="21"/>
              </w:rPr>
              <w:t>119/110</w:t>
            </w:r>
          </w:p>
        </w:tc>
        <w:tc>
          <w:tcPr>
            <w:tcW w:w="2093" w:type="dxa"/>
            <w:tcBorders>
              <w:top w:val="single" w:color="000000" w:sz="4" w:space="0"/>
              <w:left w:val="single" w:color="000000" w:sz="4" w:space="0"/>
              <w:right w:val="single" w:color="000000" w:sz="4" w:space="0"/>
            </w:tcBorders>
          </w:tcPr>
          <w:p>
            <w:pPr>
              <w:pStyle w:val="24"/>
              <w:spacing w:before="140"/>
              <w:ind w:left="422" w:right="395"/>
              <w:jc w:val="center"/>
              <w:rPr>
                <w:rFonts w:ascii="Times New Roman"/>
                <w:sz w:val="21"/>
              </w:rPr>
            </w:pPr>
            <w:r>
              <w:rPr>
                <w:rFonts w:ascii="Times New Roman"/>
                <w:sz w:val="21"/>
              </w:rPr>
              <w:t>0715-5355351</w:t>
            </w:r>
          </w:p>
        </w:tc>
        <w:tc>
          <w:tcPr>
            <w:tcW w:w="4101" w:type="dxa"/>
            <w:tcBorders>
              <w:top w:val="single" w:color="000000" w:sz="4" w:space="0"/>
              <w:left w:val="single" w:color="000000" w:sz="4" w:space="0"/>
            </w:tcBorders>
          </w:tcPr>
          <w:p>
            <w:pPr>
              <w:pStyle w:val="24"/>
              <w:spacing w:line="261" w:lineRule="exact"/>
              <w:ind w:left="803" w:right="763"/>
              <w:jc w:val="center"/>
              <w:rPr>
                <w:rFonts w:ascii="Times New Roman" w:eastAsia="Times New Roman"/>
                <w:sz w:val="19"/>
              </w:rPr>
            </w:pPr>
            <w:r>
              <w:rPr>
                <w:sz w:val="21"/>
              </w:rPr>
              <w:t xml:space="preserve">县应急管理局 </w:t>
            </w:r>
            <w:r>
              <w:rPr>
                <w:rFonts w:ascii="Times New Roman" w:eastAsia="Times New Roman"/>
                <w:sz w:val="19"/>
              </w:rPr>
              <w:t>0715-5353630</w:t>
            </w:r>
          </w:p>
          <w:p>
            <w:pPr>
              <w:pStyle w:val="24"/>
              <w:spacing w:before="2" w:line="252" w:lineRule="exact"/>
              <w:ind w:right="763" w:firstLine="630" w:firstLineChars="300"/>
              <w:jc w:val="both"/>
              <w:rPr>
                <w:rFonts w:ascii="Times New Roman" w:eastAsia="Times New Roman"/>
                <w:sz w:val="19"/>
              </w:rPr>
            </w:pPr>
            <w:r>
              <w:rPr>
                <w:rFonts w:hint="eastAsia"/>
                <w:sz w:val="21"/>
              </w:rPr>
              <w:t>陆水湖街道办</w:t>
            </w:r>
            <w:r>
              <w:rPr>
                <w:rFonts w:hint="eastAsia"/>
                <w:sz w:val="21"/>
                <w:lang w:val="en-US"/>
              </w:rPr>
              <w:t xml:space="preserve"> </w:t>
            </w:r>
            <w:r>
              <w:rPr>
                <w:sz w:val="21"/>
              </w:rPr>
              <w:t>0715-5</w:t>
            </w:r>
            <w:r>
              <w:rPr>
                <w:rFonts w:hint="eastAsia"/>
                <w:sz w:val="21"/>
                <w:lang w:val="en-US"/>
              </w:rPr>
              <w:t>510037</w:t>
            </w:r>
          </w:p>
        </w:tc>
      </w:tr>
    </w:tbl>
    <w:p>
      <w:pPr>
        <w:spacing w:line="252" w:lineRule="exact"/>
        <w:jc w:val="center"/>
        <w:rPr>
          <w:rFonts w:ascii="Times New Roman" w:eastAsia="Times New Roman"/>
          <w:sz w:val="19"/>
        </w:rPr>
        <w:sectPr>
          <w:pgSz w:w="11910" w:h="16840"/>
          <w:pgMar w:top="1360" w:right="840" w:bottom="1180" w:left="840" w:header="882" w:footer="993" w:gutter="0"/>
          <w:cols w:space="720" w:num="1"/>
        </w:sectPr>
      </w:pPr>
    </w:p>
    <w:p>
      <w:pPr>
        <w:pStyle w:val="10"/>
        <w:spacing w:before="9"/>
        <w:rPr>
          <w:b/>
          <w:sz w:val="11"/>
        </w:rPr>
      </w:pPr>
    </w:p>
    <w:p>
      <w:pPr>
        <w:spacing w:before="70"/>
        <w:ind w:left="240"/>
        <w:rPr>
          <w:b/>
          <w:sz w:val="28"/>
        </w:rPr>
      </w:pPr>
      <w:r>
        <w:rPr>
          <w:b/>
          <w:spacing w:val="-25"/>
          <w:sz w:val="28"/>
        </w:rPr>
        <w:t xml:space="preserve">附件 </w:t>
      </w:r>
      <w:r>
        <w:rPr>
          <w:rFonts w:ascii="Times New Roman" w:eastAsia="Times New Roman"/>
          <w:b/>
          <w:sz w:val="28"/>
        </w:rPr>
        <w:t>9-1</w:t>
      </w:r>
      <w:r>
        <w:rPr>
          <w:rFonts w:ascii="Times New Roman" w:eastAsia="Times New Roman"/>
          <w:b/>
          <w:spacing w:val="67"/>
          <w:sz w:val="28"/>
        </w:rPr>
        <w:t xml:space="preserve"> </w:t>
      </w:r>
      <w:r>
        <w:rPr>
          <w:b/>
          <w:sz w:val="28"/>
        </w:rPr>
        <w:t>环评批复</w:t>
      </w:r>
    </w:p>
    <w:p>
      <w:pPr>
        <w:rPr>
          <w:sz w:val="28"/>
        </w:rPr>
      </w:pPr>
    </w:p>
    <w:p>
      <w:pPr>
        <w:pStyle w:val="29"/>
        <w:spacing w:line="480" w:lineRule="exact"/>
        <w:jc w:val="right"/>
        <w:rPr>
          <w:rFonts w:ascii="仿宋_GB2312" w:hAnsi="宋体" w:eastAsia="仿宋_GB2312"/>
          <w:b/>
          <w:bCs/>
          <w:sz w:val="32"/>
          <w:szCs w:val="32"/>
        </w:rPr>
      </w:pPr>
      <w:r>
        <w:rPr>
          <w:rFonts w:hint="eastAsia" w:ascii="仿宋_GB2312" w:hAnsi="宋体" w:eastAsia="仿宋_GB2312"/>
          <w:b/>
          <w:bCs/>
          <w:sz w:val="32"/>
          <w:szCs w:val="32"/>
        </w:rPr>
        <w:t>赤环函[20</w:t>
      </w:r>
      <w:r>
        <w:rPr>
          <w:rFonts w:hint="eastAsia" w:ascii="仿宋_GB2312" w:hAnsi="宋体" w:eastAsia="仿宋_GB2312"/>
          <w:b/>
          <w:bCs/>
          <w:sz w:val="32"/>
          <w:szCs w:val="32"/>
          <w:lang w:val="en-US"/>
        </w:rPr>
        <w:t>20</w:t>
      </w:r>
      <w:r>
        <w:rPr>
          <w:rFonts w:hint="eastAsia" w:ascii="仿宋_GB2312" w:hAnsi="宋体" w:eastAsia="仿宋_GB2312"/>
          <w:b/>
          <w:bCs/>
          <w:sz w:val="32"/>
          <w:szCs w:val="32"/>
        </w:rPr>
        <w:t>]</w:t>
      </w:r>
      <w:r>
        <w:rPr>
          <w:rFonts w:hint="eastAsia" w:ascii="仿宋_GB2312" w:hAnsi="宋体" w:eastAsia="仿宋_GB2312"/>
          <w:b/>
          <w:bCs/>
          <w:sz w:val="32"/>
          <w:szCs w:val="32"/>
          <w:lang w:val="en-US"/>
        </w:rPr>
        <w:t>95</w:t>
      </w:r>
      <w:r>
        <w:rPr>
          <w:rFonts w:hint="eastAsia" w:ascii="仿宋_GB2312" w:hAnsi="宋体" w:eastAsia="仿宋_GB2312"/>
          <w:b/>
          <w:bCs/>
          <w:sz w:val="32"/>
          <w:szCs w:val="32"/>
        </w:rPr>
        <w:t>号</w:t>
      </w:r>
    </w:p>
    <w:p>
      <w:pPr>
        <w:pStyle w:val="29"/>
        <w:spacing w:line="480" w:lineRule="exact"/>
        <w:jc w:val="right"/>
        <w:rPr>
          <w:rFonts w:ascii="黑体" w:hAnsi="宋体" w:eastAsia="黑体"/>
          <w:b/>
          <w:sz w:val="44"/>
          <w:szCs w:val="44"/>
        </w:rPr>
      </w:pPr>
    </w:p>
    <w:p>
      <w:pPr>
        <w:jc w:val="center"/>
        <w:rPr>
          <w:rFonts w:ascii="黑体" w:hAnsi="黑体" w:eastAsia="黑体" w:cs="黑体"/>
          <w:b/>
          <w:bCs/>
          <w:sz w:val="44"/>
          <w:szCs w:val="44"/>
          <w:lang w:val="en-US" w:bidi="ar-SA"/>
        </w:rPr>
      </w:pPr>
      <w:r>
        <w:rPr>
          <w:rFonts w:hint="eastAsia" w:ascii="黑体" w:hAnsi="黑体" w:eastAsia="黑体" w:cs="黑体"/>
          <w:b/>
          <w:bCs/>
          <w:sz w:val="44"/>
          <w:szCs w:val="44"/>
          <w:lang w:val="en-US" w:bidi="ar-SA"/>
        </w:rPr>
        <w:t>关于EVA产品升级项目环境影响报告表的批复</w:t>
      </w:r>
    </w:p>
    <w:p>
      <w:pPr>
        <w:rPr>
          <w:rFonts w:ascii="黑体" w:hAnsi="黑体" w:eastAsia="黑体" w:cs="黑体"/>
          <w:b/>
          <w:bCs/>
          <w:sz w:val="44"/>
          <w:szCs w:val="44"/>
          <w:lang w:val="en-US" w:bidi="ar-SA"/>
        </w:rPr>
      </w:pP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赤壁泰博服饰股份有限公司：</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你公司报送的《EVA产品升级项目环境影响报告表》（以下简称报告表）收悉。根据现场踏勘及专家函审情况，经研究，现批复如下：</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一、该项目位于</w:t>
      </w:r>
      <w:r>
        <w:rPr>
          <w:rFonts w:ascii="宋体" w:hAnsi="宋体" w:eastAsia="宋体" w:cs="宋体"/>
          <w:sz w:val="32"/>
          <w:szCs w:val="32"/>
          <w:lang w:val="en-US" w:bidi="ar-SA"/>
        </w:rPr>
        <w:t>赤壁市车站路70号</w:t>
      </w:r>
      <w:r>
        <w:rPr>
          <w:rFonts w:hint="eastAsia" w:ascii="宋体" w:hAnsi="宋体" w:eastAsia="宋体" w:cs="宋体"/>
          <w:sz w:val="32"/>
          <w:szCs w:val="32"/>
          <w:lang w:val="en-US" w:bidi="ar-SA"/>
        </w:rPr>
        <w:t>。总</w:t>
      </w:r>
      <w:r>
        <w:rPr>
          <w:rFonts w:ascii="宋体" w:hAnsi="宋体" w:eastAsia="宋体" w:cs="宋体"/>
          <w:sz w:val="32"/>
          <w:szCs w:val="32"/>
          <w:lang w:val="en-US" w:bidi="ar-SA"/>
        </w:rPr>
        <w:t>投资2700万元。总占地面积约3000m</w:t>
      </w:r>
      <w:r>
        <w:rPr>
          <w:rFonts w:hint="eastAsia" w:ascii="宋体" w:hAnsi="宋体" w:eastAsia="宋体" w:cs="宋体"/>
          <w:sz w:val="32"/>
          <w:szCs w:val="32"/>
          <w:vertAlign w:val="superscript"/>
          <w:lang w:val="en-US" w:bidi="ar-SA"/>
        </w:rPr>
        <w:t>2</w:t>
      </w:r>
      <w:r>
        <w:rPr>
          <w:rFonts w:ascii="宋体" w:hAnsi="宋体" w:eastAsia="宋体" w:cs="宋体"/>
          <w:sz w:val="32"/>
          <w:szCs w:val="32"/>
          <w:lang w:val="en-US" w:bidi="ar-SA"/>
        </w:rPr>
        <w:t>，总建筑面积约2600m</w:t>
      </w:r>
      <w:r>
        <w:rPr>
          <w:rFonts w:hint="eastAsia" w:ascii="宋体" w:hAnsi="宋体" w:eastAsia="宋体" w:cs="宋体"/>
          <w:sz w:val="32"/>
          <w:szCs w:val="32"/>
          <w:vertAlign w:val="superscript"/>
          <w:lang w:val="en-US" w:bidi="ar-SA"/>
        </w:rPr>
        <w:t>2</w:t>
      </w:r>
      <w:r>
        <w:rPr>
          <w:rFonts w:ascii="宋体" w:hAnsi="宋体" w:eastAsia="宋体" w:cs="宋体"/>
          <w:sz w:val="32"/>
          <w:szCs w:val="32"/>
          <w:lang w:val="en-US" w:bidi="ar-SA"/>
        </w:rPr>
        <w:t>。</w:t>
      </w:r>
      <w:r>
        <w:rPr>
          <w:rFonts w:hint="eastAsia" w:ascii="宋体" w:hAnsi="宋体" w:eastAsia="宋体" w:cs="宋体"/>
          <w:sz w:val="32"/>
          <w:szCs w:val="32"/>
          <w:lang w:val="en-US" w:bidi="ar-SA"/>
        </w:rPr>
        <w:t>主要建设内容为：</w:t>
      </w:r>
      <w:r>
        <w:rPr>
          <w:rFonts w:ascii="宋体" w:hAnsi="宋体" w:eastAsia="宋体" w:cs="宋体"/>
          <w:sz w:val="32"/>
          <w:szCs w:val="32"/>
          <w:lang w:val="en-US" w:bidi="ar-SA"/>
        </w:rPr>
        <w:t>新上全自动流延膜生产线1套</w:t>
      </w:r>
      <w:r>
        <w:rPr>
          <w:rFonts w:hint="eastAsia" w:ascii="宋体" w:hAnsi="宋体" w:eastAsia="宋体" w:cs="宋体"/>
          <w:sz w:val="32"/>
          <w:szCs w:val="32"/>
          <w:lang w:val="en-US" w:bidi="ar-SA"/>
        </w:rPr>
        <w:t>、</w:t>
      </w:r>
      <w:r>
        <w:rPr>
          <w:rFonts w:ascii="宋体" w:hAnsi="宋体" w:eastAsia="宋体" w:cs="宋体"/>
          <w:sz w:val="32"/>
          <w:szCs w:val="32"/>
          <w:lang w:val="en-US" w:bidi="ar-SA"/>
        </w:rPr>
        <w:t>全自动电脑钢板印刷机1台</w:t>
      </w:r>
      <w:r>
        <w:rPr>
          <w:rFonts w:hint="eastAsia" w:ascii="宋体" w:hAnsi="宋体" w:eastAsia="宋体" w:cs="宋体"/>
          <w:sz w:val="32"/>
          <w:szCs w:val="32"/>
          <w:lang w:val="en-US" w:bidi="ar-SA"/>
        </w:rPr>
        <w:t>、</w:t>
      </w:r>
      <w:r>
        <w:rPr>
          <w:rFonts w:ascii="宋体" w:hAnsi="宋体" w:eastAsia="宋体" w:cs="宋体"/>
          <w:sz w:val="32"/>
          <w:szCs w:val="32"/>
          <w:lang w:val="en-US" w:bidi="ar-SA"/>
        </w:rPr>
        <w:t>雨衣高频机12台</w:t>
      </w:r>
      <w:r>
        <w:rPr>
          <w:rFonts w:hint="eastAsia" w:ascii="宋体" w:hAnsi="宋体" w:eastAsia="宋体" w:cs="宋体"/>
          <w:sz w:val="32"/>
          <w:szCs w:val="32"/>
          <w:lang w:val="en-US" w:bidi="ar-SA"/>
        </w:rPr>
        <w:t>、</w:t>
      </w:r>
      <w:r>
        <w:rPr>
          <w:rFonts w:ascii="宋体" w:hAnsi="宋体" w:eastAsia="宋体" w:cs="宋体"/>
          <w:sz w:val="32"/>
          <w:szCs w:val="32"/>
          <w:lang w:val="en-US" w:bidi="ar-SA"/>
        </w:rPr>
        <w:t>自动裁床机1台</w:t>
      </w:r>
      <w:r>
        <w:rPr>
          <w:rFonts w:hint="eastAsia" w:ascii="宋体" w:hAnsi="宋体" w:eastAsia="宋体" w:cs="宋体"/>
          <w:sz w:val="32"/>
          <w:szCs w:val="32"/>
          <w:lang w:val="en-US" w:bidi="ar-SA"/>
        </w:rPr>
        <w:t>、</w:t>
      </w:r>
      <w:r>
        <w:rPr>
          <w:rFonts w:ascii="宋体" w:hAnsi="宋体" w:eastAsia="宋体" w:cs="宋体"/>
          <w:sz w:val="32"/>
          <w:szCs w:val="32"/>
          <w:lang w:val="en-US" w:bidi="ar-SA"/>
        </w:rPr>
        <w:t>自动钉扣机18台</w:t>
      </w:r>
      <w:r>
        <w:rPr>
          <w:rFonts w:hint="eastAsia" w:ascii="宋体" w:hAnsi="宋体" w:eastAsia="宋体" w:cs="宋体"/>
          <w:sz w:val="32"/>
          <w:szCs w:val="32"/>
          <w:lang w:val="en-US" w:bidi="ar-SA"/>
        </w:rPr>
        <w:t>、</w:t>
      </w:r>
      <w:r>
        <w:rPr>
          <w:rFonts w:ascii="宋体" w:hAnsi="宋体" w:eastAsia="宋体" w:cs="宋体"/>
          <w:sz w:val="32"/>
          <w:szCs w:val="32"/>
          <w:lang w:val="en-US" w:bidi="ar-SA"/>
        </w:rPr>
        <w:t>全电脑胶板印刷机1台。项目建成后，</w:t>
      </w:r>
      <w:r>
        <w:rPr>
          <w:rFonts w:hint="eastAsia" w:ascii="宋体" w:hAnsi="宋体" w:eastAsia="宋体" w:cs="宋体"/>
          <w:sz w:val="32"/>
          <w:szCs w:val="32"/>
          <w:lang w:val="en-US" w:bidi="ar-SA"/>
        </w:rPr>
        <w:t>年产</w:t>
      </w:r>
      <w:r>
        <w:rPr>
          <w:rFonts w:ascii="宋体" w:hAnsi="宋体" w:eastAsia="宋体" w:cs="宋体"/>
          <w:sz w:val="32"/>
          <w:szCs w:val="32"/>
          <w:lang w:val="en-US" w:bidi="ar-SA"/>
        </w:rPr>
        <w:t>塑料雨衣400万件</w:t>
      </w:r>
      <w:r>
        <w:rPr>
          <w:rFonts w:hint="eastAsia" w:ascii="宋体" w:hAnsi="宋体" w:eastAsia="宋体" w:cs="宋体"/>
          <w:sz w:val="32"/>
          <w:szCs w:val="32"/>
          <w:lang w:val="en-US" w:bidi="ar-SA"/>
        </w:rPr>
        <w:t>、</w:t>
      </w:r>
      <w:r>
        <w:rPr>
          <w:rFonts w:ascii="宋体" w:hAnsi="宋体" w:eastAsia="宋体" w:cs="宋体"/>
          <w:sz w:val="32"/>
          <w:szCs w:val="32"/>
          <w:lang w:val="en-US" w:bidi="ar-SA"/>
        </w:rPr>
        <w:t>塑料服装袋500万只。</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该项目符合国家产业政策，符合赤壁市城市总体规划、土地利用规划，同意按照《报告表》中所列的项目性质、规模、地点、采用的生产工艺、环境保护对策措施进行建设。                                                  </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二、你单位须着重落实以下工作：</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1.废水</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项目生产冷却水全部循环使用，不得外排。</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项目产生的生活污水经厂区内化粪池处理，达到《污水综合排放标准》（GB8978-1996）表4中三级标准和赤壁市城市污水处理厂进水标准后，由赤壁市城市污水处理厂处理后外排。</w:t>
      </w:r>
    </w:p>
    <w:p>
      <w:pPr>
        <w:pStyle w:val="29"/>
        <w:numPr>
          <w:ilvl w:val="0"/>
          <w:numId w:val="74"/>
        </w:numPr>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废气</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项目有组织废气包括吹膜废气、印刷废气，无组织废气包括制袋、收卷、制衣、吹膜废气和食堂油烟。</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项目生产加热吹膜工序产生的有机废气经集气罩收集，并通过UV光解及活性炭吸附装置处理后，由15m高排气筒（P1）排放。有组织排放的VOCs（以非甲烷总烃计）须满足《合成树脂工业污染物排放标准》（GB31572-2015）中表4标准限值要求。</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项目印刷工序产生的废气经集气罩收集，并通过UV光解及活性炭吸附装置处理后，由15m高排气筒（P2）排放。须满足《湖北省印刷行业挥发性有机物排放标准》（DB42/1538-2019）中表1和表2排放浓度限值要求。</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应加强车间通风换气。制袋、收卷、制衣、吹膜废气无组织排放须满足《挥发性有机物无组织排放控制标准》（GB37822-2019）表A.1中标准限值要求。</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食堂油烟经油烟净化系统处理后，由烟道引至综合楼屋顶排放。油烟排放须满足《饮食业油烟排放标准（试行）》（GB18483-2001）的小型规模标准要求。</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项目需以厂界设置50m卫生防护距离。在防护距离内，不得新建居民点、学校、医院等环境敏感项目。</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3.噪声</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项目营运期噪声主要为注塑机、吹膜机、制袋机、制衣机、裁床机、印刷机、自动订扣机、风机等</w:t>
      </w:r>
      <w:r>
        <w:rPr>
          <w:rFonts w:ascii="宋体" w:hAnsi="宋体" w:eastAsia="宋体" w:cs="宋体"/>
          <w:sz w:val="32"/>
          <w:szCs w:val="32"/>
          <w:lang w:val="en-US" w:bidi="ar-SA"/>
        </w:rPr>
        <w:t>机器</w:t>
      </w:r>
      <w:r>
        <w:rPr>
          <w:rFonts w:hint="eastAsia" w:ascii="宋体" w:hAnsi="宋体" w:eastAsia="宋体" w:cs="宋体"/>
          <w:sz w:val="32"/>
          <w:szCs w:val="32"/>
          <w:lang w:val="en-US" w:bidi="ar-SA"/>
        </w:rPr>
        <w:t>设备的运行噪声。应采取减震、隔声、降噪等措施，以保证项目厂界噪声排放值能满足《工业企业厂界环境噪声排放标准》（GB12348-2008）中的3类标准要求。其中，厂界东侧居民点处昼间噪声排放值须达到《工业企业厂界环境噪声排放标准》（GB12348-2008）中的2类标准要求。</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4.固体废物</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按照分类收集、固定堆放和无害化处理的原则做好固体废弃物的管理和处置。</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项目运营期产生的固体废物主要为生活垃圾、一般工业固废（废边角料、不合格产品、废包装材料）和危险废物（废机油、含油抹布、废活性炭、废油墨罐）。</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生活垃圾、废弃的含油抹布，经集中收集后交环卫部门清运处理。</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一般工业固废中不合格产品、废边角料经收集后，全部混入原料中回收利用；废包装由物资回收部门回收。</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废机油、废活性炭及废油墨罐属于危险废物。应按照规定设置规范的危废暂存间，危险废物经收集后暂存于危废暂存间，并定期交由具有相应处置资质的单位处置。</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5、总量控制</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项目总量控制指标为：VOCs：0.0163t/a。</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三、按照国家有关规定设置规范的污染物排放口。监测口应设置临时性监测取样口。排污口须设立规范标志牌。委托环境监测机构定期进行监测，并接受环保部门的监督检查。</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四、项目建设必须严格执行配套建设的环境保护设施与主体工程同时设计、同时施工、同时投产使用的“三同时”制度。项目竣工后，必须按规定程序完成自主验收，并向我局报备。</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五、本批复自下达之日起5年内有效。期间，项目的性质、规模、地点、采用的生产工艺、防止生态破坏或污染防治措施如发生重大变动，应当重新报批项目的环境影响评价文件。</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六、由赤壁市生态环境综合执法大队负责项目的环境保护日常监管工作。                         </w:t>
      </w: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w:t>
      </w:r>
    </w:p>
    <w:p>
      <w:pPr>
        <w:pStyle w:val="29"/>
        <w:autoSpaceDE/>
        <w:autoSpaceDN/>
        <w:spacing w:line="520" w:lineRule="exact"/>
        <w:rPr>
          <w:rFonts w:ascii="宋体" w:hAnsi="宋体" w:eastAsia="宋体" w:cs="宋体"/>
          <w:sz w:val="32"/>
          <w:szCs w:val="32"/>
          <w:lang w:val="en-US" w:bidi="ar-SA"/>
        </w:rPr>
      </w:pPr>
    </w:p>
    <w:p>
      <w:pPr>
        <w:pStyle w:val="29"/>
        <w:autoSpaceDE/>
        <w:autoSpaceDN/>
        <w:spacing w:line="520" w:lineRule="exact"/>
        <w:rPr>
          <w:rFonts w:ascii="宋体" w:hAnsi="宋体" w:eastAsia="宋体" w:cs="宋体"/>
          <w:sz w:val="32"/>
          <w:szCs w:val="32"/>
          <w:lang w:val="en-US" w:bidi="ar-SA"/>
        </w:rPr>
      </w:pPr>
      <w:r>
        <w:rPr>
          <w:rFonts w:hint="eastAsia" w:ascii="宋体" w:hAnsi="宋体" w:eastAsia="宋体" w:cs="宋体"/>
          <w:sz w:val="32"/>
          <w:szCs w:val="32"/>
          <w:lang w:val="en-US" w:bidi="ar-SA"/>
        </w:rPr>
        <w:t xml:space="preserve">                                  2020年12月25日</w:t>
      </w:r>
    </w:p>
    <w:p>
      <w:pPr>
        <w:rPr>
          <w:sz w:val="23"/>
        </w:rPr>
        <w:sectPr>
          <w:footerReference r:id="rId16" w:type="default"/>
          <w:pgSz w:w="11910" w:h="16840"/>
          <w:pgMar w:top="1360" w:right="840" w:bottom="1180" w:left="840" w:header="882" w:footer="993" w:gutter="0"/>
          <w:cols w:space="720" w:num="1"/>
        </w:sectPr>
      </w:pPr>
    </w:p>
    <w:p>
      <w:pPr>
        <w:pStyle w:val="10"/>
        <w:spacing w:before="9"/>
        <w:rPr>
          <w:b/>
          <w:sz w:val="11"/>
        </w:rPr>
      </w:pPr>
    </w:p>
    <w:p>
      <w:pPr>
        <w:spacing w:before="70"/>
        <w:ind w:left="240"/>
        <w:rPr>
          <w:b/>
          <w:sz w:val="28"/>
        </w:rPr>
      </w:pPr>
      <w:r>
        <w:rPr>
          <w:b/>
          <w:sz w:val="28"/>
        </w:rPr>
        <w:t>附件</w:t>
      </w:r>
      <w:r>
        <w:rPr>
          <w:rFonts w:ascii="Times New Roman" w:eastAsia="Times New Roman"/>
          <w:b/>
          <w:sz w:val="28"/>
        </w:rPr>
        <w:t>10</w:t>
      </w:r>
      <w:r>
        <w:rPr>
          <w:rFonts w:ascii="Times New Roman" w:eastAsia="Times New Roman"/>
          <w:b/>
          <w:spacing w:val="66"/>
          <w:sz w:val="28"/>
        </w:rPr>
        <w:t xml:space="preserve"> </w:t>
      </w:r>
      <w:r>
        <w:rPr>
          <w:b/>
          <w:sz w:val="28"/>
        </w:rPr>
        <w:t>承诺书</w:t>
      </w: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spacing w:before="11"/>
        <w:rPr>
          <w:b/>
          <w:sz w:val="19"/>
        </w:rPr>
      </w:pPr>
    </w:p>
    <w:p>
      <w:pPr>
        <w:spacing w:before="49"/>
        <w:ind w:left="3" w:right="1"/>
        <w:jc w:val="center"/>
        <w:rPr>
          <w:b/>
          <w:sz w:val="36"/>
        </w:rPr>
      </w:pPr>
      <w:r>
        <w:rPr>
          <w:rFonts w:hint="eastAsia"/>
          <w:b/>
          <w:sz w:val="36"/>
        </w:rPr>
        <w:t>赤壁市泰博服饰股份有限公</w:t>
      </w:r>
      <w:r>
        <w:rPr>
          <w:b/>
          <w:sz w:val="36"/>
        </w:rPr>
        <w:t>承诺书</w:t>
      </w:r>
    </w:p>
    <w:p>
      <w:pPr>
        <w:pStyle w:val="10"/>
        <w:rPr>
          <w:b/>
          <w:sz w:val="36"/>
        </w:rPr>
      </w:pPr>
    </w:p>
    <w:p>
      <w:pPr>
        <w:pStyle w:val="10"/>
        <w:spacing w:before="1"/>
        <w:rPr>
          <w:b/>
          <w:sz w:val="31"/>
        </w:rPr>
      </w:pPr>
    </w:p>
    <w:p>
      <w:pPr>
        <w:pStyle w:val="8"/>
        <w:spacing w:line="364" w:lineRule="auto"/>
        <w:ind w:right="184"/>
        <w:jc w:val="left"/>
      </w:pPr>
      <w:r>
        <w:t>我公司承诺：《</w:t>
      </w:r>
      <w:r>
        <w:rPr>
          <w:rFonts w:hint="eastAsia"/>
        </w:rPr>
        <w:t>赤壁市泰博服饰股份有限公司</w:t>
      </w:r>
      <w:r>
        <w:t>突发环境事件应急预案》及其所有附件材料真实有效，无弄虚作假行为，并对材料的真实性承担法律责任。</w:t>
      </w:r>
    </w:p>
    <w:p>
      <w:pPr>
        <w:pStyle w:val="8"/>
        <w:spacing w:line="358" w:lineRule="exact"/>
        <w:ind w:left="799" w:right="0" w:firstLine="0"/>
        <w:jc w:val="left"/>
      </w:pPr>
      <w:r>
        <w:t>特此承诺。</w:t>
      </w:r>
    </w:p>
    <w:p>
      <w:pPr>
        <w:pStyle w:val="10"/>
        <w:rPr>
          <w:sz w:val="28"/>
        </w:rPr>
      </w:pPr>
    </w:p>
    <w:p>
      <w:pPr>
        <w:pStyle w:val="10"/>
        <w:rPr>
          <w:sz w:val="28"/>
        </w:rPr>
      </w:pPr>
    </w:p>
    <w:p>
      <w:pPr>
        <w:pStyle w:val="10"/>
        <w:spacing w:before="11"/>
        <w:rPr>
          <w:sz w:val="33"/>
        </w:rPr>
      </w:pPr>
    </w:p>
    <w:p>
      <w:pPr>
        <w:pStyle w:val="8"/>
        <w:ind w:left="6626" w:right="0" w:firstLine="0"/>
        <w:jc w:val="left"/>
      </w:pPr>
      <w:r>
        <w:rPr>
          <w:rFonts w:hint="eastAsia"/>
        </w:rPr>
        <w:t>赤壁市泰博服饰股份有限公</w:t>
      </w:r>
    </w:p>
    <w:p>
      <w:pPr>
        <w:pStyle w:val="8"/>
        <w:spacing w:before="186"/>
        <w:ind w:left="0" w:right="796" w:firstLine="0"/>
        <w:jc w:val="right"/>
      </w:pPr>
      <w:r>
        <w:rPr>
          <w:rFonts w:ascii="Times New Roman" w:eastAsia="Times New Roman"/>
        </w:rPr>
        <w:t>202</w:t>
      </w:r>
      <w:r>
        <w:rPr>
          <w:rFonts w:hint="eastAsia" w:ascii="Times New Roman" w:eastAsia="宋体"/>
          <w:lang w:val="en-US"/>
        </w:rPr>
        <w:t>2</w:t>
      </w:r>
      <w:r>
        <w:t>年</w:t>
      </w:r>
      <w:r>
        <w:rPr>
          <w:rFonts w:hint="eastAsia"/>
          <w:lang w:val="en-US"/>
        </w:rPr>
        <w:t>5</w:t>
      </w:r>
      <w:r>
        <w:t>月</w:t>
      </w:r>
      <w:r>
        <w:rPr>
          <w:rFonts w:hint="eastAsia"/>
          <w:lang w:val="en-US"/>
        </w:rPr>
        <w:t>20</w:t>
      </w:r>
      <w:r>
        <w:t>日</w:t>
      </w:r>
    </w:p>
    <w:p>
      <w:pPr>
        <w:jc w:val="right"/>
        <w:sectPr>
          <w:pgSz w:w="11910" w:h="16840"/>
          <w:pgMar w:top="1360" w:right="840" w:bottom="1180" w:left="840" w:header="882" w:footer="993" w:gutter="0"/>
          <w:cols w:space="720" w:num="1"/>
        </w:sectPr>
      </w:pPr>
    </w:p>
    <w:p>
      <w:pPr>
        <w:pStyle w:val="10"/>
        <w:spacing w:before="9"/>
        <w:rPr>
          <w:sz w:val="11"/>
        </w:rPr>
      </w:pPr>
    </w:p>
    <w:p>
      <w:pPr>
        <w:spacing w:before="70"/>
        <w:ind w:left="240"/>
        <w:rPr>
          <w:rFonts w:ascii="宋体" w:eastAsia="宋体"/>
          <w:sz w:val="21"/>
        </w:rPr>
        <w:sectPr>
          <w:pgSz w:w="11910" w:h="16840"/>
          <w:pgMar w:top="1360" w:right="840" w:bottom="1180" w:left="840" w:header="882" w:footer="993" w:gutter="0"/>
          <w:cols w:space="720" w:num="1"/>
        </w:sectPr>
      </w:pPr>
      <w:r>
        <w:rPr>
          <w:b/>
          <w:sz w:val="28"/>
        </w:rPr>
        <w:t>附件</w:t>
      </w:r>
      <w:r>
        <w:rPr>
          <w:rFonts w:ascii="Times New Roman" w:eastAsia="Times New Roman"/>
          <w:b/>
          <w:sz w:val="28"/>
        </w:rPr>
        <w:t>11</w:t>
      </w:r>
      <w:r>
        <w:rPr>
          <w:rFonts w:ascii="Times New Roman" w:eastAsia="Times New Roman"/>
          <w:b/>
          <w:spacing w:val="69"/>
          <w:sz w:val="28"/>
        </w:rPr>
        <w:t xml:space="preserve"> </w:t>
      </w:r>
      <w:r>
        <w:rPr>
          <w:b/>
          <w:sz w:val="28"/>
        </w:rPr>
        <w:t>专家评审意见</w:t>
      </w:r>
      <w:r>
        <w:rPr>
          <w:rFonts w:hint="eastAsia" w:ascii="宋体" w:eastAsia="宋体"/>
          <w:sz w:val="21"/>
          <w:lang w:val="en-US" w:bidi="ar-SA"/>
        </w:rPr>
        <w:drawing>
          <wp:inline distT="0" distB="0" distL="114300" distR="114300">
            <wp:extent cx="6188075" cy="8510905"/>
            <wp:effectExtent l="0" t="0" r="3175" b="4445"/>
            <wp:docPr id="20" name="图片 20" descr="7b05bad198470936397d65e16ff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b05bad198470936397d65e16ff1384"/>
                    <pic:cNvPicPr>
                      <a:picLocks noChangeAspect="1"/>
                    </pic:cNvPicPr>
                  </pic:nvPicPr>
                  <pic:blipFill>
                    <a:blip r:embed="rId33"/>
                    <a:stretch>
                      <a:fillRect/>
                    </a:stretch>
                  </pic:blipFill>
                  <pic:spPr>
                    <a:xfrm>
                      <a:off x="0" y="0"/>
                      <a:ext cx="6188075" cy="8510905"/>
                    </a:xfrm>
                    <a:prstGeom prst="rect">
                      <a:avLst/>
                    </a:prstGeom>
                  </pic:spPr>
                </pic:pic>
              </a:graphicData>
            </a:graphic>
          </wp:inline>
        </w:drawing>
      </w:r>
    </w:p>
    <w:p>
      <w:pPr>
        <w:pStyle w:val="10"/>
        <w:spacing w:line="20" w:lineRule="exact"/>
        <w:ind w:left="95"/>
        <w:rPr>
          <w:rFonts w:ascii="宋体"/>
          <w:sz w:val="2"/>
        </w:rPr>
      </w:pPr>
      <w:r>
        <w:rPr>
          <w:rFonts w:ascii="宋体"/>
          <w:sz w:val="2"/>
        </w:rPr>
        <mc:AlternateContent>
          <mc:Choice Requires="wpg">
            <w:drawing>
              <wp:inline distT="0" distB="0" distL="114300" distR="114300">
                <wp:extent cx="8863330" cy="6350"/>
                <wp:effectExtent l="0" t="0" r="0" b="0"/>
                <wp:docPr id="22" name="组合 26"/>
                <wp:cNvGraphicFramePr/>
                <a:graphic xmlns:a="http://schemas.openxmlformats.org/drawingml/2006/main">
                  <a:graphicData uri="http://schemas.microsoft.com/office/word/2010/wordprocessingGroup">
                    <wpg:wgp>
                      <wpg:cNvGrpSpPr/>
                      <wpg:grpSpPr>
                        <a:xfrm>
                          <a:off x="0" y="0"/>
                          <a:ext cx="8863330" cy="6350"/>
                          <a:chOff x="0" y="0"/>
                          <a:chExt cx="13958" cy="10"/>
                        </a:xfrm>
                      </wpg:grpSpPr>
                      <wps:wsp>
                        <wps:cNvPr id="21" name="直线 27"/>
                        <wps:cNvSpPr/>
                        <wps:spPr>
                          <a:xfrm>
                            <a:off x="0" y="5"/>
                            <a:ext cx="13958"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26" o:spid="_x0000_s1026" o:spt="203" style="height:0.5pt;width:697.9pt;" coordsize="13958,10" o:gfxdata="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De9HXUAAAABAEAAA8AAAAAAAAA&#10;AQAgAAAAIgAAAGRycy9kb3ducmV2LnhtbFBLAQIUABQAAAAIAIdO4kCucrsJTgIAAAQFAAAOAAAA&#10;AAAAAAEAIAAAACMBAABkcnMvZTJvRG9jLnhtbFBLBQYAAAAABgAGAFkBAADjBQAAAAA=&#10;">
                <o:lock v:ext="edit" aspectratio="f"/>
                <v:line id="直线 27" o:spid="_x0000_s1026" o:spt="20" style="position:absolute;left:0;top:5;height:0;width:13958;" filled="f" stroked="t" coordsize="21600,21600" o:gfxdata="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iM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w10:wrap type="none"/>
                <w10:anchorlock/>
              </v:group>
            </w:pict>
          </mc:Fallback>
        </mc:AlternateContent>
      </w:r>
    </w:p>
    <w:p>
      <w:pPr>
        <w:spacing w:before="40"/>
        <w:ind w:left="100"/>
        <w:rPr>
          <w:b/>
          <w:sz w:val="28"/>
        </w:rPr>
      </w:pPr>
      <w:r>
        <w:rPr>
          <w:b/>
          <w:sz w:val="28"/>
        </w:rPr>
        <w:t>附件</w:t>
      </w:r>
      <w:r>
        <w:rPr>
          <w:rFonts w:ascii="Times New Roman" w:eastAsia="Times New Roman"/>
          <w:b/>
          <w:sz w:val="28"/>
        </w:rPr>
        <w:t>12</w:t>
      </w:r>
      <w:r>
        <w:rPr>
          <w:rFonts w:ascii="Times New Roman" w:eastAsia="Times New Roman"/>
          <w:b/>
          <w:spacing w:val="69"/>
          <w:sz w:val="28"/>
        </w:rPr>
        <w:t xml:space="preserve"> </w:t>
      </w:r>
      <w:r>
        <w:rPr>
          <w:b/>
          <w:sz w:val="28"/>
        </w:rPr>
        <w:t>专家评分表</w:t>
      </w:r>
    </w:p>
    <w:p>
      <w:pPr>
        <w:pStyle w:val="10"/>
        <w:spacing w:before="7"/>
        <w:rPr>
          <w:b/>
          <w:sz w:val="22"/>
        </w:rPr>
      </w:pPr>
    </w:p>
    <w:p>
      <w:pPr>
        <w:spacing w:before="54"/>
        <w:ind w:left="3046" w:right="3042"/>
        <w:jc w:val="center"/>
        <w:rPr>
          <w:rFonts w:ascii="宋体" w:eastAsia="宋体"/>
          <w:b/>
          <w:sz w:val="32"/>
        </w:rPr>
      </w:pPr>
      <w:r>
        <w:rPr>
          <w:rFonts w:hint="eastAsia" w:ascii="宋体" w:eastAsia="宋体"/>
          <w:b/>
          <w:sz w:val="32"/>
          <w:lang w:val="en-US"/>
        </w:rPr>
        <w:t>EVA产品升级项目</w:t>
      </w:r>
      <w:r>
        <w:rPr>
          <w:rFonts w:hint="eastAsia" w:ascii="宋体" w:eastAsia="宋体"/>
          <w:b/>
          <w:sz w:val="32"/>
        </w:rPr>
        <w:t>突发环境事件应急预案评审表</w:t>
      </w:r>
    </w:p>
    <w:p>
      <w:pPr>
        <w:pStyle w:val="10"/>
        <w:rPr>
          <w:rFonts w:ascii="宋体"/>
          <w:b/>
          <w:sz w:val="20"/>
        </w:rPr>
      </w:pPr>
    </w:p>
    <w:p>
      <w:pPr>
        <w:pStyle w:val="10"/>
        <w:spacing w:before="4"/>
        <w:rPr>
          <w:rFonts w:ascii="宋体"/>
          <w:b/>
          <w:sz w:val="16"/>
        </w:rPr>
      </w:pPr>
    </w:p>
    <w:tbl>
      <w:tblPr>
        <w:tblStyle w:val="15"/>
        <w:tblW w:w="0" w:type="auto"/>
        <w:tblInd w:w="19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34"/>
        <w:gridCol w:w="5245"/>
        <w:gridCol w:w="1276"/>
        <w:gridCol w:w="567"/>
        <w:gridCol w:w="709"/>
        <w:gridCol w:w="48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6" w:hRule="atLeast"/>
        </w:trPr>
        <w:tc>
          <w:tcPr>
            <w:tcW w:w="13781" w:type="dxa"/>
            <w:gridSpan w:val="6"/>
            <w:tcBorders>
              <w:bottom w:val="single" w:color="000000" w:sz="4" w:space="0"/>
            </w:tcBorders>
          </w:tcPr>
          <w:p>
            <w:pPr>
              <w:pStyle w:val="24"/>
              <w:tabs>
                <w:tab w:val="left" w:pos="8035"/>
                <w:tab w:val="left" w:pos="8246"/>
              </w:tabs>
              <w:spacing w:before="93" w:line="242" w:lineRule="auto"/>
              <w:ind w:left="55" w:right="5407"/>
              <w:rPr>
                <w:rFonts w:ascii="宋体" w:hAnsi="宋体" w:eastAsia="宋体"/>
                <w:sz w:val="21"/>
              </w:rPr>
            </w:pPr>
            <w:r>
              <w:rPr>
                <w:rFonts w:hint="eastAsia" w:ascii="宋体" w:hAnsi="宋体" w:eastAsia="宋体"/>
                <w:sz w:val="21"/>
              </w:rPr>
              <w:t>预案编制单位：</w:t>
            </w:r>
            <w:r>
              <w:rPr>
                <w:rFonts w:hint="eastAsia" w:ascii="宋体" w:hAnsi="宋体" w:eastAsia="宋体"/>
                <w:spacing w:val="93"/>
                <w:sz w:val="21"/>
                <w:u w:val="single"/>
              </w:rPr>
              <w:t xml:space="preserve"> </w:t>
            </w:r>
            <w:r>
              <w:rPr>
                <w:rFonts w:hint="eastAsia" w:ascii="宋体" w:hAnsi="宋体" w:eastAsia="宋体"/>
                <w:sz w:val="21"/>
                <w:u w:val="single"/>
              </w:rPr>
              <w:t>赤壁市泰博服饰股份有限公司</w:t>
            </w:r>
            <w:r>
              <w:rPr>
                <w:rFonts w:hint="eastAsia" w:ascii="宋体" w:hAnsi="宋体" w:eastAsia="宋体"/>
                <w:sz w:val="21"/>
                <w:u w:val="single"/>
              </w:rPr>
              <w:tab/>
            </w:r>
            <w:r>
              <w:rPr>
                <w:rFonts w:hint="eastAsia" w:ascii="宋体" w:hAnsi="宋体" w:eastAsia="宋体"/>
                <w:sz w:val="21"/>
              </w:rPr>
              <w:t xml:space="preserve"> </w:t>
            </w:r>
            <w:r>
              <w:rPr>
                <w:rFonts w:hint="eastAsia" w:ascii="宋体" w:hAnsi="宋体" w:eastAsia="宋体"/>
                <w:spacing w:val="1"/>
                <w:w w:val="99"/>
                <w:sz w:val="21"/>
              </w:rPr>
              <w:t xml:space="preserve">  </w:t>
            </w:r>
            <w:r>
              <w:rPr>
                <w:rFonts w:hint="eastAsia" w:ascii="宋体" w:hAnsi="宋体" w:eastAsia="宋体"/>
                <w:w w:val="99"/>
                <w:sz w:val="21"/>
              </w:rPr>
              <w:t xml:space="preserve">                                       </w:t>
            </w:r>
            <w:r>
              <w:rPr>
                <w:rFonts w:hint="eastAsia" w:ascii="宋体" w:hAnsi="宋体" w:eastAsia="宋体"/>
                <w:sz w:val="21"/>
              </w:rPr>
              <w:t>(专业技术服务机构：</w:t>
            </w:r>
            <w:r>
              <w:rPr>
                <w:rFonts w:hint="eastAsia" w:ascii="宋体" w:hAnsi="宋体" w:eastAsia="宋体"/>
                <w:sz w:val="21"/>
                <w:u w:val="single"/>
              </w:rPr>
              <w:t xml:space="preserve"> </w:t>
            </w:r>
            <w:r>
              <w:rPr>
                <w:rFonts w:hint="eastAsia" w:ascii="宋体" w:hAnsi="宋体" w:eastAsia="宋体"/>
                <w:sz w:val="21"/>
                <w:u w:val="single"/>
              </w:rPr>
              <w:tab/>
            </w:r>
            <w:r>
              <w:rPr>
                <w:rFonts w:hint="eastAsia" w:ascii="宋体" w:hAnsi="宋体" w:eastAsia="宋体"/>
                <w:sz w:val="21"/>
                <w:u w:val="single"/>
              </w:rPr>
              <w:tab/>
            </w:r>
            <w:r>
              <w:rPr>
                <w:rFonts w:hint="eastAsia" w:ascii="宋体" w:hAnsi="宋体" w:eastAsia="宋体"/>
                <w:spacing w:val="-17"/>
                <w:sz w:val="21"/>
              </w:rPr>
              <w:t xml:space="preserve">) </w:t>
            </w:r>
            <w:r>
              <w:rPr>
                <w:rFonts w:hint="eastAsia" w:ascii="宋体" w:hAnsi="宋体" w:eastAsia="宋体"/>
                <w:sz w:val="21"/>
              </w:rPr>
              <w:t>企业环境风险级别：</w:t>
            </w:r>
            <w:r>
              <w:rPr>
                <w:rFonts w:hint="eastAsia" w:ascii="MS PMincho" w:hAnsi="MS PMincho" w:eastAsia="MS PMincho"/>
                <w:sz w:val="21"/>
              </w:rPr>
              <w:t>☑</w:t>
            </w:r>
            <w:r>
              <w:rPr>
                <w:rFonts w:hint="eastAsia" w:ascii="宋体" w:hAnsi="宋体" w:eastAsia="宋体"/>
                <w:sz w:val="21"/>
              </w:rPr>
              <w:t>一般；□较大；□重大</w:t>
            </w:r>
          </w:p>
          <w:p>
            <w:pPr>
              <w:pStyle w:val="24"/>
              <w:spacing w:before="4"/>
              <w:ind w:left="11563"/>
              <w:rPr>
                <w:rFonts w:ascii="宋体" w:eastAsia="宋体"/>
                <w:b/>
                <w:sz w:val="24"/>
              </w:rPr>
            </w:pPr>
            <w:r>
              <w:rPr>
                <w:rFonts w:hint="eastAsia" w:ascii="宋体" w:eastAsia="宋体"/>
                <w:b/>
                <w:sz w:val="24"/>
              </w:rPr>
              <w:t>（本栏由企业填写）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9" w:hRule="atLeast"/>
        </w:trPr>
        <w:tc>
          <w:tcPr>
            <w:tcW w:w="13781" w:type="dxa"/>
            <w:gridSpan w:val="6"/>
            <w:tcBorders>
              <w:top w:val="single" w:color="000000" w:sz="4" w:space="0"/>
              <w:bottom w:val="single" w:color="000000" w:sz="4" w:space="0"/>
            </w:tcBorders>
          </w:tcPr>
          <w:p>
            <w:pPr>
              <w:pStyle w:val="24"/>
              <w:spacing w:before="82"/>
              <w:ind w:left="2878" w:right="2862"/>
              <w:jc w:val="center"/>
              <w:rPr>
                <w:rFonts w:ascii="黑体" w:hAnsi="黑体" w:eastAsia="黑体"/>
                <w:sz w:val="21"/>
              </w:rPr>
            </w:pPr>
            <w:r>
              <w:rPr>
                <w:rFonts w:hint="eastAsia" w:ascii="黑体" w:hAnsi="黑体" w:eastAsia="黑体"/>
                <w:sz w:val="21"/>
              </w:rPr>
              <w:t>“一票否决”项（以下三项中任意一项判定为“不符合”，则评审结论为“未通过”）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5" w:hRule="atLeast"/>
        </w:trPr>
        <w:tc>
          <w:tcPr>
            <w:tcW w:w="6379" w:type="dxa"/>
            <w:gridSpan w:val="2"/>
            <w:vMerge w:val="restart"/>
            <w:tcBorders>
              <w:top w:val="single" w:color="000000" w:sz="4" w:space="0"/>
              <w:bottom w:val="single" w:color="000000" w:sz="4" w:space="0"/>
              <w:right w:val="single" w:color="000000" w:sz="4" w:space="0"/>
            </w:tcBorders>
          </w:tcPr>
          <w:p>
            <w:pPr>
              <w:pStyle w:val="24"/>
              <w:spacing w:before="142"/>
              <w:ind w:left="2591" w:right="2578"/>
              <w:jc w:val="center"/>
              <w:rPr>
                <w:rFonts w:ascii="宋体" w:eastAsia="宋体"/>
                <w:sz w:val="21"/>
              </w:rPr>
            </w:pPr>
            <w:r>
              <w:rPr>
                <w:rFonts w:hint="eastAsia" w:ascii="宋体" w:eastAsia="宋体"/>
                <w:sz w:val="21"/>
              </w:rPr>
              <w:t>评 审 指 标</w:t>
            </w:r>
          </w:p>
        </w:tc>
        <w:tc>
          <w:tcPr>
            <w:tcW w:w="2552" w:type="dxa"/>
            <w:gridSpan w:val="3"/>
            <w:tcBorders>
              <w:top w:val="single" w:color="000000" w:sz="4" w:space="0"/>
              <w:left w:val="single" w:color="000000" w:sz="4" w:space="0"/>
              <w:bottom w:val="single" w:color="000000" w:sz="4" w:space="0"/>
              <w:right w:val="single" w:color="000000" w:sz="4" w:space="0"/>
            </w:tcBorders>
          </w:tcPr>
          <w:p>
            <w:pPr>
              <w:pStyle w:val="24"/>
              <w:spacing w:line="254" w:lineRule="exact"/>
              <w:ind w:left="860"/>
              <w:rPr>
                <w:rFonts w:ascii="宋体" w:eastAsia="宋体"/>
                <w:sz w:val="21"/>
              </w:rPr>
            </w:pPr>
            <w:r>
              <w:rPr>
                <w:rFonts w:hint="eastAsia" w:ascii="宋体" w:eastAsia="宋体"/>
                <w:sz w:val="21"/>
              </w:rPr>
              <w:t>评审意见</w:t>
            </w:r>
          </w:p>
        </w:tc>
        <w:tc>
          <w:tcPr>
            <w:tcW w:w="4850" w:type="dxa"/>
            <w:vMerge w:val="restart"/>
            <w:tcBorders>
              <w:top w:val="single" w:color="000000" w:sz="4" w:space="0"/>
              <w:left w:val="single" w:color="000000" w:sz="4" w:space="0"/>
              <w:bottom w:val="single" w:color="000000" w:sz="4" w:space="0"/>
            </w:tcBorders>
          </w:tcPr>
          <w:p>
            <w:pPr>
              <w:pStyle w:val="24"/>
              <w:spacing w:before="142"/>
              <w:ind w:left="106" w:right="86"/>
              <w:jc w:val="center"/>
              <w:rPr>
                <w:rFonts w:ascii="宋体" w:eastAsia="宋体"/>
                <w:sz w:val="21"/>
              </w:rPr>
            </w:pPr>
            <w:r>
              <w:rPr>
                <w:rFonts w:hint="eastAsia" w:ascii="宋体" w:eastAsia="宋体"/>
                <w:sz w:val="21"/>
              </w:rPr>
              <w:t>指 标 说 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6379" w:type="dxa"/>
            <w:gridSpan w:val="2"/>
            <w:vMerge w:val="continue"/>
            <w:tcBorders>
              <w:top w:val="nil"/>
              <w:bottom w:val="single" w:color="000000" w:sz="4" w:space="0"/>
              <w:right w:val="single" w:color="000000" w:sz="4" w:space="0"/>
            </w:tcBorders>
          </w:tcPr>
          <w:p>
            <w:pPr>
              <w:rPr>
                <w:sz w:val="2"/>
                <w:szCs w:val="2"/>
              </w:rPr>
            </w:pPr>
          </w:p>
        </w:tc>
        <w:tc>
          <w:tcPr>
            <w:tcW w:w="1276" w:type="dxa"/>
            <w:tcBorders>
              <w:top w:val="single" w:color="000000" w:sz="4" w:space="0"/>
              <w:left w:val="single" w:color="000000" w:sz="4" w:space="0"/>
              <w:bottom w:val="single" w:color="000000" w:sz="4" w:space="0"/>
              <w:right w:val="single" w:color="000000" w:sz="4" w:space="0"/>
            </w:tcBorders>
          </w:tcPr>
          <w:p>
            <w:pPr>
              <w:pStyle w:val="24"/>
              <w:tabs>
                <w:tab w:val="left" w:pos="437"/>
              </w:tabs>
              <w:spacing w:before="1" w:line="251" w:lineRule="exact"/>
              <w:ind w:left="17"/>
              <w:jc w:val="center"/>
              <w:rPr>
                <w:rFonts w:ascii="宋体" w:eastAsia="宋体"/>
                <w:sz w:val="21"/>
              </w:rPr>
            </w:pPr>
            <w:r>
              <w:rPr>
                <w:rFonts w:hint="eastAsia" w:ascii="宋体" w:eastAsia="宋体"/>
                <w:sz w:val="21"/>
              </w:rPr>
              <w:t>判</w:t>
            </w:r>
            <w:r>
              <w:rPr>
                <w:rFonts w:hint="eastAsia" w:ascii="宋体" w:eastAsia="宋体"/>
                <w:sz w:val="21"/>
              </w:rPr>
              <w:tab/>
            </w:r>
            <w:r>
              <w:rPr>
                <w:rFonts w:hint="eastAsia" w:ascii="宋体" w:eastAsia="宋体"/>
                <w:sz w:val="21"/>
              </w:rPr>
              <w:t>定</w:t>
            </w:r>
          </w:p>
        </w:tc>
        <w:tc>
          <w:tcPr>
            <w:tcW w:w="1276" w:type="dxa"/>
            <w:gridSpan w:val="2"/>
            <w:tcBorders>
              <w:top w:val="single" w:color="000000" w:sz="4" w:space="0"/>
              <w:left w:val="single" w:color="000000" w:sz="4" w:space="0"/>
              <w:bottom w:val="single" w:color="000000" w:sz="4" w:space="0"/>
              <w:right w:val="single" w:color="000000" w:sz="4" w:space="0"/>
            </w:tcBorders>
          </w:tcPr>
          <w:p>
            <w:pPr>
              <w:pStyle w:val="24"/>
              <w:tabs>
                <w:tab w:val="left" w:pos="747"/>
              </w:tabs>
              <w:spacing w:before="1" w:line="251" w:lineRule="exact"/>
              <w:ind w:left="327"/>
              <w:rPr>
                <w:rFonts w:ascii="宋体" w:eastAsia="宋体"/>
                <w:sz w:val="21"/>
              </w:rPr>
            </w:pPr>
            <w:r>
              <w:rPr>
                <w:rFonts w:hint="eastAsia" w:ascii="宋体" w:eastAsia="宋体"/>
                <w:sz w:val="21"/>
              </w:rPr>
              <w:t>说</w:t>
            </w:r>
            <w:r>
              <w:rPr>
                <w:rFonts w:hint="eastAsia" w:ascii="宋体" w:eastAsia="宋体"/>
                <w:sz w:val="21"/>
              </w:rPr>
              <w:tab/>
            </w:r>
            <w:r>
              <w:rPr>
                <w:rFonts w:hint="eastAsia" w:ascii="宋体" w:eastAsia="宋体"/>
                <w:sz w:val="21"/>
              </w:rPr>
              <w:t>明</w:t>
            </w:r>
          </w:p>
        </w:tc>
        <w:tc>
          <w:tcPr>
            <w:tcW w:w="4850"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3" w:hRule="atLeast"/>
        </w:trPr>
        <w:tc>
          <w:tcPr>
            <w:tcW w:w="6379" w:type="dxa"/>
            <w:gridSpan w:val="2"/>
            <w:tcBorders>
              <w:top w:val="single" w:color="000000" w:sz="4" w:space="0"/>
              <w:bottom w:val="single" w:color="000000" w:sz="4" w:space="0"/>
              <w:right w:val="single" w:color="000000" w:sz="4" w:space="0"/>
            </w:tcBorders>
          </w:tcPr>
          <w:p>
            <w:pPr>
              <w:pStyle w:val="24"/>
              <w:spacing w:before="2"/>
              <w:rPr>
                <w:rFonts w:ascii="宋体"/>
                <w:b/>
                <w:sz w:val="26"/>
              </w:rPr>
            </w:pPr>
          </w:p>
          <w:p>
            <w:pPr>
              <w:pStyle w:val="24"/>
              <w:spacing w:before="1"/>
              <w:ind w:left="55"/>
              <w:rPr>
                <w:rFonts w:ascii="宋体" w:eastAsia="宋体"/>
                <w:sz w:val="21"/>
              </w:rPr>
            </w:pPr>
            <w:r>
              <w:rPr>
                <w:rFonts w:hint="eastAsia" w:ascii="宋体" w:eastAsia="宋体"/>
                <w:sz w:val="21"/>
              </w:rPr>
              <w:t>有单独的环境风险评估报告和环境应急资源调查报告（表）</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7"/>
              <w:rPr>
                <w:rFonts w:ascii="宋体"/>
                <w:b/>
                <w:sz w:val="15"/>
              </w:rPr>
            </w:pPr>
          </w:p>
          <w:p>
            <w:pPr>
              <w:pStyle w:val="24"/>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4"/>
              <w:ind w:left="60"/>
              <w:rPr>
                <w:rFonts w:ascii="宋体" w:hAnsi="宋体" w:eastAsia="宋体"/>
                <w:sz w:val="21"/>
              </w:rPr>
            </w:pPr>
            <w:r>
              <w:rPr>
                <w:rFonts w:hint="eastAsia" w:ascii="宋体" w:hAnsi="宋体" w:eastAsia="宋体"/>
                <w:sz w:val="21"/>
              </w:rPr>
              <w:t>□不符合</w:t>
            </w:r>
          </w:p>
        </w:tc>
        <w:tc>
          <w:tcPr>
            <w:tcW w:w="1276" w:type="dxa"/>
            <w:gridSpan w:val="2"/>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64"/>
              <w:ind w:left="62"/>
              <w:rPr>
                <w:rFonts w:ascii="宋体" w:eastAsia="宋体"/>
                <w:sz w:val="21"/>
              </w:rPr>
            </w:pPr>
            <w:r>
              <w:rPr>
                <w:rFonts w:hint="eastAsia" w:ascii="宋体" w:eastAsia="宋体"/>
                <w:sz w:val="21"/>
              </w:rPr>
              <w:t>突发事件应急预案管理办法有关规定；</w:t>
            </w:r>
          </w:p>
          <w:p>
            <w:pPr>
              <w:pStyle w:val="24"/>
              <w:spacing w:before="3" w:line="242" w:lineRule="auto"/>
              <w:ind w:left="62" w:right="37"/>
              <w:rPr>
                <w:rFonts w:ascii="宋体" w:eastAsia="宋体"/>
                <w:sz w:val="21"/>
              </w:rPr>
            </w:pPr>
            <w:r>
              <w:rPr>
                <w:rFonts w:hint="eastAsia" w:ascii="宋体" w:eastAsia="宋体"/>
                <w:spacing w:val="-8"/>
                <w:w w:val="95"/>
                <w:sz w:val="21"/>
              </w:rPr>
              <w:t xml:space="preserve">备案管理办法第十条要求，应当在开展环境风险评估 </w:t>
            </w:r>
            <w:r>
              <w:rPr>
                <w:rFonts w:hint="eastAsia" w:ascii="宋体" w:eastAsia="宋体"/>
                <w:spacing w:val="-8"/>
                <w:sz w:val="21"/>
              </w:rPr>
              <w:t>和环境应急资源调查的基础上编制环境应急预案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0" w:hRule="atLeast"/>
        </w:trPr>
        <w:tc>
          <w:tcPr>
            <w:tcW w:w="6379" w:type="dxa"/>
            <w:gridSpan w:val="2"/>
            <w:tcBorders>
              <w:top w:val="single" w:color="000000" w:sz="4" w:space="0"/>
              <w:bottom w:val="single" w:color="000000" w:sz="4" w:space="0"/>
              <w:right w:val="single" w:color="000000" w:sz="4" w:space="0"/>
            </w:tcBorders>
          </w:tcPr>
          <w:p>
            <w:pPr>
              <w:pStyle w:val="24"/>
              <w:rPr>
                <w:rFonts w:ascii="宋体"/>
                <w:b/>
                <w:sz w:val="20"/>
              </w:rPr>
            </w:pPr>
          </w:p>
          <w:p>
            <w:pPr>
              <w:pStyle w:val="24"/>
              <w:spacing w:before="11"/>
              <w:rPr>
                <w:rFonts w:ascii="宋体"/>
                <w:b/>
                <w:sz w:val="24"/>
              </w:rPr>
            </w:pPr>
          </w:p>
          <w:p>
            <w:pPr>
              <w:pStyle w:val="24"/>
              <w:ind w:left="55"/>
              <w:rPr>
                <w:rFonts w:ascii="宋体" w:eastAsia="宋体"/>
                <w:sz w:val="21"/>
              </w:rPr>
            </w:pPr>
            <w:r>
              <w:rPr>
                <w:rFonts w:hint="eastAsia" w:ascii="宋体" w:eastAsia="宋体"/>
                <w:sz w:val="21"/>
              </w:rPr>
              <w:t>从可能的突发环境事件情景出发编制且典型突发环境事件情景无缺失</w:t>
            </w:r>
          </w:p>
        </w:tc>
        <w:tc>
          <w:tcPr>
            <w:tcW w:w="1276" w:type="dxa"/>
            <w:tcBorders>
              <w:top w:val="single" w:color="000000" w:sz="4" w:space="0"/>
              <w:left w:val="single" w:color="000000" w:sz="4" w:space="0"/>
              <w:bottom w:val="single" w:color="000000" w:sz="4" w:space="0"/>
              <w:right w:val="single" w:color="000000" w:sz="4" w:space="0"/>
            </w:tcBorders>
          </w:tcPr>
          <w:p>
            <w:pPr>
              <w:pStyle w:val="24"/>
              <w:rPr>
                <w:rFonts w:ascii="宋体"/>
                <w:b/>
                <w:sz w:val="20"/>
              </w:rPr>
            </w:pPr>
          </w:p>
          <w:p>
            <w:pPr>
              <w:pStyle w:val="24"/>
              <w:spacing w:before="2"/>
              <w:rPr>
                <w:rFonts w:ascii="宋体"/>
                <w:b/>
                <w:sz w:val="14"/>
              </w:rPr>
            </w:pPr>
          </w:p>
          <w:p>
            <w:pPr>
              <w:pStyle w:val="24"/>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t>□不符合</w:t>
            </w:r>
          </w:p>
        </w:tc>
        <w:tc>
          <w:tcPr>
            <w:tcW w:w="1276" w:type="dxa"/>
            <w:gridSpan w:val="2"/>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30"/>
              <w:ind w:left="62"/>
              <w:rPr>
                <w:rFonts w:ascii="宋体" w:eastAsia="宋体"/>
                <w:sz w:val="21"/>
              </w:rPr>
            </w:pPr>
            <w:r>
              <w:rPr>
                <w:rFonts w:hint="eastAsia" w:ascii="宋体" w:eastAsia="宋体"/>
                <w:sz w:val="21"/>
              </w:rPr>
              <w:t>突发事件应对法有关规定；</w:t>
            </w:r>
          </w:p>
          <w:p>
            <w:pPr>
              <w:pStyle w:val="24"/>
              <w:spacing w:before="2" w:line="244" w:lineRule="auto"/>
              <w:ind w:left="62" w:right="37"/>
              <w:rPr>
                <w:rFonts w:ascii="宋体" w:eastAsia="宋体"/>
                <w:sz w:val="21"/>
              </w:rPr>
            </w:pPr>
            <w:r>
              <w:rPr>
                <w:rFonts w:hint="eastAsia" w:ascii="宋体" w:eastAsia="宋体"/>
                <w:spacing w:val="-10"/>
                <w:w w:val="95"/>
                <w:sz w:val="21"/>
              </w:rPr>
              <w:t xml:space="preserve">备案管理办法第九、十条，均对企业从可能的突发环 </w:t>
            </w:r>
            <w:r>
              <w:rPr>
                <w:rFonts w:hint="eastAsia" w:ascii="宋体" w:eastAsia="宋体"/>
                <w:spacing w:val="-10"/>
                <w:sz w:val="21"/>
              </w:rPr>
              <w:t>境事件情景出发编制环境应急预案提出了要求；</w:t>
            </w:r>
          </w:p>
          <w:p>
            <w:pPr>
              <w:pStyle w:val="24"/>
              <w:spacing w:line="244" w:lineRule="auto"/>
              <w:ind w:left="62" w:right="35"/>
              <w:rPr>
                <w:rFonts w:ascii="宋体" w:eastAsia="宋体"/>
                <w:sz w:val="21"/>
              </w:rPr>
            </w:pPr>
            <w:r>
              <w:rPr>
                <w:rFonts w:hint="eastAsia" w:ascii="宋体" w:eastAsia="宋体"/>
                <w:spacing w:val="3"/>
                <w:w w:val="95"/>
                <w:sz w:val="21"/>
              </w:rPr>
              <w:t xml:space="preserve">典型突发环境事件情景基于真实事件与预期风险凝 </w:t>
            </w:r>
            <w:r>
              <w:rPr>
                <w:rFonts w:hint="eastAsia" w:ascii="宋体" w:eastAsia="宋体"/>
                <w:sz w:val="21"/>
              </w:rPr>
              <w:t>练、集合而成，体现各类事件的共性与规律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0" w:hRule="atLeast"/>
        </w:trPr>
        <w:tc>
          <w:tcPr>
            <w:tcW w:w="6379" w:type="dxa"/>
            <w:gridSpan w:val="2"/>
            <w:tcBorders>
              <w:top w:val="single" w:color="000000" w:sz="4" w:space="0"/>
              <w:bottom w:val="single" w:color="000000" w:sz="4" w:space="0"/>
              <w:right w:val="single" w:color="000000" w:sz="4" w:space="0"/>
            </w:tcBorders>
          </w:tcPr>
          <w:p>
            <w:pPr>
              <w:pStyle w:val="24"/>
              <w:spacing w:before="7"/>
              <w:rPr>
                <w:rFonts w:ascii="宋体"/>
                <w:b/>
                <w:sz w:val="25"/>
              </w:rPr>
            </w:pPr>
          </w:p>
          <w:p>
            <w:pPr>
              <w:pStyle w:val="24"/>
              <w:ind w:left="55"/>
              <w:rPr>
                <w:rFonts w:ascii="宋体" w:eastAsia="宋体"/>
                <w:sz w:val="21"/>
              </w:rPr>
            </w:pPr>
            <w:r>
              <w:rPr>
                <w:rFonts w:hint="eastAsia" w:ascii="宋体" w:eastAsia="宋体"/>
                <w:sz w:val="21"/>
              </w:rPr>
              <w:t>能够让周边居民和单位获得事件信息</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
              <w:rPr>
                <w:rFonts w:ascii="宋体"/>
                <w:b/>
                <w:sz w:val="15"/>
              </w:rPr>
            </w:pPr>
          </w:p>
          <w:p>
            <w:pPr>
              <w:pStyle w:val="24"/>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t>□不符合</w:t>
            </w:r>
          </w:p>
        </w:tc>
        <w:tc>
          <w:tcPr>
            <w:tcW w:w="1276" w:type="dxa"/>
            <w:gridSpan w:val="2"/>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57" w:line="242" w:lineRule="auto"/>
              <w:ind w:left="62" w:right="37"/>
              <w:jc w:val="both"/>
              <w:rPr>
                <w:rFonts w:ascii="宋体" w:eastAsia="宋体"/>
                <w:sz w:val="21"/>
              </w:rPr>
            </w:pPr>
            <w:r>
              <w:rPr>
                <w:rFonts w:hint="eastAsia" w:ascii="宋体" w:eastAsia="宋体"/>
                <w:spacing w:val="-8"/>
                <w:w w:val="95"/>
                <w:sz w:val="21"/>
              </w:rPr>
              <w:t xml:space="preserve">环境保护法第四十七条规定，在发生或可能发生突发 </w:t>
            </w:r>
            <w:r>
              <w:rPr>
                <w:rFonts w:hint="eastAsia" w:ascii="宋体" w:eastAsia="宋体"/>
                <w:spacing w:val="-12"/>
                <w:w w:val="95"/>
                <w:sz w:val="21"/>
              </w:rPr>
              <w:t xml:space="preserve">环境事件时，企业应当及时通报可能受到危害的单位 </w:t>
            </w:r>
            <w:r>
              <w:rPr>
                <w:rFonts w:hint="eastAsia" w:ascii="宋体" w:eastAsia="宋体"/>
                <w:spacing w:val="-12"/>
                <w:sz w:val="21"/>
              </w:rPr>
              <w:t>和居民。备案管理办法第十条也提出了相应要求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5" w:hRule="atLeast"/>
        </w:trPr>
        <w:tc>
          <w:tcPr>
            <w:tcW w:w="13781" w:type="dxa"/>
            <w:gridSpan w:val="6"/>
            <w:tcBorders>
              <w:top w:val="single" w:color="000000" w:sz="4" w:space="0"/>
              <w:bottom w:val="single" w:color="000000" w:sz="4" w:space="0"/>
            </w:tcBorders>
          </w:tcPr>
          <w:p>
            <w:pPr>
              <w:pStyle w:val="24"/>
              <w:spacing w:before="132"/>
              <w:ind w:left="2875" w:right="2862"/>
              <w:jc w:val="center"/>
              <w:rPr>
                <w:rFonts w:ascii="黑体" w:eastAsia="黑体"/>
                <w:sz w:val="21"/>
              </w:rPr>
            </w:pPr>
            <w:r>
              <w:rPr>
                <w:rFonts w:hint="eastAsia" w:ascii="黑体" w:eastAsia="黑体"/>
                <w:sz w:val="21"/>
              </w:rPr>
              <w:t>环境应急预案及相关文件的基本形式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2" w:hRule="atLeast"/>
        </w:trPr>
        <w:tc>
          <w:tcPr>
            <w:tcW w:w="1134" w:type="dxa"/>
            <w:vMerge w:val="restart"/>
            <w:tcBorders>
              <w:top w:val="single" w:color="000000" w:sz="4" w:space="0"/>
              <w:bottom w:val="single" w:color="000000" w:sz="4" w:space="0"/>
              <w:right w:val="single" w:color="000000" w:sz="4" w:space="0"/>
            </w:tcBorders>
          </w:tcPr>
          <w:p>
            <w:pPr>
              <w:pStyle w:val="24"/>
              <w:rPr>
                <w:rFonts w:ascii="宋体"/>
                <w:b/>
              </w:rPr>
            </w:pPr>
          </w:p>
          <w:p>
            <w:pPr>
              <w:pStyle w:val="24"/>
              <w:ind w:left="146"/>
              <w:rPr>
                <w:rFonts w:ascii="宋体" w:eastAsia="宋体"/>
                <w:sz w:val="21"/>
              </w:rPr>
            </w:pPr>
            <w:r>
              <w:rPr>
                <w:rFonts w:hint="eastAsia" w:ascii="宋体" w:eastAsia="宋体"/>
                <w:sz w:val="21"/>
              </w:rPr>
              <w:t>评审项目</w:t>
            </w:r>
          </w:p>
        </w:tc>
        <w:tc>
          <w:tcPr>
            <w:tcW w:w="5245" w:type="dxa"/>
            <w:vMerge w:val="restart"/>
            <w:tcBorders>
              <w:top w:val="single" w:color="000000" w:sz="4" w:space="0"/>
              <w:left w:val="single" w:color="000000" w:sz="4" w:space="0"/>
              <w:bottom w:val="single" w:color="000000" w:sz="4" w:space="0"/>
              <w:right w:val="single" w:color="000000" w:sz="4" w:space="0"/>
            </w:tcBorders>
          </w:tcPr>
          <w:p>
            <w:pPr>
              <w:pStyle w:val="24"/>
              <w:rPr>
                <w:rFonts w:ascii="宋体"/>
                <w:b/>
              </w:rPr>
            </w:pPr>
          </w:p>
          <w:p>
            <w:pPr>
              <w:pStyle w:val="24"/>
              <w:ind w:left="2028" w:right="2011"/>
              <w:jc w:val="center"/>
              <w:rPr>
                <w:rFonts w:ascii="宋体" w:eastAsia="宋体"/>
                <w:sz w:val="21"/>
              </w:rPr>
            </w:pPr>
            <w:r>
              <w:rPr>
                <w:rFonts w:hint="eastAsia" w:ascii="宋体" w:eastAsia="宋体"/>
                <w:sz w:val="21"/>
              </w:rPr>
              <w:t>评 审 指 标</w:t>
            </w:r>
          </w:p>
        </w:tc>
        <w:tc>
          <w:tcPr>
            <w:tcW w:w="2552" w:type="dxa"/>
            <w:gridSpan w:val="3"/>
            <w:tcBorders>
              <w:top w:val="single" w:color="000000" w:sz="4" w:space="0"/>
              <w:left w:val="single" w:color="000000" w:sz="4" w:space="0"/>
              <w:bottom w:val="single" w:color="000000" w:sz="4" w:space="0"/>
              <w:right w:val="single" w:color="000000" w:sz="4" w:space="0"/>
            </w:tcBorders>
          </w:tcPr>
          <w:p>
            <w:pPr>
              <w:pStyle w:val="24"/>
              <w:spacing w:before="66"/>
              <w:ind w:left="860"/>
              <w:rPr>
                <w:rFonts w:ascii="宋体" w:eastAsia="宋体"/>
                <w:sz w:val="21"/>
              </w:rPr>
            </w:pPr>
            <w:r>
              <w:rPr>
                <w:rFonts w:hint="eastAsia" w:ascii="宋体" w:eastAsia="宋体"/>
                <w:sz w:val="21"/>
              </w:rPr>
              <w:t>评审意见</w:t>
            </w:r>
          </w:p>
        </w:tc>
        <w:tc>
          <w:tcPr>
            <w:tcW w:w="4850" w:type="dxa"/>
            <w:vMerge w:val="restart"/>
            <w:tcBorders>
              <w:top w:val="single" w:color="000000" w:sz="4" w:space="0"/>
              <w:left w:val="single" w:color="000000" w:sz="4" w:space="0"/>
              <w:bottom w:val="single" w:color="000000" w:sz="4" w:space="0"/>
            </w:tcBorders>
          </w:tcPr>
          <w:p>
            <w:pPr>
              <w:pStyle w:val="24"/>
              <w:rPr>
                <w:rFonts w:ascii="宋体"/>
                <w:b/>
              </w:rPr>
            </w:pPr>
          </w:p>
          <w:p>
            <w:pPr>
              <w:pStyle w:val="24"/>
              <w:ind w:left="106" w:right="86"/>
              <w:jc w:val="center"/>
              <w:rPr>
                <w:rFonts w:ascii="宋体" w:eastAsia="宋体"/>
                <w:sz w:val="21"/>
              </w:rPr>
            </w:pPr>
            <w:r>
              <w:rPr>
                <w:rFonts w:hint="eastAsia" w:ascii="宋体" w:eastAsia="宋体"/>
                <w:sz w:val="21"/>
              </w:rPr>
              <w:t>指 标 说 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8" w:hRule="atLeast"/>
        </w:trPr>
        <w:tc>
          <w:tcPr>
            <w:tcW w:w="1134" w:type="dxa"/>
            <w:vMerge w:val="continue"/>
            <w:tcBorders>
              <w:top w:val="nil"/>
              <w:bottom w:val="single" w:color="000000" w:sz="4" w:space="0"/>
              <w:right w:val="single" w:color="000000" w:sz="4" w:space="0"/>
            </w:tcBorders>
          </w:tcPr>
          <w:p>
            <w:pPr>
              <w:rPr>
                <w:sz w:val="2"/>
                <w:szCs w:val="2"/>
              </w:rPr>
            </w:pPr>
          </w:p>
        </w:tc>
        <w:tc>
          <w:tcPr>
            <w:tcW w:w="5245" w:type="dxa"/>
            <w:vMerge w:val="continue"/>
            <w:tcBorders>
              <w:top w:val="nil"/>
              <w:left w:val="single" w:color="000000" w:sz="4" w:space="0"/>
              <w:bottom w:val="single" w:color="000000" w:sz="4" w:space="0"/>
              <w:right w:val="single" w:color="000000" w:sz="4" w:space="0"/>
            </w:tcBorders>
          </w:tcPr>
          <w:p>
            <w:pPr>
              <w:rPr>
                <w:sz w:val="2"/>
                <w:szCs w:val="2"/>
              </w:rPr>
            </w:pP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74"/>
              <w:ind w:left="17"/>
              <w:jc w:val="center"/>
              <w:rPr>
                <w:rFonts w:ascii="宋体" w:eastAsia="宋体"/>
                <w:sz w:val="21"/>
              </w:rPr>
            </w:pPr>
            <w:r>
              <w:rPr>
                <w:rFonts w:hint="eastAsia" w:ascii="宋体" w:eastAsia="宋体"/>
                <w:sz w:val="21"/>
              </w:rPr>
              <w:t>判定</w:t>
            </w:r>
          </w:p>
        </w:tc>
        <w:tc>
          <w:tcPr>
            <w:tcW w:w="567" w:type="dxa"/>
            <w:tcBorders>
              <w:top w:val="single" w:color="000000" w:sz="4" w:space="0"/>
              <w:left w:val="single" w:color="000000" w:sz="4" w:space="0"/>
              <w:bottom w:val="single" w:color="000000" w:sz="4" w:space="0"/>
              <w:right w:val="single" w:color="000000" w:sz="4" w:space="0"/>
            </w:tcBorders>
          </w:tcPr>
          <w:p>
            <w:pPr>
              <w:pStyle w:val="24"/>
              <w:spacing w:before="74"/>
              <w:ind w:left="78"/>
              <w:rPr>
                <w:rFonts w:ascii="宋体" w:eastAsia="宋体"/>
                <w:sz w:val="21"/>
              </w:rPr>
            </w:pPr>
            <w:r>
              <w:rPr>
                <w:rFonts w:hint="eastAsia" w:ascii="宋体" w:eastAsia="宋体"/>
                <w:sz w:val="21"/>
              </w:rPr>
              <w:t>得分</w:t>
            </w:r>
          </w:p>
        </w:tc>
        <w:tc>
          <w:tcPr>
            <w:tcW w:w="709" w:type="dxa"/>
            <w:tcBorders>
              <w:top w:val="single" w:color="000000" w:sz="4" w:space="0"/>
              <w:left w:val="single" w:color="000000" w:sz="4" w:space="0"/>
              <w:bottom w:val="single" w:color="000000" w:sz="4" w:space="0"/>
              <w:right w:val="single" w:color="000000" w:sz="4" w:space="0"/>
            </w:tcBorders>
          </w:tcPr>
          <w:p>
            <w:pPr>
              <w:pStyle w:val="24"/>
              <w:spacing w:before="74"/>
              <w:ind w:left="147"/>
              <w:rPr>
                <w:rFonts w:ascii="宋体" w:eastAsia="宋体"/>
                <w:sz w:val="21"/>
              </w:rPr>
            </w:pPr>
            <w:r>
              <w:rPr>
                <w:rFonts w:hint="eastAsia" w:ascii="宋体" w:eastAsia="宋体"/>
                <w:sz w:val="21"/>
              </w:rPr>
              <w:t>说明</w:t>
            </w:r>
          </w:p>
        </w:tc>
        <w:tc>
          <w:tcPr>
            <w:tcW w:w="4850" w:type="dxa"/>
            <w:vMerge w:val="continue"/>
            <w:tcBorders>
              <w:top w:val="nil"/>
              <w:left w:val="single" w:color="000000" w:sz="4" w:space="0"/>
              <w:bottom w:val="single" w:color="000000" w:sz="4" w:space="0"/>
            </w:tcBorders>
          </w:tcPr>
          <w:p>
            <w:pPr>
              <w:rPr>
                <w:sz w:val="2"/>
                <w:szCs w:val="2"/>
              </w:rPr>
            </w:pPr>
          </w:p>
        </w:tc>
      </w:tr>
    </w:tbl>
    <w:p>
      <w:pPr>
        <w:rPr>
          <w:sz w:val="2"/>
          <w:szCs w:val="2"/>
        </w:rPr>
        <w:sectPr>
          <w:headerReference r:id="rId17" w:type="default"/>
          <w:footerReference r:id="rId18" w:type="default"/>
          <w:pgSz w:w="16840" w:h="11910" w:orient="landscape"/>
          <w:pgMar w:top="1100" w:right="1340" w:bottom="1180" w:left="1340" w:header="882" w:footer="993" w:gutter="0"/>
          <w:pgNumType w:start="87"/>
          <w:cols w:space="720" w:num="1"/>
        </w:sectPr>
      </w:pPr>
    </w:p>
    <w:p>
      <w:pPr>
        <w:pStyle w:val="10"/>
        <w:rPr>
          <w:rFonts w:ascii="宋体"/>
          <w:b/>
          <w:sz w:val="20"/>
        </w:rPr>
      </w:pPr>
      <w:r>
        <mc:AlternateContent>
          <mc:Choice Requires="wps">
            <w:drawing>
              <wp:anchor distT="0" distB="0" distL="114300" distR="114300" simplePos="0" relativeHeight="251681792" behindDoc="0" locked="0" layoutInCell="1" allowOverlap="1">
                <wp:simplePos x="0" y="0"/>
                <wp:positionH relativeFrom="page">
                  <wp:posOffset>963930</wp:posOffset>
                </wp:positionH>
                <wp:positionV relativeFrom="page">
                  <wp:posOffset>715645</wp:posOffset>
                </wp:positionV>
                <wp:extent cx="8769350" cy="6034405"/>
                <wp:effectExtent l="0" t="0" r="0" b="0"/>
                <wp:wrapNone/>
                <wp:docPr id="24" name="文本框 28"/>
                <wp:cNvGraphicFramePr/>
                <a:graphic xmlns:a="http://schemas.openxmlformats.org/drawingml/2006/main">
                  <a:graphicData uri="http://schemas.microsoft.com/office/word/2010/wordprocessingShape">
                    <wps:wsp>
                      <wps:cNvSpPr txBox="1"/>
                      <wps:spPr>
                        <a:xfrm>
                          <a:off x="0" y="0"/>
                          <a:ext cx="8769350" cy="6034405"/>
                        </a:xfrm>
                        <a:prstGeom prst="rect">
                          <a:avLst/>
                        </a:prstGeom>
                        <a:noFill/>
                        <a:ln>
                          <a:noFill/>
                        </a:ln>
                      </wps:spPr>
                      <wps:txbx>
                        <w:txbxContent>
                          <w:tbl>
                            <w:tblPr>
                              <w:tblStyle w:val="1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34"/>
                              <w:gridCol w:w="426"/>
                              <w:gridCol w:w="4819"/>
                              <w:gridCol w:w="1276"/>
                              <w:gridCol w:w="567"/>
                              <w:gridCol w:w="709"/>
                              <w:gridCol w:w="48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17" w:hRule="atLeast"/>
                              </w:trPr>
                              <w:tc>
                                <w:tcPr>
                                  <w:tcW w:w="1134" w:type="dxa"/>
                                  <w:tcBorders>
                                    <w:bottom w:val="single" w:color="000000" w:sz="4" w:space="0"/>
                                    <w:right w:val="single" w:color="000000" w:sz="4" w:space="0"/>
                                  </w:tcBorders>
                                </w:tcPr>
                                <w:p>
                                  <w:pPr>
                                    <w:pStyle w:val="24"/>
                                    <w:rPr>
                                      <w:rFonts w:ascii="宋体"/>
                                      <w:sz w:val="20"/>
                                    </w:rPr>
                                  </w:pPr>
                                </w:p>
                                <w:p>
                                  <w:pPr>
                                    <w:pStyle w:val="24"/>
                                    <w:rPr>
                                      <w:rFonts w:ascii="宋体"/>
                                      <w:sz w:val="20"/>
                                    </w:rPr>
                                  </w:pPr>
                                </w:p>
                                <w:p>
                                  <w:pPr>
                                    <w:pStyle w:val="24"/>
                                    <w:spacing w:before="5"/>
                                    <w:rPr>
                                      <w:rFonts w:ascii="宋体"/>
                                      <w:sz w:val="20"/>
                                    </w:rPr>
                                  </w:pPr>
                                </w:p>
                                <w:p>
                                  <w:pPr>
                                    <w:pStyle w:val="24"/>
                                    <w:spacing w:before="1"/>
                                    <w:ind w:left="125" w:right="113"/>
                                    <w:jc w:val="center"/>
                                    <w:rPr>
                                      <w:rFonts w:ascii="宋体" w:eastAsia="宋体"/>
                                      <w:sz w:val="21"/>
                                    </w:rPr>
                                  </w:pPr>
                                  <w:r>
                                    <w:rPr>
                                      <w:rFonts w:hint="eastAsia" w:ascii="宋体" w:eastAsia="宋体"/>
                                      <w:sz w:val="21"/>
                                    </w:rPr>
                                    <w:t>封面目录</w:t>
                                  </w:r>
                                </w:p>
                              </w:tc>
                              <w:tc>
                                <w:tcPr>
                                  <w:tcW w:w="426" w:type="dxa"/>
                                  <w:tcBorders>
                                    <w:left w:val="single" w:color="000000" w:sz="4" w:space="0"/>
                                    <w:bottom w:val="single" w:color="000000" w:sz="4" w:space="0"/>
                                    <w:right w:val="single" w:color="000000" w:sz="4" w:space="0"/>
                                  </w:tcBorders>
                                </w:tcPr>
                                <w:p>
                                  <w:pPr>
                                    <w:pStyle w:val="24"/>
                                    <w:rPr>
                                      <w:rFonts w:ascii="宋体"/>
                                    </w:rPr>
                                  </w:pPr>
                                </w:p>
                                <w:p>
                                  <w:pPr>
                                    <w:pStyle w:val="24"/>
                                    <w:rPr>
                                      <w:rFonts w:ascii="宋体"/>
                                    </w:rPr>
                                  </w:pPr>
                                </w:p>
                                <w:p>
                                  <w:pPr>
                                    <w:pStyle w:val="24"/>
                                    <w:spacing w:before="2"/>
                                    <w:rPr>
                                      <w:rFonts w:ascii="宋体"/>
                                      <w:sz w:val="16"/>
                                    </w:rPr>
                                  </w:pPr>
                                </w:p>
                                <w:p>
                                  <w:pPr>
                                    <w:pStyle w:val="24"/>
                                    <w:ind w:left="92" w:right="73"/>
                                    <w:jc w:val="center"/>
                                    <w:rPr>
                                      <w:rFonts w:ascii="宋体"/>
                                      <w:sz w:val="10"/>
                                    </w:rPr>
                                  </w:pPr>
                                  <w:r>
                                    <w:rPr>
                                      <w:rFonts w:ascii="宋体"/>
                                      <w:spacing w:val="1"/>
                                      <w:w w:val="99"/>
                                      <w:position w:val="-9"/>
                                      <w:sz w:val="21"/>
                                    </w:rPr>
                                    <w:t>1</w:t>
                                  </w:r>
                                  <w:r>
                                    <w:rPr>
                                      <w:rFonts w:ascii="宋体"/>
                                      <w:w w:val="106"/>
                                      <w:sz w:val="10"/>
                                    </w:rPr>
                                    <w:t>a</w:t>
                                  </w:r>
                                </w:p>
                              </w:tc>
                              <w:tc>
                                <w:tcPr>
                                  <w:tcW w:w="4819" w:type="dxa"/>
                                  <w:tcBorders>
                                    <w:left w:val="single" w:color="000000" w:sz="4" w:space="0"/>
                                    <w:bottom w:val="single" w:color="000000" w:sz="4" w:space="0"/>
                                    <w:right w:val="single" w:color="000000" w:sz="4" w:space="0"/>
                                  </w:tcBorders>
                                </w:tcPr>
                                <w:p>
                                  <w:pPr>
                                    <w:pStyle w:val="24"/>
                                    <w:rPr>
                                      <w:rFonts w:ascii="宋体"/>
                                      <w:sz w:val="20"/>
                                    </w:rPr>
                                  </w:pPr>
                                </w:p>
                                <w:p>
                                  <w:pPr>
                                    <w:pStyle w:val="24"/>
                                    <w:spacing w:before="3"/>
                                    <w:rPr>
                                      <w:rFonts w:ascii="宋体"/>
                                      <w:sz w:val="19"/>
                                    </w:rPr>
                                  </w:pPr>
                                </w:p>
                                <w:p>
                                  <w:pPr>
                                    <w:pStyle w:val="24"/>
                                    <w:spacing w:line="242" w:lineRule="auto"/>
                                    <w:ind w:left="60" w:right="42"/>
                                    <w:rPr>
                                      <w:rFonts w:ascii="宋体" w:eastAsia="宋体"/>
                                      <w:sz w:val="21"/>
                                    </w:rPr>
                                  </w:pPr>
                                  <w:r>
                                    <w:rPr>
                                      <w:rFonts w:hint="eastAsia" w:ascii="宋体" w:eastAsia="宋体"/>
                                      <w:spacing w:val="3"/>
                                      <w:w w:val="95"/>
                                      <w:sz w:val="21"/>
                                    </w:rPr>
                                    <w:t xml:space="preserve">封面有环境应急预案、预案编制单位名称，预留正 </w:t>
                                  </w:r>
                                  <w:r>
                                    <w:rPr>
                                      <w:rFonts w:hint="eastAsia" w:ascii="宋体" w:eastAsia="宋体"/>
                                      <w:spacing w:val="3"/>
                                      <w:sz w:val="21"/>
                                    </w:rPr>
                                    <w:t>式发布预案的版本号、发布日期等设计；</w:t>
                                  </w:r>
                                </w:p>
                                <w:p>
                                  <w:pPr>
                                    <w:pStyle w:val="24"/>
                                    <w:spacing w:before="2"/>
                                    <w:ind w:left="60"/>
                                    <w:rPr>
                                      <w:rFonts w:ascii="宋体" w:eastAsia="宋体"/>
                                      <w:sz w:val="21"/>
                                    </w:rPr>
                                  </w:pPr>
                                  <w:r>
                                    <w:rPr>
                                      <w:rFonts w:hint="eastAsia" w:ascii="宋体" w:eastAsia="宋体"/>
                                      <w:sz w:val="21"/>
                                    </w:rPr>
                                    <w:t>目录有编号、标题和页码，一般至少设置两级目录</w:t>
                                  </w:r>
                                </w:p>
                              </w:tc>
                              <w:tc>
                                <w:tcPr>
                                  <w:tcW w:w="1276" w:type="dxa"/>
                                  <w:tcBorders>
                                    <w:left w:val="single" w:color="000000" w:sz="4" w:space="0"/>
                                    <w:bottom w:val="single" w:color="000000" w:sz="4" w:space="0"/>
                                    <w:right w:val="single" w:color="000000" w:sz="4" w:space="0"/>
                                  </w:tcBorders>
                                </w:tcPr>
                                <w:p>
                                  <w:pPr>
                                    <w:pStyle w:val="24"/>
                                    <w:rPr>
                                      <w:rFonts w:ascii="宋体"/>
                                      <w:sz w:val="20"/>
                                    </w:rPr>
                                  </w:pPr>
                                </w:p>
                                <w:p>
                                  <w:pPr>
                                    <w:pStyle w:val="24"/>
                                    <w:spacing w:before="3"/>
                                    <w:rPr>
                                      <w:rFonts w:ascii="宋体"/>
                                      <w:sz w:val="19"/>
                                    </w:rPr>
                                  </w:pPr>
                                </w:p>
                                <w:p>
                                  <w:pPr>
                                    <w:pStyle w:val="24"/>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3"/>
                                    <w:ind w:left="60"/>
                                    <w:rPr>
                                      <w:rFonts w:ascii="宋体" w:hAnsi="宋体" w:eastAsia="宋体"/>
                                      <w:sz w:val="21"/>
                                    </w:rPr>
                                  </w:pPr>
                                  <w:r>
                                    <w:rPr>
                                      <w:rFonts w:hint="eastAsia" w:ascii="宋体" w:hAnsi="宋体" w:eastAsia="宋体"/>
                                      <w:sz w:val="21"/>
                                    </w:rPr>
                                    <w:t>□部分符合</w:t>
                                  </w:r>
                                </w:p>
                                <w:p>
                                  <w:pPr>
                                    <w:pStyle w:val="24"/>
                                    <w:spacing w:before="4"/>
                                    <w:ind w:left="60"/>
                                    <w:rPr>
                                      <w:rFonts w:ascii="宋体" w:hAnsi="宋体" w:eastAsia="宋体"/>
                                      <w:sz w:val="21"/>
                                    </w:rPr>
                                  </w:pPr>
                                  <w:r>
                                    <w:rPr>
                                      <w:rFonts w:hint="eastAsia" w:ascii="宋体" w:hAnsi="宋体" w:eastAsia="宋体"/>
                                      <w:sz w:val="21"/>
                                    </w:rPr>
                                    <w:t>□不符合</w:t>
                                  </w:r>
                                </w:p>
                              </w:tc>
                              <w:tc>
                                <w:tcPr>
                                  <w:tcW w:w="567" w:type="dxa"/>
                                  <w:tcBorders>
                                    <w:left w:val="single" w:color="000000" w:sz="4" w:space="0"/>
                                    <w:bottom w:val="single" w:color="000000" w:sz="4" w:space="0"/>
                                    <w:right w:val="single" w:color="000000" w:sz="4" w:space="0"/>
                                  </w:tcBorders>
                                </w:tcPr>
                                <w:p>
                                  <w:pPr>
                                    <w:pStyle w:val="24"/>
                                    <w:rPr>
                                      <w:rFonts w:ascii="Times New Roman"/>
                                      <w:sz w:val="20"/>
                                    </w:rPr>
                                  </w:pPr>
                                </w:p>
                              </w:tc>
                              <w:tc>
                                <w:tcPr>
                                  <w:tcW w:w="709" w:type="dxa"/>
                                  <w:tcBorders>
                                    <w:left w:val="single" w:color="000000" w:sz="4" w:space="0"/>
                                    <w:bottom w:val="single" w:color="000000" w:sz="4" w:space="0"/>
                                    <w:right w:val="single" w:color="000000" w:sz="4" w:space="0"/>
                                  </w:tcBorders>
                                </w:tcPr>
                                <w:p>
                                  <w:pPr>
                                    <w:pStyle w:val="24"/>
                                    <w:rPr>
                                      <w:rFonts w:ascii="Times New Roman"/>
                                      <w:sz w:val="20"/>
                                    </w:rPr>
                                  </w:pPr>
                                </w:p>
                              </w:tc>
                              <w:tc>
                                <w:tcPr>
                                  <w:tcW w:w="4850" w:type="dxa"/>
                                  <w:tcBorders>
                                    <w:left w:val="single" w:color="000000" w:sz="4" w:space="0"/>
                                    <w:bottom w:val="single" w:color="000000" w:sz="4" w:space="0"/>
                                  </w:tcBorders>
                                </w:tcPr>
                                <w:p>
                                  <w:pPr>
                                    <w:pStyle w:val="24"/>
                                    <w:spacing w:before="1"/>
                                    <w:rPr>
                                      <w:rFonts w:ascii="宋体"/>
                                      <w:sz w:val="18"/>
                                    </w:rPr>
                                  </w:pPr>
                                </w:p>
                                <w:p>
                                  <w:pPr>
                                    <w:pStyle w:val="24"/>
                                    <w:spacing w:line="242" w:lineRule="auto"/>
                                    <w:ind w:left="62" w:right="37"/>
                                    <w:jc w:val="both"/>
                                    <w:rPr>
                                      <w:rFonts w:ascii="宋体" w:eastAsia="宋体"/>
                                      <w:sz w:val="21"/>
                                    </w:rPr>
                                  </w:pPr>
                                  <w:r>
                                    <w:rPr>
                                      <w:rFonts w:hint="eastAsia" w:ascii="宋体" w:eastAsia="宋体"/>
                                      <w:spacing w:val="-8"/>
                                      <w:w w:val="95"/>
                                      <w:sz w:val="21"/>
                                    </w:rPr>
                                    <w:t xml:space="preserve">预案版本号指为便于索引、回溯而在发布时赋予预案 </w:t>
                                  </w:r>
                                  <w:r>
                                    <w:rPr>
                                      <w:rFonts w:hint="eastAsia" w:ascii="宋体" w:eastAsia="宋体"/>
                                      <w:spacing w:val="-12"/>
                                      <w:w w:val="95"/>
                                      <w:sz w:val="21"/>
                                    </w:rPr>
                                    <w:t xml:space="preserve">的标识号，企业可以按照内部技术文件版本号管理要 </w:t>
                                  </w:r>
                                  <w:r>
                                    <w:rPr>
                                      <w:rFonts w:hint="eastAsia" w:ascii="宋体" w:eastAsia="宋体"/>
                                      <w:spacing w:val="-12"/>
                                      <w:sz w:val="21"/>
                                    </w:rPr>
                                    <w:t>求执行；</w:t>
                                  </w:r>
                                </w:p>
                                <w:p>
                                  <w:pPr>
                                    <w:pStyle w:val="24"/>
                                    <w:spacing w:before="1" w:line="242" w:lineRule="auto"/>
                                    <w:ind w:left="62" w:right="37"/>
                                    <w:rPr>
                                      <w:rFonts w:ascii="宋体" w:eastAsia="宋体"/>
                                      <w:sz w:val="21"/>
                                    </w:rPr>
                                  </w:pPr>
                                  <w:r>
                                    <w:rPr>
                                      <w:rFonts w:hint="eastAsia" w:ascii="宋体" w:eastAsia="宋体"/>
                                      <w:spacing w:val="-8"/>
                                      <w:w w:val="95"/>
                                      <w:sz w:val="21"/>
                                    </w:rPr>
                                    <w:t xml:space="preserve">预案各章节可以有多级标题，但在目录中至少列出两 </w:t>
                                  </w:r>
                                  <w:r>
                                    <w:rPr>
                                      <w:rFonts w:hint="eastAsia" w:ascii="宋体" w:eastAsia="宋体"/>
                                      <w:spacing w:val="-8"/>
                                      <w:sz w:val="21"/>
                                    </w:rPr>
                                    <w:t>级标题，便于查找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50" w:hRule="atLeast"/>
                              </w:trPr>
                              <w:tc>
                                <w:tcPr>
                                  <w:tcW w:w="1134" w:type="dxa"/>
                                  <w:tcBorders>
                                    <w:top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spacing w:before="8"/>
                                    <w:rPr>
                                      <w:rFonts w:ascii="宋体"/>
                                      <w:sz w:val="25"/>
                                    </w:rPr>
                                  </w:pPr>
                                </w:p>
                                <w:p>
                                  <w:pPr>
                                    <w:pStyle w:val="24"/>
                                    <w:ind w:left="122" w:right="113"/>
                                    <w:jc w:val="center"/>
                                    <w:rPr>
                                      <w:rFonts w:ascii="宋体" w:eastAsia="宋体"/>
                                      <w:sz w:val="21"/>
                                    </w:rPr>
                                  </w:pPr>
                                  <w:r>
                                    <w:rPr>
                                      <w:rFonts w:hint="eastAsia" w:ascii="宋体" w:eastAsia="宋体"/>
                                      <w:sz w:val="21"/>
                                    </w:rPr>
                                    <w:t>结构</w:t>
                                  </w: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rPr>
                                  </w:pPr>
                                </w:p>
                                <w:p>
                                  <w:pPr>
                                    <w:pStyle w:val="24"/>
                                    <w:rPr>
                                      <w:rFonts w:ascii="宋体"/>
                                    </w:rPr>
                                  </w:pPr>
                                </w:p>
                                <w:p>
                                  <w:pPr>
                                    <w:pStyle w:val="24"/>
                                    <w:spacing w:before="12"/>
                                    <w:rPr>
                                      <w:rFonts w:ascii="宋体"/>
                                      <w:sz w:val="21"/>
                                    </w:rPr>
                                  </w:pPr>
                                </w:p>
                                <w:p>
                                  <w:pPr>
                                    <w:pStyle w:val="24"/>
                                    <w:ind w:left="92" w:right="73"/>
                                    <w:jc w:val="center"/>
                                    <w:rPr>
                                      <w:rFonts w:ascii="宋体"/>
                                      <w:sz w:val="10"/>
                                    </w:rPr>
                                  </w:pPr>
                                  <w:r>
                                    <w:rPr>
                                      <w:rFonts w:ascii="宋体"/>
                                      <w:spacing w:val="1"/>
                                      <w:w w:val="99"/>
                                      <w:position w:val="-10"/>
                                      <w:sz w:val="21"/>
                                    </w:rPr>
                                    <w:t>2</w:t>
                                  </w:r>
                                  <w:r>
                                    <w:rPr>
                                      <w:rFonts w:ascii="宋体"/>
                                      <w:w w:val="106"/>
                                      <w:sz w:val="10"/>
                                    </w:rPr>
                                    <w:t>a</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spacing w:before="8"/>
                                    <w:rPr>
                                      <w:rFonts w:ascii="宋体"/>
                                      <w:sz w:val="25"/>
                                    </w:rPr>
                                  </w:pPr>
                                </w:p>
                                <w:p>
                                  <w:pPr>
                                    <w:pStyle w:val="24"/>
                                    <w:ind w:left="60"/>
                                    <w:rPr>
                                      <w:rFonts w:ascii="宋体" w:eastAsia="宋体"/>
                                      <w:sz w:val="21"/>
                                    </w:rPr>
                                  </w:pPr>
                                  <w:r>
                                    <w:rPr>
                                      <w:rFonts w:hint="eastAsia" w:ascii="宋体" w:eastAsia="宋体"/>
                                      <w:sz w:val="21"/>
                                    </w:rPr>
                                    <w:t>结构完整，格式规范</w:t>
                                  </w:r>
                                </w:p>
                              </w:tc>
                              <w:tc>
                                <w:tcPr>
                                  <w:tcW w:w="127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3"/>
                                    <w:rPr>
                                      <w:rFonts w:ascii="宋体"/>
                                      <w:sz w:val="24"/>
                                    </w:rPr>
                                  </w:pPr>
                                </w:p>
                                <w:p>
                                  <w:pPr>
                                    <w:pStyle w:val="24"/>
                                    <w:ind w:left="60"/>
                                    <w:rPr>
                                      <w:rFonts w:ascii="宋体" w:hAnsi="宋体" w:eastAsia="宋体"/>
                                      <w:sz w:val="21"/>
                                    </w:rPr>
                                  </w:pP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5"/>
                                    <w:ind w:left="60"/>
                                    <w:rPr>
                                      <w:rFonts w:ascii="宋体" w:hAnsi="宋体" w:eastAsia="宋体"/>
                                      <w:sz w:val="21"/>
                                    </w:rPr>
                                  </w:pPr>
                                  <w:r>
                                    <w:rPr>
                                      <w:rFonts w:hint="eastAsia" w:ascii="宋体" w:hAnsi="宋体" w:eastAsia="宋体"/>
                                      <w:sz w:val="21"/>
                                    </w:rPr>
                                    <w:t>□不符合</w:t>
                                  </w:r>
                                </w:p>
                              </w:tc>
                              <w:tc>
                                <w:tcPr>
                                  <w:tcW w:w="56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70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1"/>
                                    <w:rPr>
                                      <w:rFonts w:ascii="宋体"/>
                                      <w:sz w:val="23"/>
                                    </w:rPr>
                                  </w:pPr>
                                </w:p>
                                <w:p>
                                  <w:pPr>
                                    <w:pStyle w:val="24"/>
                                    <w:spacing w:line="242" w:lineRule="auto"/>
                                    <w:ind w:left="62" w:right="37"/>
                                    <w:rPr>
                                      <w:rFonts w:ascii="宋体" w:eastAsia="宋体"/>
                                      <w:sz w:val="21"/>
                                    </w:rPr>
                                  </w:pPr>
                                  <w:r>
                                    <w:rPr>
                                      <w:rFonts w:hint="eastAsia" w:ascii="宋体" w:eastAsia="宋体"/>
                                      <w:spacing w:val="-7"/>
                                      <w:w w:val="95"/>
                                      <w:sz w:val="21"/>
                                    </w:rPr>
                                    <w:t xml:space="preserve">结构完整指预案文件布局合理、层次分明，无错漏章 </w:t>
                                  </w:r>
                                  <w:r>
                                    <w:rPr>
                                      <w:rFonts w:hint="eastAsia" w:ascii="宋体" w:eastAsia="宋体"/>
                                      <w:spacing w:val="-16"/>
                                      <w:sz w:val="21"/>
                                    </w:rPr>
                                    <w:t>节、段落；正文对附件的引用、说明等，与附件索引附件一致；</w:t>
                                  </w:r>
                                </w:p>
                                <w:p>
                                  <w:pPr>
                                    <w:pStyle w:val="24"/>
                                    <w:spacing w:before="1" w:line="242" w:lineRule="auto"/>
                                    <w:ind w:left="62" w:right="37"/>
                                    <w:rPr>
                                      <w:rFonts w:ascii="宋体" w:eastAsia="宋体"/>
                                      <w:sz w:val="21"/>
                                    </w:rPr>
                                  </w:pPr>
                                  <w:r>
                                    <w:rPr>
                                      <w:rFonts w:hint="eastAsia" w:ascii="宋体" w:eastAsia="宋体"/>
                                      <w:spacing w:val="-5"/>
                                      <w:w w:val="95"/>
                                      <w:sz w:val="21"/>
                                    </w:rPr>
                                    <w:t xml:space="preserve">格式规范指预案文件符合企业内部公文格式标准，或 </w:t>
                                  </w:r>
                                  <w:r>
                                    <w:rPr>
                                      <w:rFonts w:hint="eastAsia" w:ascii="宋体" w:eastAsia="宋体"/>
                                      <w:spacing w:val="-5"/>
                                      <w:sz w:val="21"/>
                                    </w:rPr>
                                    <w:t>文件字体、字号、版式、层次等遵循一定的规范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3" w:hRule="atLeast"/>
                              </w:trPr>
                              <w:tc>
                                <w:tcPr>
                                  <w:tcW w:w="1134" w:type="dxa"/>
                                  <w:tcBorders>
                                    <w:top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spacing w:before="9"/>
                                    <w:rPr>
                                      <w:rFonts w:ascii="宋体"/>
                                      <w:sz w:val="18"/>
                                    </w:rPr>
                                  </w:pPr>
                                </w:p>
                                <w:p>
                                  <w:pPr>
                                    <w:pStyle w:val="24"/>
                                    <w:spacing w:before="1"/>
                                    <w:ind w:left="122" w:right="113"/>
                                    <w:jc w:val="center"/>
                                    <w:rPr>
                                      <w:rFonts w:ascii="宋体" w:eastAsia="宋体"/>
                                      <w:sz w:val="21"/>
                                    </w:rPr>
                                  </w:pPr>
                                  <w:r>
                                    <w:rPr>
                                      <w:rFonts w:hint="eastAsia" w:ascii="宋体" w:eastAsia="宋体"/>
                                      <w:sz w:val="21"/>
                                    </w:rPr>
                                    <w:t>行文</w:t>
                                  </w: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rPr>
                                  </w:pPr>
                                </w:p>
                                <w:p>
                                  <w:pPr>
                                    <w:pStyle w:val="24"/>
                                    <w:rPr>
                                      <w:rFonts w:ascii="宋体"/>
                                    </w:rPr>
                                  </w:pPr>
                                </w:p>
                                <w:p>
                                  <w:pPr>
                                    <w:pStyle w:val="24"/>
                                    <w:rPr>
                                      <w:rFonts w:ascii="宋体"/>
                                    </w:rPr>
                                  </w:pPr>
                                </w:p>
                                <w:p>
                                  <w:pPr>
                                    <w:pStyle w:val="24"/>
                                    <w:rPr>
                                      <w:rFonts w:ascii="宋体"/>
                                    </w:rPr>
                                  </w:pPr>
                                </w:p>
                                <w:p>
                                  <w:pPr>
                                    <w:pStyle w:val="24"/>
                                    <w:spacing w:before="142"/>
                                    <w:ind w:left="92" w:right="73"/>
                                    <w:jc w:val="center"/>
                                    <w:rPr>
                                      <w:rFonts w:ascii="宋体"/>
                                      <w:sz w:val="10"/>
                                    </w:rPr>
                                  </w:pPr>
                                  <w:r>
                                    <w:rPr>
                                      <w:rFonts w:ascii="宋体"/>
                                      <w:spacing w:val="1"/>
                                      <w:w w:val="99"/>
                                      <w:position w:val="-10"/>
                                      <w:sz w:val="21"/>
                                    </w:rPr>
                                    <w:t>3</w:t>
                                  </w:r>
                                  <w:r>
                                    <w:rPr>
                                      <w:rFonts w:ascii="宋体"/>
                                      <w:w w:val="106"/>
                                      <w:sz w:val="10"/>
                                    </w:rPr>
                                    <w:t>a</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spacing w:before="9"/>
                                    <w:rPr>
                                      <w:rFonts w:ascii="宋体"/>
                                      <w:sz w:val="18"/>
                                    </w:rPr>
                                  </w:pPr>
                                </w:p>
                                <w:p>
                                  <w:pPr>
                                    <w:pStyle w:val="24"/>
                                    <w:spacing w:before="1"/>
                                    <w:ind w:left="60"/>
                                    <w:rPr>
                                      <w:rFonts w:ascii="宋体" w:eastAsia="宋体"/>
                                      <w:sz w:val="21"/>
                                    </w:rPr>
                                  </w:pPr>
                                  <w:r>
                                    <w:rPr>
                                      <w:rFonts w:hint="eastAsia" w:ascii="宋体" w:eastAsia="宋体"/>
                                      <w:sz w:val="21"/>
                                    </w:rPr>
                                    <w:t>文字准确，语言通顺，内容简明</w:t>
                                  </w:r>
                                </w:p>
                              </w:tc>
                              <w:tc>
                                <w:tcPr>
                                  <w:tcW w:w="127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rPr>
                                      <w:rFonts w:ascii="宋体"/>
                                      <w:sz w:val="20"/>
                                    </w:rPr>
                                  </w:pPr>
                                </w:p>
                                <w:p>
                                  <w:pPr>
                                    <w:pStyle w:val="24"/>
                                    <w:spacing w:before="5"/>
                                    <w:rPr>
                                      <w:rFonts w:ascii="宋体"/>
                                      <w:sz w:val="17"/>
                                    </w:rPr>
                                  </w:pPr>
                                </w:p>
                                <w:p>
                                  <w:pPr>
                                    <w:pStyle w:val="24"/>
                                    <w:ind w:left="60"/>
                                    <w:rPr>
                                      <w:rFonts w:ascii="宋体" w:hAnsi="宋体" w:eastAsia="宋体"/>
                                      <w:sz w:val="21"/>
                                    </w:rPr>
                                  </w:pPr>
                                  <w:r>
                                    <w:rPr>
                                      <w:rFonts w:hint="eastAsia" w:ascii="宋体" w:hAnsi="宋体" w:eastAsia="宋体"/>
                                      <w:sz w:val="21"/>
                                    </w:rPr>
                                    <w:t>□符合</w:t>
                                  </w:r>
                                </w:p>
                                <w:p>
                                  <w:pPr>
                                    <w:pStyle w:val="24"/>
                                    <w:spacing w:before="5"/>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56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70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5"/>
                                    <w:rPr>
                                      <w:rFonts w:ascii="宋体"/>
                                      <w:sz w:val="24"/>
                                    </w:rPr>
                                  </w:pPr>
                                </w:p>
                                <w:p>
                                  <w:pPr>
                                    <w:pStyle w:val="24"/>
                                    <w:spacing w:line="242" w:lineRule="auto"/>
                                    <w:ind w:left="62" w:right="138"/>
                                    <w:rPr>
                                      <w:rFonts w:ascii="宋体" w:eastAsia="宋体"/>
                                      <w:sz w:val="21"/>
                                    </w:rPr>
                                  </w:pPr>
                                  <w:r>
                                    <w:rPr>
                                      <w:rFonts w:hint="eastAsia" w:ascii="宋体" w:eastAsia="宋体"/>
                                      <w:spacing w:val="-12"/>
                                      <w:w w:val="95"/>
                                      <w:sz w:val="21"/>
                                    </w:rPr>
                                    <w:t xml:space="preserve">文字准确是指无明显错别字、多字、漏字、语句错误 </w:t>
                                  </w:r>
                                  <w:r>
                                    <w:rPr>
                                      <w:rFonts w:hint="eastAsia" w:ascii="宋体" w:eastAsia="宋体"/>
                                      <w:spacing w:val="-12"/>
                                      <w:sz w:val="21"/>
                                    </w:rPr>
                                    <w:t>数据错误、时间错误等现象；</w:t>
                                  </w:r>
                                </w:p>
                                <w:p>
                                  <w:pPr>
                                    <w:pStyle w:val="24"/>
                                    <w:spacing w:before="1" w:line="244" w:lineRule="auto"/>
                                    <w:ind w:left="62" w:right="138"/>
                                    <w:rPr>
                                      <w:rFonts w:ascii="宋体" w:eastAsia="宋体"/>
                                      <w:sz w:val="21"/>
                                    </w:rPr>
                                  </w:pPr>
                                  <w:r>
                                    <w:rPr>
                                      <w:rFonts w:hint="eastAsia" w:ascii="宋体" w:eastAsia="宋体"/>
                                      <w:spacing w:val="-15"/>
                                      <w:w w:val="95"/>
                                      <w:sz w:val="21"/>
                                    </w:rPr>
                                    <w:t xml:space="preserve">语言通顺是指语言规范、连贯、易懂，合乎事理逻辑 </w:t>
                                  </w:r>
                                  <w:r>
                                    <w:rPr>
                                      <w:rFonts w:hint="eastAsia" w:ascii="宋体" w:eastAsia="宋体"/>
                                      <w:spacing w:val="-15"/>
                                      <w:sz w:val="21"/>
                                    </w:rPr>
                                    <w:t>关键内容不会产生歧义等；</w:t>
                                  </w:r>
                                </w:p>
                                <w:p>
                                  <w:pPr>
                                    <w:pStyle w:val="24"/>
                                    <w:spacing w:line="242" w:lineRule="auto"/>
                                    <w:ind w:left="62" w:right="37"/>
                                    <w:jc w:val="both"/>
                                    <w:rPr>
                                      <w:rFonts w:ascii="宋体" w:eastAsia="宋体"/>
                                      <w:sz w:val="21"/>
                                    </w:rPr>
                                  </w:pPr>
                                  <w:r>
                                    <w:rPr>
                                      <w:rFonts w:hint="eastAsia" w:ascii="宋体" w:eastAsia="宋体"/>
                                      <w:spacing w:val="-7"/>
                                      <w:w w:val="95"/>
                                      <w:sz w:val="21"/>
                                    </w:rPr>
                                    <w:t xml:space="preserve">内容简明是指环境应急预案、环境风险评估报告、环 </w:t>
                                  </w:r>
                                  <w:r>
                                    <w:rPr>
                                      <w:rFonts w:hint="eastAsia" w:ascii="宋体" w:eastAsia="宋体"/>
                                      <w:spacing w:val="-14"/>
                                      <w:w w:val="95"/>
                                      <w:sz w:val="21"/>
                                    </w:rPr>
                                    <w:t xml:space="preserve">境应急资源调查报告独立成文，预案正文和附件内容 </w:t>
                                  </w:r>
                                  <w:r>
                                    <w:rPr>
                                      <w:rFonts w:hint="eastAsia" w:ascii="宋体" w:eastAsia="宋体"/>
                                      <w:spacing w:val="-13"/>
                                      <w:w w:val="95"/>
                                      <w:sz w:val="21"/>
                                    </w:rPr>
                                    <w:t xml:space="preserve">分配合理，应对措施等重点信息容易找到，内容上无 </w:t>
                                  </w:r>
                                  <w:r>
                                    <w:rPr>
                                      <w:rFonts w:hint="eastAsia" w:ascii="宋体" w:eastAsia="宋体"/>
                                      <w:spacing w:val="-13"/>
                                      <w:sz w:val="21"/>
                                    </w:rPr>
                                    <w:t>简单重复、大量互相引用等现象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7" w:hRule="atLeast"/>
                              </w:trPr>
                              <w:tc>
                                <w:tcPr>
                                  <w:tcW w:w="13781" w:type="dxa"/>
                                  <w:gridSpan w:val="7"/>
                                  <w:tcBorders>
                                    <w:top w:val="single" w:color="000000" w:sz="4" w:space="0"/>
                                    <w:bottom w:val="single" w:color="000000" w:sz="4" w:space="0"/>
                                  </w:tcBorders>
                                </w:tcPr>
                                <w:p>
                                  <w:pPr>
                                    <w:pStyle w:val="24"/>
                                    <w:spacing w:before="113"/>
                                    <w:ind w:left="2877" w:right="2862"/>
                                    <w:jc w:val="center"/>
                                    <w:rPr>
                                      <w:rFonts w:ascii="黑体" w:eastAsia="黑体"/>
                                      <w:sz w:val="21"/>
                                    </w:rPr>
                                  </w:pPr>
                                  <w:r>
                                    <w:rPr>
                                      <w:rFonts w:hint="eastAsia" w:ascii="黑体" w:eastAsia="黑体"/>
                                      <w:sz w:val="21"/>
                                    </w:rPr>
                                    <w:t>环境应急预案编制说明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8" w:hRule="atLeast"/>
                              </w:trPr>
                              <w:tc>
                                <w:tcPr>
                                  <w:tcW w:w="1134" w:type="dxa"/>
                                  <w:tcBorders>
                                    <w:top w:val="single" w:color="000000" w:sz="4" w:space="0"/>
                                    <w:bottom w:val="single" w:color="000000" w:sz="4" w:space="0"/>
                                    <w:right w:val="single" w:color="000000" w:sz="4" w:space="0"/>
                                  </w:tcBorders>
                                </w:tcPr>
                                <w:p>
                                  <w:pPr>
                                    <w:pStyle w:val="24"/>
                                    <w:rPr>
                                      <w:rFonts w:ascii="宋体"/>
                                      <w:sz w:val="20"/>
                                    </w:rPr>
                                  </w:pPr>
                                </w:p>
                                <w:p>
                                  <w:pPr>
                                    <w:pStyle w:val="24"/>
                                    <w:spacing w:before="151"/>
                                    <w:ind w:left="125" w:right="113"/>
                                    <w:jc w:val="center"/>
                                    <w:rPr>
                                      <w:rFonts w:ascii="宋体" w:eastAsia="宋体"/>
                                      <w:sz w:val="21"/>
                                    </w:rPr>
                                  </w:pPr>
                                  <w:r>
                                    <w:rPr>
                                      <w:rFonts w:hint="eastAsia" w:ascii="宋体" w:eastAsia="宋体"/>
                                      <w:sz w:val="21"/>
                                    </w:rPr>
                                    <w:t>过程说明</w:t>
                                  </w: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7"/>
                                    <w:rPr>
                                      <w:rFonts w:ascii="宋体"/>
                                      <w:sz w:val="31"/>
                                    </w:rPr>
                                  </w:pPr>
                                </w:p>
                                <w:p>
                                  <w:pPr>
                                    <w:pStyle w:val="24"/>
                                    <w:ind w:left="92" w:right="73"/>
                                    <w:jc w:val="center"/>
                                    <w:rPr>
                                      <w:rFonts w:ascii="宋体"/>
                                      <w:sz w:val="10"/>
                                    </w:rPr>
                                  </w:pPr>
                                  <w:r>
                                    <w:rPr>
                                      <w:rFonts w:ascii="宋体"/>
                                      <w:spacing w:val="1"/>
                                      <w:w w:val="99"/>
                                      <w:position w:val="-9"/>
                                      <w:sz w:val="21"/>
                                    </w:rPr>
                                    <w:t>4</w:t>
                                  </w:r>
                                  <w:r>
                                    <w:rPr>
                                      <w:rFonts w:ascii="宋体"/>
                                      <w:w w:val="106"/>
                                      <w:sz w:val="10"/>
                                    </w:rPr>
                                    <w:t>a</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151"/>
                                    <w:ind w:left="60"/>
                                    <w:rPr>
                                      <w:rFonts w:ascii="宋体" w:eastAsia="宋体"/>
                                      <w:sz w:val="21"/>
                                    </w:rPr>
                                  </w:pPr>
                                  <w:r>
                                    <w:rPr>
                                      <w:rFonts w:hint="eastAsia" w:ascii="宋体" w:eastAsia="宋体"/>
                                      <w:sz w:val="21"/>
                                    </w:rPr>
                                    <w:t>说清预案编修过程</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37"/>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56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70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line="242" w:lineRule="auto"/>
                                    <w:ind w:left="62" w:right="37"/>
                                    <w:jc w:val="both"/>
                                    <w:rPr>
                                      <w:rFonts w:ascii="宋体" w:eastAsia="宋体"/>
                                      <w:sz w:val="21"/>
                                    </w:rPr>
                                  </w:pPr>
                                  <w:r>
                                    <w:rPr>
                                      <w:rFonts w:hint="eastAsia" w:ascii="宋体" w:eastAsia="宋体"/>
                                      <w:spacing w:val="-5"/>
                                      <w:w w:val="95"/>
                                      <w:sz w:val="21"/>
                                    </w:rPr>
                                    <w:t xml:space="preserve">编制过程主要包括成立环境应急预案编制工作组、开 </w:t>
                                  </w:r>
                                  <w:r>
                                    <w:rPr>
                                      <w:rFonts w:hint="eastAsia" w:ascii="宋体" w:eastAsia="宋体"/>
                                      <w:spacing w:val="-11"/>
                                      <w:w w:val="95"/>
                                      <w:sz w:val="21"/>
                                    </w:rPr>
                                    <w:t xml:space="preserve">展环境风险评估和环境应急资源调查、征求关键岗位 </w:t>
                                  </w:r>
                                  <w:r>
                                    <w:rPr>
                                      <w:rFonts w:hint="eastAsia" w:ascii="宋体" w:eastAsia="宋体"/>
                                      <w:spacing w:val="-15"/>
                                      <w:w w:val="95"/>
                                      <w:sz w:val="21"/>
                                    </w:rPr>
                                    <w:t>员工和可能受影响的居民、单位代表的意见、组织对</w:t>
                                  </w:r>
                                </w:p>
                                <w:p>
                                  <w:pPr>
                                    <w:pStyle w:val="24"/>
                                    <w:spacing w:before="3" w:line="251" w:lineRule="exact"/>
                                    <w:ind w:left="62"/>
                                    <w:rPr>
                                      <w:rFonts w:ascii="宋体" w:eastAsia="宋体"/>
                                      <w:sz w:val="21"/>
                                    </w:rPr>
                                  </w:pPr>
                                  <w:r>
                                    <w:rPr>
                                      <w:rFonts w:hint="eastAsia" w:ascii="宋体" w:eastAsia="宋体"/>
                                      <w:sz w:val="21"/>
                                    </w:rPr>
                                    <w:t>预案内容进行推演等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1134" w:type="dxa"/>
                                  <w:tcBorders>
                                    <w:top w:val="single" w:color="000000" w:sz="4" w:space="0"/>
                                    <w:bottom w:val="single" w:color="000000" w:sz="4" w:space="0"/>
                                    <w:right w:val="single" w:color="000000" w:sz="4" w:space="0"/>
                                  </w:tcBorders>
                                </w:tcPr>
                                <w:p>
                                  <w:pPr>
                                    <w:pStyle w:val="24"/>
                                    <w:spacing w:before="4"/>
                                    <w:rPr>
                                      <w:rFonts w:ascii="宋体"/>
                                      <w:sz w:val="21"/>
                                    </w:rPr>
                                  </w:pPr>
                                </w:p>
                                <w:p>
                                  <w:pPr>
                                    <w:pStyle w:val="24"/>
                                    <w:ind w:left="125" w:right="113"/>
                                    <w:jc w:val="center"/>
                                    <w:rPr>
                                      <w:rFonts w:ascii="宋体" w:eastAsia="宋体"/>
                                      <w:sz w:val="21"/>
                                    </w:rPr>
                                  </w:pPr>
                                  <w:r>
                                    <w:rPr>
                                      <w:rFonts w:hint="eastAsia" w:ascii="宋体" w:eastAsia="宋体"/>
                                      <w:sz w:val="21"/>
                                    </w:rPr>
                                    <w:t>问题说明</w:t>
                                  </w: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9"/>
                                    <w:rPr>
                                      <w:rFonts w:ascii="宋体"/>
                                      <w:sz w:val="21"/>
                                    </w:rPr>
                                  </w:pPr>
                                </w:p>
                                <w:p>
                                  <w:pPr>
                                    <w:pStyle w:val="24"/>
                                    <w:ind w:left="92" w:right="73"/>
                                    <w:jc w:val="center"/>
                                    <w:rPr>
                                      <w:rFonts w:ascii="宋体"/>
                                      <w:sz w:val="10"/>
                                    </w:rPr>
                                  </w:pPr>
                                  <w:r>
                                    <w:rPr>
                                      <w:rFonts w:ascii="宋体"/>
                                      <w:spacing w:val="1"/>
                                      <w:w w:val="99"/>
                                      <w:position w:val="-10"/>
                                      <w:sz w:val="21"/>
                                    </w:rPr>
                                    <w:t>5</w:t>
                                  </w:r>
                                  <w:r>
                                    <w:rPr>
                                      <w:rFonts w:ascii="宋体"/>
                                      <w:w w:val="106"/>
                                      <w:sz w:val="10"/>
                                    </w:rPr>
                                    <w:t>a</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4"/>
                                    <w:rPr>
                                      <w:rFonts w:ascii="宋体"/>
                                      <w:sz w:val="21"/>
                                    </w:rPr>
                                  </w:pPr>
                                </w:p>
                                <w:p>
                                  <w:pPr>
                                    <w:pStyle w:val="24"/>
                                    <w:ind w:left="60"/>
                                    <w:rPr>
                                      <w:rFonts w:ascii="宋体" w:eastAsia="宋体"/>
                                      <w:sz w:val="21"/>
                                    </w:rPr>
                                  </w:pPr>
                                  <w:r>
                                    <w:rPr>
                                      <w:rFonts w:hint="eastAsia" w:ascii="宋体" w:eastAsia="宋体"/>
                                      <w:spacing w:val="-8"/>
                                      <w:sz w:val="21"/>
                                    </w:rPr>
                                    <w:t>说明意见建议及采纳情况、演练暴露问题及解决措施</w:t>
                                  </w:r>
                                </w:p>
                              </w:tc>
                              <w:tc>
                                <w:tcPr>
                                  <w:tcW w:w="1276" w:type="dxa"/>
                                  <w:tcBorders>
                                    <w:top w:val="single" w:color="000000" w:sz="4" w:space="0"/>
                                    <w:left w:val="single" w:color="000000" w:sz="4" w:space="0"/>
                                    <w:bottom w:val="single" w:color="000000" w:sz="4" w:space="0"/>
                                    <w:right w:val="single" w:color="000000" w:sz="4" w:space="0"/>
                                  </w:tcBorders>
                                </w:tcPr>
                                <w:p>
                                  <w:pPr>
                                    <w:pStyle w:val="24"/>
                                    <w:ind w:left="60"/>
                                    <w:rPr>
                                      <w:rFonts w:ascii="宋体" w:hAnsi="宋体" w:eastAsia="宋体"/>
                                      <w:sz w:val="21"/>
                                    </w:rPr>
                                  </w:pPr>
                                  <w:r>
                                    <w:rPr>
                                      <w:rFonts w:hint="eastAsia" w:ascii="宋体" w:hAnsi="宋体" w:eastAsia="宋体"/>
                                      <w:sz w:val="21"/>
                                    </w:rPr>
                                    <w:t>□符合</w:t>
                                  </w:r>
                                </w:p>
                                <w:p>
                                  <w:pPr>
                                    <w:pStyle w:val="24"/>
                                    <w:spacing w:before="4"/>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3" w:line="252" w:lineRule="exact"/>
                                    <w:ind w:left="60"/>
                                    <w:rPr>
                                      <w:rFonts w:ascii="宋体" w:hAnsi="宋体" w:eastAsia="宋体"/>
                                      <w:sz w:val="21"/>
                                    </w:rPr>
                                  </w:pPr>
                                  <w:r>
                                    <w:rPr>
                                      <w:rFonts w:hint="eastAsia" w:ascii="宋体" w:hAnsi="宋体" w:eastAsia="宋体"/>
                                      <w:sz w:val="21"/>
                                    </w:rPr>
                                    <w:t>□不符合</w:t>
                                  </w:r>
                                </w:p>
                              </w:tc>
                              <w:tc>
                                <w:tcPr>
                                  <w:tcW w:w="56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70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ind w:left="62"/>
                                    <w:rPr>
                                      <w:rFonts w:ascii="宋体" w:eastAsia="宋体"/>
                                      <w:sz w:val="21"/>
                                    </w:rPr>
                                  </w:pPr>
                                  <w:r>
                                    <w:rPr>
                                      <w:rFonts w:hint="eastAsia" w:ascii="宋体" w:eastAsia="宋体"/>
                                      <w:spacing w:val="-9"/>
                                      <w:sz w:val="21"/>
                                    </w:rPr>
                                    <w:t>一般应有意见建议清单，并说明采纳情况及未采纳理</w:t>
                                  </w:r>
                                </w:p>
                                <w:p>
                                  <w:pPr>
                                    <w:pStyle w:val="24"/>
                                    <w:spacing w:before="3" w:line="270" w:lineRule="atLeast"/>
                                    <w:ind w:left="62" w:right="35"/>
                                    <w:rPr>
                                      <w:rFonts w:ascii="宋体" w:eastAsia="宋体"/>
                                      <w:sz w:val="21"/>
                                    </w:rPr>
                                  </w:pPr>
                                  <w:r>
                                    <w:rPr>
                                      <w:rFonts w:hint="eastAsia" w:ascii="宋体" w:eastAsia="宋体"/>
                                      <w:spacing w:val="-16"/>
                                      <w:w w:val="95"/>
                                      <w:sz w:val="21"/>
                                    </w:rPr>
                                    <w:t>由；演练</w:t>
                                  </w:r>
                                  <w:r>
                                    <w:rPr>
                                      <w:rFonts w:hint="eastAsia" w:ascii="宋体" w:eastAsia="宋体"/>
                                      <w:w w:val="95"/>
                                      <w:sz w:val="21"/>
                                    </w:rPr>
                                    <w:t>（一般为检验性的桌面推演</w:t>
                                  </w:r>
                                  <w:r>
                                    <w:rPr>
                                      <w:rFonts w:hint="eastAsia" w:ascii="宋体" w:eastAsia="宋体"/>
                                      <w:spacing w:val="-32"/>
                                      <w:w w:val="95"/>
                                      <w:sz w:val="21"/>
                                    </w:rPr>
                                    <w:t>）</w:t>
                                  </w:r>
                                  <w:r>
                                    <w:rPr>
                                      <w:rFonts w:hint="eastAsia" w:ascii="宋体" w:eastAsia="宋体"/>
                                      <w:w w:val="95"/>
                                      <w:sz w:val="21"/>
                                    </w:rPr>
                                    <w:t xml:space="preserve">暴露问题清单 </w:t>
                                  </w:r>
                                  <w:r>
                                    <w:rPr>
                                      <w:rFonts w:hint="eastAsia" w:ascii="宋体" w:eastAsia="宋体"/>
                                      <w:sz w:val="21"/>
                                    </w:rPr>
                                    <w:t>及解决措施，并体现在预案中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8" w:hRule="atLeast"/>
                              </w:trPr>
                              <w:tc>
                                <w:tcPr>
                                  <w:tcW w:w="13781" w:type="dxa"/>
                                  <w:gridSpan w:val="7"/>
                                  <w:tcBorders>
                                    <w:top w:val="single" w:color="000000" w:sz="4" w:space="0"/>
                                    <w:bottom w:val="single" w:color="000000" w:sz="4" w:space="0"/>
                                  </w:tcBorders>
                                </w:tcPr>
                                <w:p>
                                  <w:pPr>
                                    <w:pStyle w:val="24"/>
                                    <w:spacing w:before="85"/>
                                    <w:ind w:left="2875" w:right="2862"/>
                                    <w:jc w:val="center"/>
                                    <w:rPr>
                                      <w:rFonts w:ascii="黑体" w:eastAsia="黑体"/>
                                      <w:sz w:val="21"/>
                                    </w:rPr>
                                  </w:pPr>
                                  <w:r>
                                    <w:rPr>
                                      <w:rFonts w:hint="eastAsia" w:ascii="黑体" w:eastAsia="黑体"/>
                                      <w:sz w:val="21"/>
                                    </w:rPr>
                                    <w:t>环境应急预案文本</w:t>
                                  </w:r>
                                </w:p>
                              </w:tc>
                            </w:tr>
                          </w:tbl>
                          <w:p>
                            <w:pPr>
                              <w:pStyle w:val="10"/>
                            </w:pPr>
                          </w:p>
                        </w:txbxContent>
                      </wps:txbx>
                      <wps:bodyPr lIns="0" tIns="0" rIns="0" bIns="0" upright="1"/>
                    </wps:wsp>
                  </a:graphicData>
                </a:graphic>
              </wp:anchor>
            </w:drawing>
          </mc:Choice>
          <mc:Fallback>
            <w:pict>
              <v:shape id="文本框 28" o:spid="_x0000_s1026" o:spt="202" type="#_x0000_t202" style="position:absolute;left:0pt;margin-left:75.9pt;margin-top:56.35pt;height:475.15pt;width:690.5pt;mso-position-horizontal-relative:page;mso-position-vertical-relative:page;z-index:251681792;mso-width-relative:page;mso-height-relative:page;" filled="f" stroked="f" coordsize="21600,21600" o:gfxdata="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fi80NkAAAANAQAADwAAAAAAAAABACAAAAAiAAAAZHJzL2Rvd25yZXYueG1s&#10;UEsBAhQAFAAAAAgAh07iQMAM7jC+AQAAdQMAAA4AAAAAAAAAAQAgAAAAKAEAAGRycy9lMm9Eb2Mu&#10;eG1sUEsFBgAAAAAGAAYAWQEAAFgFAAAAAA==&#10;">
                <v:fill on="f" focussize="0,0"/>
                <v:stroke on="f"/>
                <v:imagedata o:title=""/>
                <o:lock v:ext="edit" aspectratio="f"/>
                <v:textbox inset="0mm,0mm,0mm,0mm">
                  <w:txbxContent>
                    <w:tbl>
                      <w:tblPr>
                        <w:tblStyle w:val="1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34"/>
                        <w:gridCol w:w="426"/>
                        <w:gridCol w:w="4819"/>
                        <w:gridCol w:w="1276"/>
                        <w:gridCol w:w="567"/>
                        <w:gridCol w:w="709"/>
                        <w:gridCol w:w="48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17" w:hRule="atLeast"/>
                        </w:trPr>
                        <w:tc>
                          <w:tcPr>
                            <w:tcW w:w="1134" w:type="dxa"/>
                            <w:tcBorders>
                              <w:bottom w:val="single" w:color="000000" w:sz="4" w:space="0"/>
                              <w:right w:val="single" w:color="000000" w:sz="4" w:space="0"/>
                            </w:tcBorders>
                          </w:tcPr>
                          <w:p>
                            <w:pPr>
                              <w:pStyle w:val="24"/>
                              <w:rPr>
                                <w:rFonts w:ascii="宋体"/>
                                <w:sz w:val="20"/>
                              </w:rPr>
                            </w:pPr>
                          </w:p>
                          <w:p>
                            <w:pPr>
                              <w:pStyle w:val="24"/>
                              <w:rPr>
                                <w:rFonts w:ascii="宋体"/>
                                <w:sz w:val="20"/>
                              </w:rPr>
                            </w:pPr>
                          </w:p>
                          <w:p>
                            <w:pPr>
                              <w:pStyle w:val="24"/>
                              <w:spacing w:before="5"/>
                              <w:rPr>
                                <w:rFonts w:ascii="宋体"/>
                                <w:sz w:val="20"/>
                              </w:rPr>
                            </w:pPr>
                          </w:p>
                          <w:p>
                            <w:pPr>
                              <w:pStyle w:val="24"/>
                              <w:spacing w:before="1"/>
                              <w:ind w:left="125" w:right="113"/>
                              <w:jc w:val="center"/>
                              <w:rPr>
                                <w:rFonts w:ascii="宋体" w:eastAsia="宋体"/>
                                <w:sz w:val="21"/>
                              </w:rPr>
                            </w:pPr>
                            <w:r>
                              <w:rPr>
                                <w:rFonts w:hint="eastAsia" w:ascii="宋体" w:eastAsia="宋体"/>
                                <w:sz w:val="21"/>
                              </w:rPr>
                              <w:t>封面目录</w:t>
                            </w:r>
                          </w:p>
                        </w:tc>
                        <w:tc>
                          <w:tcPr>
                            <w:tcW w:w="426" w:type="dxa"/>
                            <w:tcBorders>
                              <w:left w:val="single" w:color="000000" w:sz="4" w:space="0"/>
                              <w:bottom w:val="single" w:color="000000" w:sz="4" w:space="0"/>
                              <w:right w:val="single" w:color="000000" w:sz="4" w:space="0"/>
                            </w:tcBorders>
                          </w:tcPr>
                          <w:p>
                            <w:pPr>
                              <w:pStyle w:val="24"/>
                              <w:rPr>
                                <w:rFonts w:ascii="宋体"/>
                              </w:rPr>
                            </w:pPr>
                          </w:p>
                          <w:p>
                            <w:pPr>
                              <w:pStyle w:val="24"/>
                              <w:rPr>
                                <w:rFonts w:ascii="宋体"/>
                              </w:rPr>
                            </w:pPr>
                          </w:p>
                          <w:p>
                            <w:pPr>
                              <w:pStyle w:val="24"/>
                              <w:spacing w:before="2"/>
                              <w:rPr>
                                <w:rFonts w:ascii="宋体"/>
                                <w:sz w:val="16"/>
                              </w:rPr>
                            </w:pPr>
                          </w:p>
                          <w:p>
                            <w:pPr>
                              <w:pStyle w:val="24"/>
                              <w:ind w:left="92" w:right="73"/>
                              <w:jc w:val="center"/>
                              <w:rPr>
                                <w:rFonts w:ascii="宋体"/>
                                <w:sz w:val="10"/>
                              </w:rPr>
                            </w:pPr>
                            <w:r>
                              <w:rPr>
                                <w:rFonts w:ascii="宋体"/>
                                <w:spacing w:val="1"/>
                                <w:w w:val="99"/>
                                <w:position w:val="-9"/>
                                <w:sz w:val="21"/>
                              </w:rPr>
                              <w:t>1</w:t>
                            </w:r>
                            <w:r>
                              <w:rPr>
                                <w:rFonts w:ascii="宋体"/>
                                <w:w w:val="106"/>
                                <w:sz w:val="10"/>
                              </w:rPr>
                              <w:t>a</w:t>
                            </w:r>
                          </w:p>
                        </w:tc>
                        <w:tc>
                          <w:tcPr>
                            <w:tcW w:w="4819" w:type="dxa"/>
                            <w:tcBorders>
                              <w:left w:val="single" w:color="000000" w:sz="4" w:space="0"/>
                              <w:bottom w:val="single" w:color="000000" w:sz="4" w:space="0"/>
                              <w:right w:val="single" w:color="000000" w:sz="4" w:space="0"/>
                            </w:tcBorders>
                          </w:tcPr>
                          <w:p>
                            <w:pPr>
                              <w:pStyle w:val="24"/>
                              <w:rPr>
                                <w:rFonts w:ascii="宋体"/>
                                <w:sz w:val="20"/>
                              </w:rPr>
                            </w:pPr>
                          </w:p>
                          <w:p>
                            <w:pPr>
                              <w:pStyle w:val="24"/>
                              <w:spacing w:before="3"/>
                              <w:rPr>
                                <w:rFonts w:ascii="宋体"/>
                                <w:sz w:val="19"/>
                              </w:rPr>
                            </w:pPr>
                          </w:p>
                          <w:p>
                            <w:pPr>
                              <w:pStyle w:val="24"/>
                              <w:spacing w:line="242" w:lineRule="auto"/>
                              <w:ind w:left="60" w:right="42"/>
                              <w:rPr>
                                <w:rFonts w:ascii="宋体" w:eastAsia="宋体"/>
                                <w:sz w:val="21"/>
                              </w:rPr>
                            </w:pPr>
                            <w:r>
                              <w:rPr>
                                <w:rFonts w:hint="eastAsia" w:ascii="宋体" w:eastAsia="宋体"/>
                                <w:spacing w:val="3"/>
                                <w:w w:val="95"/>
                                <w:sz w:val="21"/>
                              </w:rPr>
                              <w:t xml:space="preserve">封面有环境应急预案、预案编制单位名称，预留正 </w:t>
                            </w:r>
                            <w:r>
                              <w:rPr>
                                <w:rFonts w:hint="eastAsia" w:ascii="宋体" w:eastAsia="宋体"/>
                                <w:spacing w:val="3"/>
                                <w:sz w:val="21"/>
                              </w:rPr>
                              <w:t>式发布预案的版本号、发布日期等设计；</w:t>
                            </w:r>
                          </w:p>
                          <w:p>
                            <w:pPr>
                              <w:pStyle w:val="24"/>
                              <w:spacing w:before="2"/>
                              <w:ind w:left="60"/>
                              <w:rPr>
                                <w:rFonts w:ascii="宋体" w:eastAsia="宋体"/>
                                <w:sz w:val="21"/>
                              </w:rPr>
                            </w:pPr>
                            <w:r>
                              <w:rPr>
                                <w:rFonts w:hint="eastAsia" w:ascii="宋体" w:eastAsia="宋体"/>
                                <w:sz w:val="21"/>
                              </w:rPr>
                              <w:t>目录有编号、标题和页码，一般至少设置两级目录</w:t>
                            </w:r>
                          </w:p>
                        </w:tc>
                        <w:tc>
                          <w:tcPr>
                            <w:tcW w:w="1276" w:type="dxa"/>
                            <w:tcBorders>
                              <w:left w:val="single" w:color="000000" w:sz="4" w:space="0"/>
                              <w:bottom w:val="single" w:color="000000" w:sz="4" w:space="0"/>
                              <w:right w:val="single" w:color="000000" w:sz="4" w:space="0"/>
                            </w:tcBorders>
                          </w:tcPr>
                          <w:p>
                            <w:pPr>
                              <w:pStyle w:val="24"/>
                              <w:rPr>
                                <w:rFonts w:ascii="宋体"/>
                                <w:sz w:val="20"/>
                              </w:rPr>
                            </w:pPr>
                          </w:p>
                          <w:p>
                            <w:pPr>
                              <w:pStyle w:val="24"/>
                              <w:spacing w:before="3"/>
                              <w:rPr>
                                <w:rFonts w:ascii="宋体"/>
                                <w:sz w:val="19"/>
                              </w:rPr>
                            </w:pPr>
                          </w:p>
                          <w:p>
                            <w:pPr>
                              <w:pStyle w:val="24"/>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3"/>
                              <w:ind w:left="60"/>
                              <w:rPr>
                                <w:rFonts w:ascii="宋体" w:hAnsi="宋体" w:eastAsia="宋体"/>
                                <w:sz w:val="21"/>
                              </w:rPr>
                            </w:pPr>
                            <w:r>
                              <w:rPr>
                                <w:rFonts w:hint="eastAsia" w:ascii="宋体" w:hAnsi="宋体" w:eastAsia="宋体"/>
                                <w:sz w:val="21"/>
                              </w:rPr>
                              <w:t>□部分符合</w:t>
                            </w:r>
                          </w:p>
                          <w:p>
                            <w:pPr>
                              <w:pStyle w:val="24"/>
                              <w:spacing w:before="4"/>
                              <w:ind w:left="60"/>
                              <w:rPr>
                                <w:rFonts w:ascii="宋体" w:hAnsi="宋体" w:eastAsia="宋体"/>
                                <w:sz w:val="21"/>
                              </w:rPr>
                            </w:pPr>
                            <w:r>
                              <w:rPr>
                                <w:rFonts w:hint="eastAsia" w:ascii="宋体" w:hAnsi="宋体" w:eastAsia="宋体"/>
                                <w:sz w:val="21"/>
                              </w:rPr>
                              <w:t>□不符合</w:t>
                            </w:r>
                          </w:p>
                        </w:tc>
                        <w:tc>
                          <w:tcPr>
                            <w:tcW w:w="567" w:type="dxa"/>
                            <w:tcBorders>
                              <w:left w:val="single" w:color="000000" w:sz="4" w:space="0"/>
                              <w:bottom w:val="single" w:color="000000" w:sz="4" w:space="0"/>
                              <w:right w:val="single" w:color="000000" w:sz="4" w:space="0"/>
                            </w:tcBorders>
                          </w:tcPr>
                          <w:p>
                            <w:pPr>
                              <w:pStyle w:val="24"/>
                              <w:rPr>
                                <w:rFonts w:ascii="Times New Roman"/>
                                <w:sz w:val="20"/>
                              </w:rPr>
                            </w:pPr>
                          </w:p>
                        </w:tc>
                        <w:tc>
                          <w:tcPr>
                            <w:tcW w:w="709" w:type="dxa"/>
                            <w:tcBorders>
                              <w:left w:val="single" w:color="000000" w:sz="4" w:space="0"/>
                              <w:bottom w:val="single" w:color="000000" w:sz="4" w:space="0"/>
                              <w:right w:val="single" w:color="000000" w:sz="4" w:space="0"/>
                            </w:tcBorders>
                          </w:tcPr>
                          <w:p>
                            <w:pPr>
                              <w:pStyle w:val="24"/>
                              <w:rPr>
                                <w:rFonts w:ascii="Times New Roman"/>
                                <w:sz w:val="20"/>
                              </w:rPr>
                            </w:pPr>
                          </w:p>
                        </w:tc>
                        <w:tc>
                          <w:tcPr>
                            <w:tcW w:w="4850" w:type="dxa"/>
                            <w:tcBorders>
                              <w:left w:val="single" w:color="000000" w:sz="4" w:space="0"/>
                              <w:bottom w:val="single" w:color="000000" w:sz="4" w:space="0"/>
                            </w:tcBorders>
                          </w:tcPr>
                          <w:p>
                            <w:pPr>
                              <w:pStyle w:val="24"/>
                              <w:spacing w:before="1"/>
                              <w:rPr>
                                <w:rFonts w:ascii="宋体"/>
                                <w:sz w:val="18"/>
                              </w:rPr>
                            </w:pPr>
                          </w:p>
                          <w:p>
                            <w:pPr>
                              <w:pStyle w:val="24"/>
                              <w:spacing w:line="242" w:lineRule="auto"/>
                              <w:ind w:left="62" w:right="37"/>
                              <w:jc w:val="both"/>
                              <w:rPr>
                                <w:rFonts w:ascii="宋体" w:eastAsia="宋体"/>
                                <w:sz w:val="21"/>
                              </w:rPr>
                            </w:pPr>
                            <w:r>
                              <w:rPr>
                                <w:rFonts w:hint="eastAsia" w:ascii="宋体" w:eastAsia="宋体"/>
                                <w:spacing w:val="-8"/>
                                <w:w w:val="95"/>
                                <w:sz w:val="21"/>
                              </w:rPr>
                              <w:t xml:space="preserve">预案版本号指为便于索引、回溯而在发布时赋予预案 </w:t>
                            </w:r>
                            <w:r>
                              <w:rPr>
                                <w:rFonts w:hint="eastAsia" w:ascii="宋体" w:eastAsia="宋体"/>
                                <w:spacing w:val="-12"/>
                                <w:w w:val="95"/>
                                <w:sz w:val="21"/>
                              </w:rPr>
                              <w:t xml:space="preserve">的标识号，企业可以按照内部技术文件版本号管理要 </w:t>
                            </w:r>
                            <w:r>
                              <w:rPr>
                                <w:rFonts w:hint="eastAsia" w:ascii="宋体" w:eastAsia="宋体"/>
                                <w:spacing w:val="-12"/>
                                <w:sz w:val="21"/>
                              </w:rPr>
                              <w:t>求执行；</w:t>
                            </w:r>
                          </w:p>
                          <w:p>
                            <w:pPr>
                              <w:pStyle w:val="24"/>
                              <w:spacing w:before="1" w:line="242" w:lineRule="auto"/>
                              <w:ind w:left="62" w:right="37"/>
                              <w:rPr>
                                <w:rFonts w:ascii="宋体" w:eastAsia="宋体"/>
                                <w:sz w:val="21"/>
                              </w:rPr>
                            </w:pPr>
                            <w:r>
                              <w:rPr>
                                <w:rFonts w:hint="eastAsia" w:ascii="宋体" w:eastAsia="宋体"/>
                                <w:spacing w:val="-8"/>
                                <w:w w:val="95"/>
                                <w:sz w:val="21"/>
                              </w:rPr>
                              <w:t xml:space="preserve">预案各章节可以有多级标题，但在目录中至少列出两 </w:t>
                            </w:r>
                            <w:r>
                              <w:rPr>
                                <w:rFonts w:hint="eastAsia" w:ascii="宋体" w:eastAsia="宋体"/>
                                <w:spacing w:val="-8"/>
                                <w:sz w:val="21"/>
                              </w:rPr>
                              <w:t>级标题，便于查找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50" w:hRule="atLeast"/>
                        </w:trPr>
                        <w:tc>
                          <w:tcPr>
                            <w:tcW w:w="1134" w:type="dxa"/>
                            <w:tcBorders>
                              <w:top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spacing w:before="8"/>
                              <w:rPr>
                                <w:rFonts w:ascii="宋体"/>
                                <w:sz w:val="25"/>
                              </w:rPr>
                            </w:pPr>
                          </w:p>
                          <w:p>
                            <w:pPr>
                              <w:pStyle w:val="24"/>
                              <w:ind w:left="122" w:right="113"/>
                              <w:jc w:val="center"/>
                              <w:rPr>
                                <w:rFonts w:ascii="宋体" w:eastAsia="宋体"/>
                                <w:sz w:val="21"/>
                              </w:rPr>
                            </w:pPr>
                            <w:r>
                              <w:rPr>
                                <w:rFonts w:hint="eastAsia" w:ascii="宋体" w:eastAsia="宋体"/>
                                <w:sz w:val="21"/>
                              </w:rPr>
                              <w:t>结构</w:t>
                            </w: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rPr>
                            </w:pPr>
                          </w:p>
                          <w:p>
                            <w:pPr>
                              <w:pStyle w:val="24"/>
                              <w:rPr>
                                <w:rFonts w:ascii="宋体"/>
                              </w:rPr>
                            </w:pPr>
                          </w:p>
                          <w:p>
                            <w:pPr>
                              <w:pStyle w:val="24"/>
                              <w:spacing w:before="12"/>
                              <w:rPr>
                                <w:rFonts w:ascii="宋体"/>
                                <w:sz w:val="21"/>
                              </w:rPr>
                            </w:pPr>
                          </w:p>
                          <w:p>
                            <w:pPr>
                              <w:pStyle w:val="24"/>
                              <w:ind w:left="92" w:right="73"/>
                              <w:jc w:val="center"/>
                              <w:rPr>
                                <w:rFonts w:ascii="宋体"/>
                                <w:sz w:val="10"/>
                              </w:rPr>
                            </w:pPr>
                            <w:r>
                              <w:rPr>
                                <w:rFonts w:ascii="宋体"/>
                                <w:spacing w:val="1"/>
                                <w:w w:val="99"/>
                                <w:position w:val="-10"/>
                                <w:sz w:val="21"/>
                              </w:rPr>
                              <w:t>2</w:t>
                            </w:r>
                            <w:r>
                              <w:rPr>
                                <w:rFonts w:ascii="宋体"/>
                                <w:w w:val="106"/>
                                <w:sz w:val="10"/>
                              </w:rPr>
                              <w:t>a</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spacing w:before="8"/>
                              <w:rPr>
                                <w:rFonts w:ascii="宋体"/>
                                <w:sz w:val="25"/>
                              </w:rPr>
                            </w:pPr>
                          </w:p>
                          <w:p>
                            <w:pPr>
                              <w:pStyle w:val="24"/>
                              <w:ind w:left="60"/>
                              <w:rPr>
                                <w:rFonts w:ascii="宋体" w:eastAsia="宋体"/>
                                <w:sz w:val="21"/>
                              </w:rPr>
                            </w:pPr>
                            <w:r>
                              <w:rPr>
                                <w:rFonts w:hint="eastAsia" w:ascii="宋体" w:eastAsia="宋体"/>
                                <w:sz w:val="21"/>
                              </w:rPr>
                              <w:t>结构完整，格式规范</w:t>
                            </w:r>
                          </w:p>
                        </w:tc>
                        <w:tc>
                          <w:tcPr>
                            <w:tcW w:w="127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3"/>
                              <w:rPr>
                                <w:rFonts w:ascii="宋体"/>
                                <w:sz w:val="24"/>
                              </w:rPr>
                            </w:pPr>
                          </w:p>
                          <w:p>
                            <w:pPr>
                              <w:pStyle w:val="24"/>
                              <w:ind w:left="60"/>
                              <w:rPr>
                                <w:rFonts w:ascii="宋体" w:hAnsi="宋体" w:eastAsia="宋体"/>
                                <w:sz w:val="21"/>
                              </w:rPr>
                            </w:pP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5"/>
                              <w:ind w:left="60"/>
                              <w:rPr>
                                <w:rFonts w:ascii="宋体" w:hAnsi="宋体" w:eastAsia="宋体"/>
                                <w:sz w:val="21"/>
                              </w:rPr>
                            </w:pPr>
                            <w:r>
                              <w:rPr>
                                <w:rFonts w:hint="eastAsia" w:ascii="宋体" w:hAnsi="宋体" w:eastAsia="宋体"/>
                                <w:sz w:val="21"/>
                              </w:rPr>
                              <w:t>□不符合</w:t>
                            </w:r>
                          </w:p>
                        </w:tc>
                        <w:tc>
                          <w:tcPr>
                            <w:tcW w:w="56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70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1"/>
                              <w:rPr>
                                <w:rFonts w:ascii="宋体"/>
                                <w:sz w:val="23"/>
                              </w:rPr>
                            </w:pPr>
                          </w:p>
                          <w:p>
                            <w:pPr>
                              <w:pStyle w:val="24"/>
                              <w:spacing w:line="242" w:lineRule="auto"/>
                              <w:ind w:left="62" w:right="37"/>
                              <w:rPr>
                                <w:rFonts w:ascii="宋体" w:eastAsia="宋体"/>
                                <w:sz w:val="21"/>
                              </w:rPr>
                            </w:pPr>
                            <w:r>
                              <w:rPr>
                                <w:rFonts w:hint="eastAsia" w:ascii="宋体" w:eastAsia="宋体"/>
                                <w:spacing w:val="-7"/>
                                <w:w w:val="95"/>
                                <w:sz w:val="21"/>
                              </w:rPr>
                              <w:t xml:space="preserve">结构完整指预案文件布局合理、层次分明，无错漏章 </w:t>
                            </w:r>
                            <w:r>
                              <w:rPr>
                                <w:rFonts w:hint="eastAsia" w:ascii="宋体" w:eastAsia="宋体"/>
                                <w:spacing w:val="-16"/>
                                <w:sz w:val="21"/>
                              </w:rPr>
                              <w:t>节、段落；正文对附件的引用、说明等，与附件索引附件一致；</w:t>
                            </w:r>
                          </w:p>
                          <w:p>
                            <w:pPr>
                              <w:pStyle w:val="24"/>
                              <w:spacing w:before="1" w:line="242" w:lineRule="auto"/>
                              <w:ind w:left="62" w:right="37"/>
                              <w:rPr>
                                <w:rFonts w:ascii="宋体" w:eastAsia="宋体"/>
                                <w:sz w:val="21"/>
                              </w:rPr>
                            </w:pPr>
                            <w:r>
                              <w:rPr>
                                <w:rFonts w:hint="eastAsia" w:ascii="宋体" w:eastAsia="宋体"/>
                                <w:spacing w:val="-5"/>
                                <w:w w:val="95"/>
                                <w:sz w:val="21"/>
                              </w:rPr>
                              <w:t xml:space="preserve">格式规范指预案文件符合企业内部公文格式标准，或 </w:t>
                            </w:r>
                            <w:r>
                              <w:rPr>
                                <w:rFonts w:hint="eastAsia" w:ascii="宋体" w:eastAsia="宋体"/>
                                <w:spacing w:val="-5"/>
                                <w:sz w:val="21"/>
                              </w:rPr>
                              <w:t>文件字体、字号、版式、层次等遵循一定的规范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3" w:hRule="atLeast"/>
                        </w:trPr>
                        <w:tc>
                          <w:tcPr>
                            <w:tcW w:w="1134" w:type="dxa"/>
                            <w:tcBorders>
                              <w:top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spacing w:before="9"/>
                              <w:rPr>
                                <w:rFonts w:ascii="宋体"/>
                                <w:sz w:val="18"/>
                              </w:rPr>
                            </w:pPr>
                          </w:p>
                          <w:p>
                            <w:pPr>
                              <w:pStyle w:val="24"/>
                              <w:spacing w:before="1"/>
                              <w:ind w:left="122" w:right="113"/>
                              <w:jc w:val="center"/>
                              <w:rPr>
                                <w:rFonts w:ascii="宋体" w:eastAsia="宋体"/>
                                <w:sz w:val="21"/>
                              </w:rPr>
                            </w:pPr>
                            <w:r>
                              <w:rPr>
                                <w:rFonts w:hint="eastAsia" w:ascii="宋体" w:eastAsia="宋体"/>
                                <w:sz w:val="21"/>
                              </w:rPr>
                              <w:t>行文</w:t>
                            </w: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rPr>
                            </w:pPr>
                          </w:p>
                          <w:p>
                            <w:pPr>
                              <w:pStyle w:val="24"/>
                              <w:rPr>
                                <w:rFonts w:ascii="宋体"/>
                              </w:rPr>
                            </w:pPr>
                          </w:p>
                          <w:p>
                            <w:pPr>
                              <w:pStyle w:val="24"/>
                              <w:rPr>
                                <w:rFonts w:ascii="宋体"/>
                              </w:rPr>
                            </w:pPr>
                          </w:p>
                          <w:p>
                            <w:pPr>
                              <w:pStyle w:val="24"/>
                              <w:rPr>
                                <w:rFonts w:ascii="宋体"/>
                              </w:rPr>
                            </w:pPr>
                          </w:p>
                          <w:p>
                            <w:pPr>
                              <w:pStyle w:val="24"/>
                              <w:spacing w:before="142"/>
                              <w:ind w:left="92" w:right="73"/>
                              <w:jc w:val="center"/>
                              <w:rPr>
                                <w:rFonts w:ascii="宋体"/>
                                <w:sz w:val="10"/>
                              </w:rPr>
                            </w:pPr>
                            <w:r>
                              <w:rPr>
                                <w:rFonts w:ascii="宋体"/>
                                <w:spacing w:val="1"/>
                                <w:w w:val="99"/>
                                <w:position w:val="-10"/>
                                <w:sz w:val="21"/>
                              </w:rPr>
                              <w:t>3</w:t>
                            </w:r>
                            <w:r>
                              <w:rPr>
                                <w:rFonts w:ascii="宋体"/>
                                <w:w w:val="106"/>
                                <w:sz w:val="10"/>
                              </w:rPr>
                              <w:t>a</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spacing w:before="9"/>
                              <w:rPr>
                                <w:rFonts w:ascii="宋体"/>
                                <w:sz w:val="18"/>
                              </w:rPr>
                            </w:pPr>
                          </w:p>
                          <w:p>
                            <w:pPr>
                              <w:pStyle w:val="24"/>
                              <w:spacing w:before="1"/>
                              <w:ind w:left="60"/>
                              <w:rPr>
                                <w:rFonts w:ascii="宋体" w:eastAsia="宋体"/>
                                <w:sz w:val="21"/>
                              </w:rPr>
                            </w:pPr>
                            <w:r>
                              <w:rPr>
                                <w:rFonts w:hint="eastAsia" w:ascii="宋体" w:eastAsia="宋体"/>
                                <w:sz w:val="21"/>
                              </w:rPr>
                              <w:t>文字准确，语言通顺，内容简明</w:t>
                            </w:r>
                          </w:p>
                        </w:tc>
                        <w:tc>
                          <w:tcPr>
                            <w:tcW w:w="127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rPr>
                                <w:rFonts w:ascii="宋体"/>
                                <w:sz w:val="20"/>
                              </w:rPr>
                            </w:pPr>
                          </w:p>
                          <w:p>
                            <w:pPr>
                              <w:pStyle w:val="24"/>
                              <w:spacing w:before="5"/>
                              <w:rPr>
                                <w:rFonts w:ascii="宋体"/>
                                <w:sz w:val="17"/>
                              </w:rPr>
                            </w:pPr>
                          </w:p>
                          <w:p>
                            <w:pPr>
                              <w:pStyle w:val="24"/>
                              <w:ind w:left="60"/>
                              <w:rPr>
                                <w:rFonts w:ascii="宋体" w:hAnsi="宋体" w:eastAsia="宋体"/>
                                <w:sz w:val="21"/>
                              </w:rPr>
                            </w:pPr>
                            <w:r>
                              <w:rPr>
                                <w:rFonts w:hint="eastAsia" w:ascii="宋体" w:hAnsi="宋体" w:eastAsia="宋体"/>
                                <w:sz w:val="21"/>
                              </w:rPr>
                              <w:t>□符合</w:t>
                            </w:r>
                          </w:p>
                          <w:p>
                            <w:pPr>
                              <w:pStyle w:val="24"/>
                              <w:spacing w:before="5"/>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56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70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5"/>
                              <w:rPr>
                                <w:rFonts w:ascii="宋体"/>
                                <w:sz w:val="24"/>
                              </w:rPr>
                            </w:pPr>
                          </w:p>
                          <w:p>
                            <w:pPr>
                              <w:pStyle w:val="24"/>
                              <w:spacing w:line="242" w:lineRule="auto"/>
                              <w:ind w:left="62" w:right="138"/>
                              <w:rPr>
                                <w:rFonts w:ascii="宋体" w:eastAsia="宋体"/>
                                <w:sz w:val="21"/>
                              </w:rPr>
                            </w:pPr>
                            <w:r>
                              <w:rPr>
                                <w:rFonts w:hint="eastAsia" w:ascii="宋体" w:eastAsia="宋体"/>
                                <w:spacing w:val="-12"/>
                                <w:w w:val="95"/>
                                <w:sz w:val="21"/>
                              </w:rPr>
                              <w:t xml:space="preserve">文字准确是指无明显错别字、多字、漏字、语句错误 </w:t>
                            </w:r>
                            <w:r>
                              <w:rPr>
                                <w:rFonts w:hint="eastAsia" w:ascii="宋体" w:eastAsia="宋体"/>
                                <w:spacing w:val="-12"/>
                                <w:sz w:val="21"/>
                              </w:rPr>
                              <w:t>数据错误、时间错误等现象；</w:t>
                            </w:r>
                          </w:p>
                          <w:p>
                            <w:pPr>
                              <w:pStyle w:val="24"/>
                              <w:spacing w:before="1" w:line="244" w:lineRule="auto"/>
                              <w:ind w:left="62" w:right="138"/>
                              <w:rPr>
                                <w:rFonts w:ascii="宋体" w:eastAsia="宋体"/>
                                <w:sz w:val="21"/>
                              </w:rPr>
                            </w:pPr>
                            <w:r>
                              <w:rPr>
                                <w:rFonts w:hint="eastAsia" w:ascii="宋体" w:eastAsia="宋体"/>
                                <w:spacing w:val="-15"/>
                                <w:w w:val="95"/>
                                <w:sz w:val="21"/>
                              </w:rPr>
                              <w:t xml:space="preserve">语言通顺是指语言规范、连贯、易懂，合乎事理逻辑 </w:t>
                            </w:r>
                            <w:r>
                              <w:rPr>
                                <w:rFonts w:hint="eastAsia" w:ascii="宋体" w:eastAsia="宋体"/>
                                <w:spacing w:val="-15"/>
                                <w:sz w:val="21"/>
                              </w:rPr>
                              <w:t>关键内容不会产生歧义等；</w:t>
                            </w:r>
                          </w:p>
                          <w:p>
                            <w:pPr>
                              <w:pStyle w:val="24"/>
                              <w:spacing w:line="242" w:lineRule="auto"/>
                              <w:ind w:left="62" w:right="37"/>
                              <w:jc w:val="both"/>
                              <w:rPr>
                                <w:rFonts w:ascii="宋体" w:eastAsia="宋体"/>
                                <w:sz w:val="21"/>
                              </w:rPr>
                            </w:pPr>
                            <w:r>
                              <w:rPr>
                                <w:rFonts w:hint="eastAsia" w:ascii="宋体" w:eastAsia="宋体"/>
                                <w:spacing w:val="-7"/>
                                <w:w w:val="95"/>
                                <w:sz w:val="21"/>
                              </w:rPr>
                              <w:t xml:space="preserve">内容简明是指环境应急预案、环境风险评估报告、环 </w:t>
                            </w:r>
                            <w:r>
                              <w:rPr>
                                <w:rFonts w:hint="eastAsia" w:ascii="宋体" w:eastAsia="宋体"/>
                                <w:spacing w:val="-14"/>
                                <w:w w:val="95"/>
                                <w:sz w:val="21"/>
                              </w:rPr>
                              <w:t xml:space="preserve">境应急资源调查报告独立成文，预案正文和附件内容 </w:t>
                            </w:r>
                            <w:r>
                              <w:rPr>
                                <w:rFonts w:hint="eastAsia" w:ascii="宋体" w:eastAsia="宋体"/>
                                <w:spacing w:val="-13"/>
                                <w:w w:val="95"/>
                                <w:sz w:val="21"/>
                              </w:rPr>
                              <w:t xml:space="preserve">分配合理，应对措施等重点信息容易找到，内容上无 </w:t>
                            </w:r>
                            <w:r>
                              <w:rPr>
                                <w:rFonts w:hint="eastAsia" w:ascii="宋体" w:eastAsia="宋体"/>
                                <w:spacing w:val="-13"/>
                                <w:sz w:val="21"/>
                              </w:rPr>
                              <w:t>简单重复、大量互相引用等现象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7" w:hRule="atLeast"/>
                        </w:trPr>
                        <w:tc>
                          <w:tcPr>
                            <w:tcW w:w="13781" w:type="dxa"/>
                            <w:gridSpan w:val="7"/>
                            <w:tcBorders>
                              <w:top w:val="single" w:color="000000" w:sz="4" w:space="0"/>
                              <w:bottom w:val="single" w:color="000000" w:sz="4" w:space="0"/>
                            </w:tcBorders>
                          </w:tcPr>
                          <w:p>
                            <w:pPr>
                              <w:pStyle w:val="24"/>
                              <w:spacing w:before="113"/>
                              <w:ind w:left="2877" w:right="2862"/>
                              <w:jc w:val="center"/>
                              <w:rPr>
                                <w:rFonts w:ascii="黑体" w:eastAsia="黑体"/>
                                <w:sz w:val="21"/>
                              </w:rPr>
                            </w:pPr>
                            <w:r>
                              <w:rPr>
                                <w:rFonts w:hint="eastAsia" w:ascii="黑体" w:eastAsia="黑体"/>
                                <w:sz w:val="21"/>
                              </w:rPr>
                              <w:t>环境应急预案编制说明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8" w:hRule="atLeast"/>
                        </w:trPr>
                        <w:tc>
                          <w:tcPr>
                            <w:tcW w:w="1134" w:type="dxa"/>
                            <w:tcBorders>
                              <w:top w:val="single" w:color="000000" w:sz="4" w:space="0"/>
                              <w:bottom w:val="single" w:color="000000" w:sz="4" w:space="0"/>
                              <w:right w:val="single" w:color="000000" w:sz="4" w:space="0"/>
                            </w:tcBorders>
                          </w:tcPr>
                          <w:p>
                            <w:pPr>
                              <w:pStyle w:val="24"/>
                              <w:rPr>
                                <w:rFonts w:ascii="宋体"/>
                                <w:sz w:val="20"/>
                              </w:rPr>
                            </w:pPr>
                          </w:p>
                          <w:p>
                            <w:pPr>
                              <w:pStyle w:val="24"/>
                              <w:spacing w:before="151"/>
                              <w:ind w:left="125" w:right="113"/>
                              <w:jc w:val="center"/>
                              <w:rPr>
                                <w:rFonts w:ascii="宋体" w:eastAsia="宋体"/>
                                <w:sz w:val="21"/>
                              </w:rPr>
                            </w:pPr>
                            <w:r>
                              <w:rPr>
                                <w:rFonts w:hint="eastAsia" w:ascii="宋体" w:eastAsia="宋体"/>
                                <w:sz w:val="21"/>
                              </w:rPr>
                              <w:t>过程说明</w:t>
                            </w: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7"/>
                              <w:rPr>
                                <w:rFonts w:ascii="宋体"/>
                                <w:sz w:val="31"/>
                              </w:rPr>
                            </w:pPr>
                          </w:p>
                          <w:p>
                            <w:pPr>
                              <w:pStyle w:val="24"/>
                              <w:ind w:left="92" w:right="73"/>
                              <w:jc w:val="center"/>
                              <w:rPr>
                                <w:rFonts w:ascii="宋体"/>
                                <w:sz w:val="10"/>
                              </w:rPr>
                            </w:pPr>
                            <w:r>
                              <w:rPr>
                                <w:rFonts w:ascii="宋体"/>
                                <w:spacing w:val="1"/>
                                <w:w w:val="99"/>
                                <w:position w:val="-9"/>
                                <w:sz w:val="21"/>
                              </w:rPr>
                              <w:t>4</w:t>
                            </w:r>
                            <w:r>
                              <w:rPr>
                                <w:rFonts w:ascii="宋体"/>
                                <w:w w:val="106"/>
                                <w:sz w:val="10"/>
                              </w:rPr>
                              <w:t>a</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151"/>
                              <w:ind w:left="60"/>
                              <w:rPr>
                                <w:rFonts w:ascii="宋体" w:eastAsia="宋体"/>
                                <w:sz w:val="21"/>
                              </w:rPr>
                            </w:pPr>
                            <w:r>
                              <w:rPr>
                                <w:rFonts w:hint="eastAsia" w:ascii="宋体" w:eastAsia="宋体"/>
                                <w:sz w:val="21"/>
                              </w:rPr>
                              <w:t>说清预案编修过程</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37"/>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56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70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line="242" w:lineRule="auto"/>
                              <w:ind w:left="62" w:right="37"/>
                              <w:jc w:val="both"/>
                              <w:rPr>
                                <w:rFonts w:ascii="宋体" w:eastAsia="宋体"/>
                                <w:sz w:val="21"/>
                              </w:rPr>
                            </w:pPr>
                            <w:r>
                              <w:rPr>
                                <w:rFonts w:hint="eastAsia" w:ascii="宋体" w:eastAsia="宋体"/>
                                <w:spacing w:val="-5"/>
                                <w:w w:val="95"/>
                                <w:sz w:val="21"/>
                              </w:rPr>
                              <w:t xml:space="preserve">编制过程主要包括成立环境应急预案编制工作组、开 </w:t>
                            </w:r>
                            <w:r>
                              <w:rPr>
                                <w:rFonts w:hint="eastAsia" w:ascii="宋体" w:eastAsia="宋体"/>
                                <w:spacing w:val="-11"/>
                                <w:w w:val="95"/>
                                <w:sz w:val="21"/>
                              </w:rPr>
                              <w:t xml:space="preserve">展环境风险评估和环境应急资源调查、征求关键岗位 </w:t>
                            </w:r>
                            <w:r>
                              <w:rPr>
                                <w:rFonts w:hint="eastAsia" w:ascii="宋体" w:eastAsia="宋体"/>
                                <w:spacing w:val="-15"/>
                                <w:w w:val="95"/>
                                <w:sz w:val="21"/>
                              </w:rPr>
                              <w:t>员工和可能受影响的居民、单位代表的意见、组织对</w:t>
                            </w:r>
                          </w:p>
                          <w:p>
                            <w:pPr>
                              <w:pStyle w:val="24"/>
                              <w:spacing w:before="3" w:line="251" w:lineRule="exact"/>
                              <w:ind w:left="62"/>
                              <w:rPr>
                                <w:rFonts w:ascii="宋体" w:eastAsia="宋体"/>
                                <w:sz w:val="21"/>
                              </w:rPr>
                            </w:pPr>
                            <w:r>
                              <w:rPr>
                                <w:rFonts w:hint="eastAsia" w:ascii="宋体" w:eastAsia="宋体"/>
                                <w:sz w:val="21"/>
                              </w:rPr>
                              <w:t>预案内容进行推演等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1134" w:type="dxa"/>
                            <w:tcBorders>
                              <w:top w:val="single" w:color="000000" w:sz="4" w:space="0"/>
                              <w:bottom w:val="single" w:color="000000" w:sz="4" w:space="0"/>
                              <w:right w:val="single" w:color="000000" w:sz="4" w:space="0"/>
                            </w:tcBorders>
                          </w:tcPr>
                          <w:p>
                            <w:pPr>
                              <w:pStyle w:val="24"/>
                              <w:spacing w:before="4"/>
                              <w:rPr>
                                <w:rFonts w:ascii="宋体"/>
                                <w:sz w:val="21"/>
                              </w:rPr>
                            </w:pPr>
                          </w:p>
                          <w:p>
                            <w:pPr>
                              <w:pStyle w:val="24"/>
                              <w:ind w:left="125" w:right="113"/>
                              <w:jc w:val="center"/>
                              <w:rPr>
                                <w:rFonts w:ascii="宋体" w:eastAsia="宋体"/>
                                <w:sz w:val="21"/>
                              </w:rPr>
                            </w:pPr>
                            <w:r>
                              <w:rPr>
                                <w:rFonts w:hint="eastAsia" w:ascii="宋体" w:eastAsia="宋体"/>
                                <w:sz w:val="21"/>
                              </w:rPr>
                              <w:t>问题说明</w:t>
                            </w: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9"/>
                              <w:rPr>
                                <w:rFonts w:ascii="宋体"/>
                                <w:sz w:val="21"/>
                              </w:rPr>
                            </w:pPr>
                          </w:p>
                          <w:p>
                            <w:pPr>
                              <w:pStyle w:val="24"/>
                              <w:ind w:left="92" w:right="73"/>
                              <w:jc w:val="center"/>
                              <w:rPr>
                                <w:rFonts w:ascii="宋体"/>
                                <w:sz w:val="10"/>
                              </w:rPr>
                            </w:pPr>
                            <w:r>
                              <w:rPr>
                                <w:rFonts w:ascii="宋体"/>
                                <w:spacing w:val="1"/>
                                <w:w w:val="99"/>
                                <w:position w:val="-10"/>
                                <w:sz w:val="21"/>
                              </w:rPr>
                              <w:t>5</w:t>
                            </w:r>
                            <w:r>
                              <w:rPr>
                                <w:rFonts w:ascii="宋体"/>
                                <w:w w:val="106"/>
                                <w:sz w:val="10"/>
                              </w:rPr>
                              <w:t>a</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4"/>
                              <w:rPr>
                                <w:rFonts w:ascii="宋体"/>
                                <w:sz w:val="21"/>
                              </w:rPr>
                            </w:pPr>
                          </w:p>
                          <w:p>
                            <w:pPr>
                              <w:pStyle w:val="24"/>
                              <w:ind w:left="60"/>
                              <w:rPr>
                                <w:rFonts w:ascii="宋体" w:eastAsia="宋体"/>
                                <w:sz w:val="21"/>
                              </w:rPr>
                            </w:pPr>
                            <w:r>
                              <w:rPr>
                                <w:rFonts w:hint="eastAsia" w:ascii="宋体" w:eastAsia="宋体"/>
                                <w:spacing w:val="-8"/>
                                <w:sz w:val="21"/>
                              </w:rPr>
                              <w:t>说明意见建议及采纳情况、演练暴露问题及解决措施</w:t>
                            </w:r>
                          </w:p>
                        </w:tc>
                        <w:tc>
                          <w:tcPr>
                            <w:tcW w:w="1276" w:type="dxa"/>
                            <w:tcBorders>
                              <w:top w:val="single" w:color="000000" w:sz="4" w:space="0"/>
                              <w:left w:val="single" w:color="000000" w:sz="4" w:space="0"/>
                              <w:bottom w:val="single" w:color="000000" w:sz="4" w:space="0"/>
                              <w:right w:val="single" w:color="000000" w:sz="4" w:space="0"/>
                            </w:tcBorders>
                          </w:tcPr>
                          <w:p>
                            <w:pPr>
                              <w:pStyle w:val="24"/>
                              <w:ind w:left="60"/>
                              <w:rPr>
                                <w:rFonts w:ascii="宋体" w:hAnsi="宋体" w:eastAsia="宋体"/>
                                <w:sz w:val="21"/>
                              </w:rPr>
                            </w:pPr>
                            <w:r>
                              <w:rPr>
                                <w:rFonts w:hint="eastAsia" w:ascii="宋体" w:hAnsi="宋体" w:eastAsia="宋体"/>
                                <w:sz w:val="21"/>
                              </w:rPr>
                              <w:t>□符合</w:t>
                            </w:r>
                          </w:p>
                          <w:p>
                            <w:pPr>
                              <w:pStyle w:val="24"/>
                              <w:spacing w:before="4"/>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3" w:line="252" w:lineRule="exact"/>
                              <w:ind w:left="60"/>
                              <w:rPr>
                                <w:rFonts w:ascii="宋体" w:hAnsi="宋体" w:eastAsia="宋体"/>
                                <w:sz w:val="21"/>
                              </w:rPr>
                            </w:pPr>
                            <w:r>
                              <w:rPr>
                                <w:rFonts w:hint="eastAsia" w:ascii="宋体" w:hAnsi="宋体" w:eastAsia="宋体"/>
                                <w:sz w:val="21"/>
                              </w:rPr>
                              <w:t>□不符合</w:t>
                            </w:r>
                          </w:p>
                        </w:tc>
                        <w:tc>
                          <w:tcPr>
                            <w:tcW w:w="56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70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ind w:left="62"/>
                              <w:rPr>
                                <w:rFonts w:ascii="宋体" w:eastAsia="宋体"/>
                                <w:sz w:val="21"/>
                              </w:rPr>
                            </w:pPr>
                            <w:r>
                              <w:rPr>
                                <w:rFonts w:hint="eastAsia" w:ascii="宋体" w:eastAsia="宋体"/>
                                <w:spacing w:val="-9"/>
                                <w:sz w:val="21"/>
                              </w:rPr>
                              <w:t>一般应有意见建议清单，并说明采纳情况及未采纳理</w:t>
                            </w:r>
                          </w:p>
                          <w:p>
                            <w:pPr>
                              <w:pStyle w:val="24"/>
                              <w:spacing w:before="3" w:line="270" w:lineRule="atLeast"/>
                              <w:ind w:left="62" w:right="35"/>
                              <w:rPr>
                                <w:rFonts w:ascii="宋体" w:eastAsia="宋体"/>
                                <w:sz w:val="21"/>
                              </w:rPr>
                            </w:pPr>
                            <w:r>
                              <w:rPr>
                                <w:rFonts w:hint="eastAsia" w:ascii="宋体" w:eastAsia="宋体"/>
                                <w:spacing w:val="-16"/>
                                <w:w w:val="95"/>
                                <w:sz w:val="21"/>
                              </w:rPr>
                              <w:t>由；演练</w:t>
                            </w:r>
                            <w:r>
                              <w:rPr>
                                <w:rFonts w:hint="eastAsia" w:ascii="宋体" w:eastAsia="宋体"/>
                                <w:w w:val="95"/>
                                <w:sz w:val="21"/>
                              </w:rPr>
                              <w:t>（一般为检验性的桌面推演</w:t>
                            </w:r>
                            <w:r>
                              <w:rPr>
                                <w:rFonts w:hint="eastAsia" w:ascii="宋体" w:eastAsia="宋体"/>
                                <w:spacing w:val="-32"/>
                                <w:w w:val="95"/>
                                <w:sz w:val="21"/>
                              </w:rPr>
                              <w:t>）</w:t>
                            </w:r>
                            <w:r>
                              <w:rPr>
                                <w:rFonts w:hint="eastAsia" w:ascii="宋体" w:eastAsia="宋体"/>
                                <w:w w:val="95"/>
                                <w:sz w:val="21"/>
                              </w:rPr>
                              <w:t xml:space="preserve">暴露问题清单 </w:t>
                            </w:r>
                            <w:r>
                              <w:rPr>
                                <w:rFonts w:hint="eastAsia" w:ascii="宋体" w:eastAsia="宋体"/>
                                <w:sz w:val="21"/>
                              </w:rPr>
                              <w:t>及解决措施，并体现在预案中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8" w:hRule="atLeast"/>
                        </w:trPr>
                        <w:tc>
                          <w:tcPr>
                            <w:tcW w:w="13781" w:type="dxa"/>
                            <w:gridSpan w:val="7"/>
                            <w:tcBorders>
                              <w:top w:val="single" w:color="000000" w:sz="4" w:space="0"/>
                              <w:bottom w:val="single" w:color="000000" w:sz="4" w:space="0"/>
                            </w:tcBorders>
                          </w:tcPr>
                          <w:p>
                            <w:pPr>
                              <w:pStyle w:val="24"/>
                              <w:spacing w:before="85"/>
                              <w:ind w:left="2875" w:right="2862"/>
                              <w:jc w:val="center"/>
                              <w:rPr>
                                <w:rFonts w:ascii="黑体" w:eastAsia="黑体"/>
                                <w:sz w:val="21"/>
                              </w:rPr>
                            </w:pPr>
                            <w:r>
                              <w:rPr>
                                <w:rFonts w:hint="eastAsia" w:ascii="黑体" w:eastAsia="黑体"/>
                                <w:sz w:val="21"/>
                              </w:rPr>
                              <w:t>环境应急预案文本</w:t>
                            </w:r>
                          </w:p>
                        </w:tc>
                      </w:tr>
                    </w:tbl>
                    <w:p>
                      <w:pPr>
                        <w:pStyle w:val="10"/>
                      </w:pPr>
                    </w:p>
                  </w:txbxContent>
                </v:textbox>
              </v:shape>
            </w:pict>
          </mc:Fallback>
        </mc:AlternateContent>
      </w:r>
    </w:p>
    <w:p>
      <w:pPr>
        <w:pStyle w:val="10"/>
        <w:rPr>
          <w:rFonts w:ascii="宋体"/>
          <w:b/>
          <w:sz w:val="20"/>
        </w:rPr>
      </w:pPr>
    </w:p>
    <w:p>
      <w:pPr>
        <w:pStyle w:val="10"/>
        <w:rPr>
          <w:rFonts w:ascii="宋体"/>
          <w:b/>
          <w:sz w:val="20"/>
        </w:rPr>
      </w:pPr>
    </w:p>
    <w:p>
      <w:pPr>
        <w:pStyle w:val="10"/>
        <w:rPr>
          <w:rFonts w:ascii="宋体"/>
          <w:b/>
          <w:sz w:val="20"/>
        </w:rPr>
      </w:pPr>
    </w:p>
    <w:p>
      <w:pPr>
        <w:pStyle w:val="10"/>
        <w:rPr>
          <w:rFonts w:ascii="宋体"/>
          <w:b/>
          <w:sz w:val="20"/>
        </w:rPr>
      </w:pPr>
    </w:p>
    <w:p>
      <w:pPr>
        <w:pStyle w:val="10"/>
        <w:rPr>
          <w:rFonts w:ascii="宋体"/>
          <w:b/>
          <w:sz w:val="20"/>
        </w:rPr>
      </w:pPr>
    </w:p>
    <w:p>
      <w:pPr>
        <w:pStyle w:val="10"/>
        <w:rPr>
          <w:rFonts w:ascii="宋体"/>
          <w:b/>
          <w:sz w:val="20"/>
        </w:rPr>
      </w:pPr>
    </w:p>
    <w:p>
      <w:pPr>
        <w:pStyle w:val="10"/>
        <w:rPr>
          <w:rFonts w:ascii="宋体"/>
          <w:b/>
          <w:sz w:val="20"/>
        </w:rPr>
      </w:pPr>
    </w:p>
    <w:p>
      <w:pPr>
        <w:pStyle w:val="10"/>
        <w:spacing w:before="2"/>
        <w:rPr>
          <w:rFonts w:ascii="宋体"/>
          <w:b/>
        </w:rPr>
      </w:pPr>
    </w:p>
    <w:p>
      <w:pPr>
        <w:spacing w:before="70"/>
        <w:ind w:right="138"/>
        <w:jc w:val="right"/>
        <w:rPr>
          <w:rFonts w:ascii="宋体" w:eastAsia="宋体"/>
          <w:sz w:val="21"/>
        </w:rPr>
      </w:pPr>
      <w:r>
        <w:rPr>
          <w:rFonts w:hint="eastAsia" w:ascii="宋体" w:eastAsia="宋体"/>
          <w:w w:val="99"/>
          <w:sz w:val="21"/>
        </w:rPr>
        <w:t>、</w:t>
      </w: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spacing w:before="156"/>
        <w:ind w:right="138"/>
        <w:jc w:val="right"/>
        <w:rPr>
          <w:rFonts w:ascii="宋体" w:eastAsia="宋体"/>
          <w:sz w:val="21"/>
        </w:rPr>
      </w:pPr>
      <w:r>
        <w:rPr>
          <w:rFonts w:hint="eastAsia" w:ascii="宋体" w:eastAsia="宋体"/>
          <w:w w:val="99"/>
          <w:sz w:val="21"/>
        </w:rPr>
        <w:t>、</w:t>
      </w:r>
    </w:p>
    <w:p>
      <w:pPr>
        <w:pStyle w:val="10"/>
        <w:spacing w:before="6"/>
        <w:rPr>
          <w:rFonts w:ascii="宋体"/>
          <w:sz w:val="21"/>
        </w:rPr>
      </w:pPr>
    </w:p>
    <w:p>
      <w:pPr>
        <w:spacing w:before="1"/>
        <w:ind w:right="138"/>
        <w:jc w:val="right"/>
        <w:rPr>
          <w:rFonts w:ascii="宋体" w:eastAsia="宋体"/>
          <w:sz w:val="21"/>
        </w:rPr>
      </w:pPr>
      <w:r>
        <w:rPr>
          <w:rFonts w:hint="eastAsia" w:ascii="宋体" w:eastAsia="宋体"/>
          <w:w w:val="99"/>
          <w:sz w:val="21"/>
        </w:rPr>
        <w:t>，</w:t>
      </w:r>
    </w:p>
    <w:p>
      <w:pPr>
        <w:jc w:val="right"/>
        <w:rPr>
          <w:rFonts w:ascii="宋体" w:eastAsia="宋体"/>
          <w:sz w:val="21"/>
        </w:rPr>
        <w:sectPr>
          <w:pgSz w:w="16840" w:h="11910" w:orient="landscape"/>
          <w:pgMar w:top="1100" w:right="1340" w:bottom="1180" w:left="1340" w:header="882" w:footer="993" w:gutter="0"/>
          <w:cols w:space="720" w:num="1"/>
        </w:sect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spacing w:before="6"/>
        <w:rPr>
          <w:rFonts w:ascii="宋体"/>
          <w:sz w:val="26"/>
        </w:rPr>
      </w:pPr>
    </w:p>
    <w:p>
      <w:pPr>
        <w:spacing w:before="70"/>
        <w:ind w:right="138"/>
        <w:jc w:val="right"/>
        <w:rPr>
          <w:rFonts w:ascii="宋体" w:eastAsia="宋体"/>
          <w:sz w:val="21"/>
        </w:rPr>
      </w:pPr>
      <w:r>
        <mc:AlternateContent>
          <mc:Choice Requires="wps">
            <w:drawing>
              <wp:anchor distT="0" distB="0" distL="114300" distR="114300" simplePos="0" relativeHeight="251682816" behindDoc="0" locked="0" layoutInCell="1" allowOverlap="1">
                <wp:simplePos x="0" y="0"/>
                <wp:positionH relativeFrom="page">
                  <wp:posOffset>963930</wp:posOffset>
                </wp:positionH>
                <wp:positionV relativeFrom="paragraph">
                  <wp:posOffset>-1181735</wp:posOffset>
                </wp:positionV>
                <wp:extent cx="8769350" cy="5456555"/>
                <wp:effectExtent l="0" t="0" r="0" b="0"/>
                <wp:wrapNone/>
                <wp:docPr id="25" name="文本框 29"/>
                <wp:cNvGraphicFramePr/>
                <a:graphic xmlns:a="http://schemas.openxmlformats.org/drawingml/2006/main">
                  <a:graphicData uri="http://schemas.microsoft.com/office/word/2010/wordprocessingShape">
                    <wps:wsp>
                      <wps:cNvSpPr txBox="1"/>
                      <wps:spPr>
                        <a:xfrm>
                          <a:off x="0" y="0"/>
                          <a:ext cx="8769350" cy="5456555"/>
                        </a:xfrm>
                        <a:prstGeom prst="rect">
                          <a:avLst/>
                        </a:prstGeom>
                        <a:noFill/>
                        <a:ln>
                          <a:noFill/>
                        </a:ln>
                      </wps:spPr>
                      <wps:txbx>
                        <w:txbxContent>
                          <w:tbl>
                            <w:tblPr>
                              <w:tblStyle w:val="1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34"/>
                              <w:gridCol w:w="426"/>
                              <w:gridCol w:w="4819"/>
                              <w:gridCol w:w="1276"/>
                              <w:gridCol w:w="607"/>
                              <w:gridCol w:w="669"/>
                              <w:gridCol w:w="48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1134" w:type="dxa"/>
                                  <w:tcBorders>
                                    <w:bottom w:val="single" w:color="000000" w:sz="4" w:space="0"/>
                                    <w:right w:val="single" w:color="000000" w:sz="4" w:space="0"/>
                                  </w:tcBorders>
                                </w:tcPr>
                                <w:p>
                                  <w:pPr>
                                    <w:pStyle w:val="24"/>
                                    <w:spacing w:before="8"/>
                                    <w:rPr>
                                      <w:rFonts w:ascii="宋体"/>
                                      <w:sz w:val="21"/>
                                    </w:rPr>
                                  </w:pPr>
                                </w:p>
                                <w:p>
                                  <w:pPr>
                                    <w:pStyle w:val="24"/>
                                    <w:ind w:left="125" w:right="113"/>
                                    <w:jc w:val="center"/>
                                    <w:rPr>
                                      <w:rFonts w:ascii="宋体" w:eastAsia="宋体"/>
                                      <w:sz w:val="21"/>
                                    </w:rPr>
                                  </w:pPr>
                                  <w:r>
                                    <w:rPr>
                                      <w:rFonts w:hint="eastAsia" w:ascii="宋体" w:eastAsia="宋体"/>
                                      <w:sz w:val="21"/>
                                    </w:rPr>
                                    <w:t>编制目的</w:t>
                                  </w:r>
                                </w:p>
                              </w:tc>
                              <w:tc>
                                <w:tcPr>
                                  <w:tcW w:w="426" w:type="dxa"/>
                                  <w:tcBorders>
                                    <w:left w:val="single" w:color="000000" w:sz="4" w:space="0"/>
                                    <w:bottom w:val="single" w:color="000000" w:sz="4" w:space="0"/>
                                    <w:right w:val="single" w:color="000000" w:sz="4" w:space="0"/>
                                  </w:tcBorders>
                                </w:tcPr>
                                <w:p>
                                  <w:pPr>
                                    <w:pStyle w:val="24"/>
                                    <w:spacing w:before="8"/>
                                    <w:rPr>
                                      <w:rFonts w:ascii="宋体"/>
                                      <w:sz w:val="21"/>
                                    </w:rPr>
                                  </w:pPr>
                                </w:p>
                                <w:p>
                                  <w:pPr>
                                    <w:pStyle w:val="24"/>
                                    <w:ind w:left="18"/>
                                    <w:jc w:val="center"/>
                                    <w:rPr>
                                      <w:rFonts w:ascii="宋体"/>
                                      <w:sz w:val="21"/>
                                    </w:rPr>
                                  </w:pPr>
                                  <w:r>
                                    <w:rPr>
                                      <w:rFonts w:ascii="宋体"/>
                                      <w:w w:val="99"/>
                                      <w:sz w:val="21"/>
                                    </w:rPr>
                                    <w:t>6</w:t>
                                  </w:r>
                                </w:p>
                              </w:tc>
                              <w:tc>
                                <w:tcPr>
                                  <w:tcW w:w="4819" w:type="dxa"/>
                                  <w:tcBorders>
                                    <w:left w:val="single" w:color="000000" w:sz="4" w:space="0"/>
                                    <w:bottom w:val="single" w:color="000000" w:sz="4" w:space="0"/>
                                    <w:right w:val="single" w:color="000000" w:sz="4" w:space="0"/>
                                  </w:tcBorders>
                                </w:tcPr>
                                <w:p>
                                  <w:pPr>
                                    <w:pStyle w:val="24"/>
                                    <w:spacing w:before="143" w:line="242" w:lineRule="auto"/>
                                    <w:ind w:left="60" w:right="3"/>
                                    <w:rPr>
                                      <w:rFonts w:ascii="宋体" w:eastAsia="宋体"/>
                                      <w:sz w:val="21"/>
                                    </w:rPr>
                                  </w:pPr>
                                  <w:r>
                                    <w:rPr>
                                      <w:rFonts w:hint="eastAsia" w:ascii="宋体" w:eastAsia="宋体"/>
                                      <w:spacing w:val="-5"/>
                                      <w:w w:val="95"/>
                                      <w:sz w:val="21"/>
                                    </w:rPr>
                                    <w:t xml:space="preserve">体现：规范事发后的应对工作，提高事件应对能力， </w:t>
                                  </w:r>
                                  <w:r>
                                    <w:rPr>
                                      <w:rFonts w:hint="eastAsia" w:ascii="宋体" w:eastAsia="宋体"/>
                                      <w:spacing w:val="-8"/>
                                      <w:sz w:val="21"/>
                                    </w:rPr>
                                    <w:t>避免或减轻事件影响，加强企业与政府应对工作衔接</w:t>
                                  </w:r>
                                </w:p>
                              </w:tc>
                              <w:tc>
                                <w:tcPr>
                                  <w:tcW w:w="1276" w:type="dxa"/>
                                  <w:tcBorders>
                                    <w:left w:val="single" w:color="000000" w:sz="4" w:space="0"/>
                                    <w:bottom w:val="single" w:color="000000" w:sz="4" w:space="0"/>
                                    <w:right w:val="single" w:color="000000" w:sz="4" w:space="0"/>
                                  </w:tcBorders>
                                </w:tcPr>
                                <w:p>
                                  <w:pPr>
                                    <w:pStyle w:val="24"/>
                                    <w:spacing w:before="6"/>
                                    <w:ind w:left="60"/>
                                    <w:rPr>
                                      <w:rFonts w:ascii="宋体" w:hAnsi="宋体" w:eastAsia="宋体"/>
                                      <w:sz w:val="21"/>
                                    </w:rPr>
                                  </w:pP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5" w:line="251" w:lineRule="exact"/>
                                    <w:ind w:left="60"/>
                                    <w:rPr>
                                      <w:rFonts w:ascii="宋体" w:hAnsi="宋体" w:eastAsia="宋体"/>
                                      <w:sz w:val="21"/>
                                    </w:rPr>
                                  </w:pPr>
                                  <w:r>
                                    <w:rPr>
                                      <w:rFonts w:hint="eastAsia" w:ascii="宋体" w:hAnsi="宋体" w:eastAsia="宋体"/>
                                      <w:sz w:val="21"/>
                                    </w:rPr>
                                    <w:t>□不符合</w:t>
                                  </w:r>
                                </w:p>
                              </w:tc>
                              <w:tc>
                                <w:tcPr>
                                  <w:tcW w:w="607" w:type="dxa"/>
                                  <w:tcBorders>
                                    <w:left w:val="single" w:color="000000" w:sz="4" w:space="0"/>
                                    <w:bottom w:val="single" w:color="000000" w:sz="4" w:space="0"/>
                                    <w:right w:val="single" w:color="000000" w:sz="4" w:space="0"/>
                                  </w:tcBorders>
                                </w:tcPr>
                                <w:p>
                                  <w:pPr>
                                    <w:pStyle w:val="24"/>
                                    <w:rPr>
                                      <w:rFonts w:ascii="Times New Roman"/>
                                      <w:sz w:val="20"/>
                                    </w:rPr>
                                  </w:pPr>
                                </w:p>
                              </w:tc>
                              <w:tc>
                                <w:tcPr>
                                  <w:tcW w:w="669" w:type="dxa"/>
                                  <w:tcBorders>
                                    <w:left w:val="single" w:color="000000" w:sz="4" w:space="0"/>
                                    <w:bottom w:val="single" w:color="000000" w:sz="4" w:space="0"/>
                                    <w:right w:val="single" w:color="000000" w:sz="4" w:space="0"/>
                                  </w:tcBorders>
                                </w:tcPr>
                                <w:p>
                                  <w:pPr>
                                    <w:pStyle w:val="24"/>
                                    <w:rPr>
                                      <w:rFonts w:ascii="Times New Roman"/>
                                      <w:sz w:val="20"/>
                                    </w:rPr>
                                  </w:pPr>
                                </w:p>
                              </w:tc>
                              <w:tc>
                                <w:tcPr>
                                  <w:tcW w:w="4850" w:type="dxa"/>
                                  <w:tcBorders>
                                    <w:left w:val="single" w:color="000000" w:sz="4" w:space="0"/>
                                    <w:bottom w:val="nil"/>
                                  </w:tcBorders>
                                </w:tcPr>
                                <w:p>
                                  <w:pPr>
                                    <w:pStyle w:val="24"/>
                                    <w:spacing w:before="6"/>
                                    <w:ind w:left="62"/>
                                    <w:rPr>
                                      <w:rFonts w:ascii="宋体" w:eastAsia="宋体"/>
                                      <w:sz w:val="21"/>
                                    </w:rPr>
                                  </w:pPr>
                                  <w:r>
                                    <w:rPr>
                                      <w:rFonts w:hint="eastAsia" w:ascii="宋体" w:eastAsia="宋体"/>
                                      <w:sz w:val="21"/>
                                    </w:rPr>
                                    <w:t>此三项为预案的总纲。</w:t>
                                  </w:r>
                                </w:p>
                                <w:p>
                                  <w:pPr>
                                    <w:pStyle w:val="24"/>
                                    <w:spacing w:before="7"/>
                                    <w:rPr>
                                      <w:rFonts w:ascii="宋体"/>
                                      <w:sz w:val="21"/>
                                    </w:rPr>
                                  </w:pPr>
                                </w:p>
                                <w:p>
                                  <w:pPr>
                                    <w:pStyle w:val="24"/>
                                    <w:spacing w:line="251" w:lineRule="exact"/>
                                    <w:ind w:left="62"/>
                                    <w:rPr>
                                      <w:rFonts w:ascii="宋体" w:hAnsi="宋体" w:eastAsia="宋体"/>
                                      <w:sz w:val="21"/>
                                    </w:rPr>
                                  </w:pPr>
                                  <w:r>
                                    <w:rPr>
                                      <w:rFonts w:hint="eastAsia" w:ascii="宋体" w:hAnsi="宋体" w:eastAsia="宋体"/>
                                      <w:spacing w:val="-10"/>
                                      <w:sz w:val="21"/>
                                    </w:rPr>
                                    <w:t>关于“规范事发后的应对工作”，《突发事件应急预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8" w:hRule="atLeast"/>
                              </w:trPr>
                              <w:tc>
                                <w:tcPr>
                                  <w:tcW w:w="1134" w:type="dxa"/>
                                  <w:tcBorders>
                                    <w:top w:val="single" w:color="000000" w:sz="4" w:space="0"/>
                                    <w:bottom w:val="nil"/>
                                    <w:right w:val="single" w:color="000000" w:sz="4" w:space="0"/>
                                  </w:tcBorders>
                                </w:tcPr>
                                <w:p>
                                  <w:pPr>
                                    <w:pStyle w:val="24"/>
                                    <w:spacing w:before="11"/>
                                    <w:rPr>
                                      <w:rFonts w:ascii="宋体"/>
                                      <w:sz w:val="24"/>
                                    </w:rPr>
                                  </w:pPr>
                                </w:p>
                                <w:p>
                                  <w:pPr>
                                    <w:pStyle w:val="24"/>
                                    <w:ind w:left="125" w:right="113"/>
                                    <w:jc w:val="center"/>
                                    <w:rPr>
                                      <w:rFonts w:ascii="宋体" w:eastAsia="宋体"/>
                                      <w:sz w:val="21"/>
                                    </w:rPr>
                                  </w:pPr>
                                  <w:r>
                                    <w:rPr>
                                      <w:rFonts w:hint="eastAsia" w:ascii="宋体" w:eastAsia="宋体"/>
                                      <w:sz w:val="21"/>
                                    </w:rPr>
                                    <w:t>适用范围</w:t>
                                  </w:r>
                                </w:p>
                              </w:tc>
                              <w:tc>
                                <w:tcPr>
                                  <w:tcW w:w="426" w:type="dxa"/>
                                  <w:tcBorders>
                                    <w:top w:val="single" w:color="000000" w:sz="4" w:space="0"/>
                                    <w:left w:val="single" w:color="000000" w:sz="4" w:space="0"/>
                                    <w:bottom w:val="nil"/>
                                    <w:right w:val="single" w:color="000000" w:sz="4" w:space="0"/>
                                  </w:tcBorders>
                                </w:tcPr>
                                <w:p>
                                  <w:pPr>
                                    <w:pStyle w:val="24"/>
                                    <w:spacing w:before="11"/>
                                    <w:rPr>
                                      <w:rFonts w:ascii="宋体"/>
                                      <w:sz w:val="24"/>
                                    </w:rPr>
                                  </w:pPr>
                                </w:p>
                                <w:p>
                                  <w:pPr>
                                    <w:pStyle w:val="24"/>
                                    <w:ind w:left="18"/>
                                    <w:jc w:val="center"/>
                                    <w:rPr>
                                      <w:rFonts w:ascii="宋体"/>
                                      <w:sz w:val="21"/>
                                    </w:rPr>
                                  </w:pPr>
                                  <w:r>
                                    <w:rPr>
                                      <w:rFonts w:ascii="宋体"/>
                                      <w:w w:val="99"/>
                                      <w:sz w:val="21"/>
                                    </w:rPr>
                                    <w:t>7</w:t>
                                  </w:r>
                                </w:p>
                              </w:tc>
                              <w:tc>
                                <w:tcPr>
                                  <w:tcW w:w="4819" w:type="dxa"/>
                                  <w:tcBorders>
                                    <w:top w:val="single" w:color="000000" w:sz="4" w:space="0"/>
                                    <w:left w:val="single" w:color="000000" w:sz="4" w:space="0"/>
                                    <w:bottom w:val="nil"/>
                                    <w:right w:val="single" w:color="000000" w:sz="4" w:space="0"/>
                                  </w:tcBorders>
                                </w:tcPr>
                                <w:p>
                                  <w:pPr>
                                    <w:pStyle w:val="24"/>
                                    <w:spacing w:before="3"/>
                                    <w:rPr>
                                      <w:rFonts w:ascii="宋体"/>
                                      <w:sz w:val="14"/>
                                    </w:rPr>
                                  </w:pPr>
                                </w:p>
                                <w:p>
                                  <w:pPr>
                                    <w:pStyle w:val="24"/>
                                    <w:spacing w:line="242" w:lineRule="auto"/>
                                    <w:ind w:left="60" w:right="128"/>
                                    <w:rPr>
                                      <w:rFonts w:ascii="宋体" w:eastAsia="宋体"/>
                                      <w:sz w:val="21"/>
                                    </w:rPr>
                                  </w:pPr>
                                  <w:r>
                                    <w:rPr>
                                      <w:rFonts w:hint="eastAsia" w:ascii="宋体" w:eastAsia="宋体"/>
                                      <w:w w:val="95"/>
                                      <w:sz w:val="21"/>
                                    </w:rPr>
                                    <w:t xml:space="preserve">明确：预案适用的主体、地理或管理范围、事件类 </w:t>
                                  </w:r>
                                  <w:r>
                                    <w:rPr>
                                      <w:rFonts w:hint="eastAsia" w:ascii="宋体" w:eastAsia="宋体"/>
                                      <w:sz w:val="21"/>
                                    </w:rPr>
                                    <w:t>别、工作内容</w:t>
                                  </w:r>
                                </w:p>
                              </w:tc>
                              <w:tc>
                                <w:tcPr>
                                  <w:tcW w:w="1276" w:type="dxa"/>
                                  <w:tcBorders>
                                    <w:top w:val="single" w:color="000000" w:sz="4" w:space="0"/>
                                    <w:left w:val="single" w:color="000000" w:sz="4" w:space="0"/>
                                    <w:bottom w:val="nil"/>
                                    <w:right w:val="single" w:color="000000" w:sz="4" w:space="0"/>
                                  </w:tcBorders>
                                </w:tcPr>
                                <w:p>
                                  <w:pPr>
                                    <w:pStyle w:val="24"/>
                                    <w:spacing w:before="45"/>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t>□部分符合</w:t>
                                  </w:r>
                                </w:p>
                                <w:p>
                                  <w:pPr>
                                    <w:pStyle w:val="24"/>
                                    <w:spacing w:before="3" w:line="220" w:lineRule="exact"/>
                                    <w:ind w:left="60"/>
                                    <w:rPr>
                                      <w:rFonts w:ascii="宋体" w:hAnsi="宋体" w:eastAsia="宋体"/>
                                      <w:sz w:val="21"/>
                                    </w:rPr>
                                  </w:pPr>
                                  <w:r>
                                    <w:rPr>
                                      <w:rFonts w:hint="eastAsia" w:ascii="宋体" w:hAnsi="宋体" w:eastAsia="宋体"/>
                                      <w:sz w:val="21"/>
                                    </w:rPr>
                                    <w:t>□不符合</w:t>
                                  </w:r>
                                </w:p>
                              </w:tc>
                              <w:tc>
                                <w:tcPr>
                                  <w:tcW w:w="607"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nil"/>
                                    <w:left w:val="single" w:color="000000" w:sz="4" w:space="0"/>
                                    <w:bottom w:val="nil"/>
                                  </w:tcBorders>
                                </w:tcPr>
                                <w:p>
                                  <w:pPr>
                                    <w:pStyle w:val="24"/>
                                    <w:spacing w:line="242" w:lineRule="auto"/>
                                    <w:ind w:left="62" w:right="32"/>
                                    <w:jc w:val="both"/>
                                    <w:rPr>
                                      <w:rFonts w:ascii="宋体" w:hAnsi="宋体" w:eastAsia="宋体"/>
                                      <w:sz w:val="21"/>
                                    </w:rPr>
                                  </w:pPr>
                                  <w:r>
                                    <w:rPr>
                                      <w:rFonts w:hint="eastAsia" w:ascii="宋体" w:hAnsi="宋体" w:eastAsia="宋体"/>
                                      <w:spacing w:val="-8"/>
                                      <w:sz w:val="21"/>
                                    </w:rPr>
                                    <w:t>案管理办法》强调应急预案重在“应对”，适当向前</w:t>
                                  </w:r>
                                  <w:r>
                                    <w:rPr>
                                      <w:rFonts w:hint="eastAsia" w:ascii="宋体" w:hAnsi="宋体" w:eastAsia="宋体"/>
                                      <w:spacing w:val="-12"/>
                                      <w:w w:val="95"/>
                                      <w:sz w:val="21"/>
                                    </w:rPr>
                                    <w:t xml:space="preserve">延伸至“预警”，向后延伸至“恢复”。关于“加强 </w:t>
                                  </w:r>
                                  <w:r>
                                    <w:rPr>
                                      <w:rFonts w:hint="eastAsia" w:ascii="宋体" w:hAnsi="宋体" w:eastAsia="宋体"/>
                                      <w:spacing w:val="-14"/>
                                      <w:w w:val="95"/>
                                      <w:sz w:val="21"/>
                                    </w:rPr>
                                    <w:t>企业与政府应对衔接”，根据备案管理办法，实行企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 w:hRule="atLeast"/>
                              </w:trPr>
                              <w:tc>
                                <w:tcPr>
                                  <w:tcW w:w="1134" w:type="dxa"/>
                                  <w:tcBorders>
                                    <w:top w:val="nil"/>
                                    <w:bottom w:val="single" w:color="000000" w:sz="4" w:space="0"/>
                                    <w:right w:val="single" w:color="000000" w:sz="4" w:space="0"/>
                                  </w:tcBorders>
                                </w:tcPr>
                                <w:p>
                                  <w:pPr>
                                    <w:pStyle w:val="24"/>
                                    <w:rPr>
                                      <w:rFonts w:ascii="Times New Roman"/>
                                      <w:sz w:val="2"/>
                                    </w:rPr>
                                  </w:pPr>
                                </w:p>
                              </w:tc>
                              <w:tc>
                                <w:tcPr>
                                  <w:tcW w:w="426" w:type="dxa"/>
                                  <w:tcBorders>
                                    <w:top w:val="nil"/>
                                    <w:left w:val="single" w:color="000000" w:sz="4" w:space="0"/>
                                    <w:bottom w:val="single" w:color="000000" w:sz="4" w:space="0"/>
                                    <w:right w:val="single" w:color="000000" w:sz="4" w:space="0"/>
                                  </w:tcBorders>
                                </w:tcPr>
                                <w:p>
                                  <w:pPr>
                                    <w:pStyle w:val="24"/>
                                    <w:rPr>
                                      <w:rFonts w:ascii="Times New Roman"/>
                                      <w:sz w:val="2"/>
                                    </w:rPr>
                                  </w:pPr>
                                </w:p>
                              </w:tc>
                              <w:tc>
                                <w:tcPr>
                                  <w:tcW w:w="4819" w:type="dxa"/>
                                  <w:tcBorders>
                                    <w:top w:val="nil"/>
                                    <w:left w:val="single" w:color="000000" w:sz="4" w:space="0"/>
                                    <w:bottom w:val="single" w:color="000000" w:sz="4" w:space="0"/>
                                    <w:right w:val="single" w:color="000000" w:sz="4" w:space="0"/>
                                  </w:tcBorders>
                                </w:tcPr>
                                <w:p>
                                  <w:pPr>
                                    <w:pStyle w:val="24"/>
                                    <w:rPr>
                                      <w:rFonts w:ascii="Times New Roman"/>
                                      <w:sz w:val="2"/>
                                    </w:rPr>
                                  </w:pPr>
                                </w:p>
                              </w:tc>
                              <w:tc>
                                <w:tcPr>
                                  <w:tcW w:w="1276" w:type="dxa"/>
                                  <w:tcBorders>
                                    <w:top w:val="nil"/>
                                    <w:left w:val="single" w:color="000000" w:sz="4" w:space="0"/>
                                    <w:bottom w:val="single" w:color="000000" w:sz="4" w:space="0"/>
                                    <w:right w:val="single" w:color="000000" w:sz="4" w:space="0"/>
                                  </w:tcBorders>
                                </w:tcPr>
                                <w:p>
                                  <w:pPr>
                                    <w:pStyle w:val="24"/>
                                    <w:rPr>
                                      <w:rFonts w:ascii="Times New Roman"/>
                                      <w:sz w:val="2"/>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vMerge w:val="restart"/>
                                  <w:tcBorders>
                                    <w:top w:val="nil"/>
                                    <w:left w:val="single" w:color="000000" w:sz="4" w:space="0"/>
                                    <w:bottom w:val="nil"/>
                                  </w:tcBorders>
                                </w:tcPr>
                                <w:p>
                                  <w:pPr>
                                    <w:pStyle w:val="24"/>
                                    <w:spacing w:line="216" w:lineRule="exact"/>
                                    <w:ind w:left="62"/>
                                    <w:rPr>
                                      <w:rFonts w:ascii="宋体" w:eastAsia="宋体"/>
                                      <w:sz w:val="21"/>
                                    </w:rPr>
                                  </w:pPr>
                                  <w:r>
                                    <w:rPr>
                                      <w:rFonts w:hint="eastAsia" w:ascii="宋体" w:eastAsia="宋体"/>
                                      <w:spacing w:val="-8"/>
                                      <w:sz w:val="21"/>
                                    </w:rPr>
                                    <w:t>业环境应急预案备案管理，其中一个重要作用是环保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7" w:hRule="atLeast"/>
                              </w:trPr>
                              <w:tc>
                                <w:tcPr>
                                  <w:tcW w:w="1134" w:type="dxa"/>
                                  <w:tcBorders>
                                    <w:top w:val="single" w:color="000000" w:sz="4" w:space="0"/>
                                    <w:bottom w:val="nil"/>
                                    <w:right w:val="single" w:color="000000" w:sz="4" w:space="0"/>
                                  </w:tcBorders>
                                </w:tcPr>
                                <w:p>
                                  <w:pPr>
                                    <w:pStyle w:val="24"/>
                                    <w:rPr>
                                      <w:rFonts w:ascii="Times New Roman"/>
                                      <w:sz w:val="10"/>
                                    </w:rPr>
                                  </w:pPr>
                                </w:p>
                              </w:tc>
                              <w:tc>
                                <w:tcPr>
                                  <w:tcW w:w="426" w:type="dxa"/>
                                  <w:tcBorders>
                                    <w:top w:val="single" w:color="000000" w:sz="4" w:space="0"/>
                                    <w:left w:val="single" w:color="000000" w:sz="4" w:space="0"/>
                                    <w:bottom w:val="nil"/>
                                    <w:right w:val="single" w:color="000000" w:sz="4" w:space="0"/>
                                  </w:tcBorders>
                                </w:tcPr>
                                <w:p>
                                  <w:pPr>
                                    <w:pStyle w:val="24"/>
                                    <w:rPr>
                                      <w:rFonts w:ascii="Times New Roman"/>
                                      <w:sz w:val="10"/>
                                    </w:rPr>
                                  </w:pPr>
                                </w:p>
                              </w:tc>
                              <w:tc>
                                <w:tcPr>
                                  <w:tcW w:w="4819" w:type="dxa"/>
                                  <w:tcBorders>
                                    <w:top w:val="single" w:color="000000" w:sz="4" w:space="0"/>
                                    <w:left w:val="single" w:color="000000" w:sz="4" w:space="0"/>
                                    <w:bottom w:val="nil"/>
                                    <w:right w:val="single" w:color="000000" w:sz="4" w:space="0"/>
                                  </w:tcBorders>
                                </w:tcPr>
                                <w:p>
                                  <w:pPr>
                                    <w:pStyle w:val="24"/>
                                    <w:rPr>
                                      <w:rFonts w:ascii="Times New Roman"/>
                                      <w:sz w:val="10"/>
                                    </w:rPr>
                                  </w:pPr>
                                </w:p>
                              </w:tc>
                              <w:tc>
                                <w:tcPr>
                                  <w:tcW w:w="1276" w:type="dxa"/>
                                  <w:tcBorders>
                                    <w:top w:val="single" w:color="000000" w:sz="4" w:space="0"/>
                                    <w:left w:val="single" w:color="000000" w:sz="4" w:space="0"/>
                                    <w:bottom w:val="nil"/>
                                    <w:right w:val="single" w:color="000000" w:sz="4" w:space="0"/>
                                  </w:tcBorders>
                                </w:tcPr>
                                <w:p>
                                  <w:pPr>
                                    <w:pStyle w:val="24"/>
                                    <w:rPr>
                                      <w:rFonts w:ascii="Times New Roman"/>
                                      <w:sz w:val="10"/>
                                    </w:rPr>
                                  </w:pPr>
                                </w:p>
                              </w:tc>
                              <w:tc>
                                <w:tcPr>
                                  <w:tcW w:w="607"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1" w:hRule="atLeast"/>
                              </w:trPr>
                              <w:tc>
                                <w:tcPr>
                                  <w:tcW w:w="1134" w:type="dxa"/>
                                  <w:tcBorders>
                                    <w:top w:val="nil"/>
                                    <w:bottom w:val="nil"/>
                                    <w:right w:val="single" w:color="000000" w:sz="4" w:space="0"/>
                                  </w:tcBorders>
                                </w:tcPr>
                                <w:p>
                                  <w:pPr>
                                    <w:pStyle w:val="24"/>
                                    <w:rPr>
                                      <w:rFonts w:ascii="Times New Roman"/>
                                      <w:sz w:val="18"/>
                                    </w:rPr>
                                  </w:pPr>
                                </w:p>
                              </w:tc>
                              <w:tc>
                                <w:tcPr>
                                  <w:tcW w:w="426" w:type="dxa"/>
                                  <w:tcBorders>
                                    <w:top w:val="nil"/>
                                    <w:left w:val="single" w:color="000000" w:sz="4" w:space="0"/>
                                    <w:bottom w:val="nil"/>
                                    <w:right w:val="single" w:color="000000" w:sz="4" w:space="0"/>
                                  </w:tcBorders>
                                </w:tcPr>
                                <w:p>
                                  <w:pPr>
                                    <w:pStyle w:val="24"/>
                                    <w:rPr>
                                      <w:rFonts w:ascii="Times New Roman"/>
                                      <w:sz w:val="18"/>
                                    </w:rPr>
                                  </w:pPr>
                                </w:p>
                              </w:tc>
                              <w:tc>
                                <w:tcPr>
                                  <w:tcW w:w="4819" w:type="dxa"/>
                                  <w:tcBorders>
                                    <w:top w:val="nil"/>
                                    <w:left w:val="single" w:color="000000" w:sz="4" w:space="0"/>
                                    <w:bottom w:val="nil"/>
                                    <w:right w:val="single" w:color="000000" w:sz="4" w:space="0"/>
                                  </w:tcBorders>
                                </w:tcPr>
                                <w:p>
                                  <w:pPr>
                                    <w:pStyle w:val="24"/>
                                    <w:rPr>
                                      <w:rFonts w:ascii="Times New Roman"/>
                                      <w:sz w:val="18"/>
                                    </w:rPr>
                                  </w:pPr>
                                </w:p>
                              </w:tc>
                              <w:tc>
                                <w:tcPr>
                                  <w:tcW w:w="1276" w:type="dxa"/>
                                  <w:tcBorders>
                                    <w:top w:val="nil"/>
                                    <w:left w:val="single" w:color="000000" w:sz="4" w:space="0"/>
                                    <w:bottom w:val="nil"/>
                                    <w:right w:val="single" w:color="000000" w:sz="4" w:space="0"/>
                                  </w:tcBorders>
                                </w:tcPr>
                                <w:p>
                                  <w:pPr>
                                    <w:pStyle w:val="24"/>
                                    <w:rPr>
                                      <w:rFonts w:ascii="Times New Roman"/>
                                      <w:sz w:val="18"/>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41" w:lineRule="exact"/>
                                    <w:ind w:left="62"/>
                                    <w:rPr>
                                      <w:rFonts w:ascii="宋体" w:eastAsia="宋体"/>
                                      <w:sz w:val="21"/>
                                    </w:rPr>
                                  </w:pPr>
                                  <w:r>
                                    <w:rPr>
                                      <w:rFonts w:hint="eastAsia" w:ascii="宋体" w:eastAsia="宋体"/>
                                      <w:spacing w:val="-16"/>
                                      <w:sz w:val="21"/>
                                    </w:rPr>
                                    <w:t>部门收集信息，服务于政府环境应急预案编修；另外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1134" w:type="dxa"/>
                                  <w:tcBorders>
                                    <w:top w:val="nil"/>
                                    <w:bottom w:val="nil"/>
                                    <w:right w:val="single" w:color="000000" w:sz="4" w:space="0"/>
                                  </w:tcBorders>
                                </w:tcPr>
                                <w:p>
                                  <w:pPr>
                                    <w:pStyle w:val="24"/>
                                    <w:rPr>
                                      <w:rFonts w:ascii="Times New Roman"/>
                                      <w:sz w:val="18"/>
                                    </w:rPr>
                                  </w:pPr>
                                </w:p>
                              </w:tc>
                              <w:tc>
                                <w:tcPr>
                                  <w:tcW w:w="426" w:type="dxa"/>
                                  <w:tcBorders>
                                    <w:top w:val="nil"/>
                                    <w:left w:val="single" w:color="000000" w:sz="4" w:space="0"/>
                                    <w:bottom w:val="nil"/>
                                    <w:right w:val="single" w:color="000000" w:sz="4" w:space="0"/>
                                  </w:tcBorders>
                                </w:tcPr>
                                <w:p>
                                  <w:pPr>
                                    <w:pStyle w:val="24"/>
                                    <w:rPr>
                                      <w:rFonts w:ascii="Times New Roman"/>
                                      <w:sz w:val="18"/>
                                    </w:rPr>
                                  </w:pPr>
                                </w:p>
                              </w:tc>
                              <w:tc>
                                <w:tcPr>
                                  <w:tcW w:w="4819" w:type="dxa"/>
                                  <w:tcBorders>
                                    <w:top w:val="nil"/>
                                    <w:left w:val="single" w:color="000000" w:sz="4" w:space="0"/>
                                    <w:bottom w:val="nil"/>
                                    <w:right w:val="single" w:color="000000" w:sz="4" w:space="0"/>
                                  </w:tcBorders>
                                </w:tcPr>
                                <w:p>
                                  <w:pPr>
                                    <w:pStyle w:val="24"/>
                                    <w:rPr>
                                      <w:rFonts w:ascii="Times New Roman"/>
                                      <w:sz w:val="18"/>
                                    </w:rPr>
                                  </w:pPr>
                                </w:p>
                              </w:tc>
                              <w:tc>
                                <w:tcPr>
                                  <w:tcW w:w="1276" w:type="dxa"/>
                                  <w:tcBorders>
                                    <w:top w:val="nil"/>
                                    <w:left w:val="single" w:color="000000" w:sz="4" w:space="0"/>
                                    <w:bottom w:val="nil"/>
                                    <w:right w:val="single" w:color="000000" w:sz="4" w:space="0"/>
                                  </w:tcBorders>
                                </w:tcPr>
                                <w:p>
                                  <w:pPr>
                                    <w:pStyle w:val="24"/>
                                    <w:rPr>
                                      <w:rFonts w:ascii="Times New Roman"/>
                                      <w:sz w:val="18"/>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42" w:lineRule="exact"/>
                                    <w:ind w:left="62"/>
                                    <w:rPr>
                                      <w:rFonts w:ascii="宋体" w:eastAsia="宋体"/>
                                      <w:sz w:val="21"/>
                                    </w:rPr>
                                  </w:pPr>
                                  <w:r>
                                    <w:rPr>
                                      <w:rFonts w:hint="eastAsia" w:ascii="宋体" w:eastAsia="宋体"/>
                                      <w:spacing w:val="-10"/>
                                      <w:sz w:val="21"/>
                                    </w:rPr>
                                    <w:t>由于权限、职责、工作范围的不同，企业环境应急预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1134" w:type="dxa"/>
                                  <w:tcBorders>
                                    <w:top w:val="nil"/>
                                    <w:bottom w:val="nil"/>
                                    <w:right w:val="single" w:color="000000" w:sz="4" w:space="0"/>
                                  </w:tcBorders>
                                </w:tcPr>
                                <w:p>
                                  <w:pPr>
                                    <w:pStyle w:val="24"/>
                                    <w:rPr>
                                      <w:rFonts w:ascii="Times New Roman"/>
                                      <w:sz w:val="18"/>
                                    </w:rPr>
                                  </w:pPr>
                                </w:p>
                              </w:tc>
                              <w:tc>
                                <w:tcPr>
                                  <w:tcW w:w="426" w:type="dxa"/>
                                  <w:tcBorders>
                                    <w:top w:val="nil"/>
                                    <w:left w:val="single" w:color="000000" w:sz="4" w:space="0"/>
                                    <w:bottom w:val="nil"/>
                                    <w:right w:val="single" w:color="000000" w:sz="4" w:space="0"/>
                                  </w:tcBorders>
                                </w:tcPr>
                                <w:p>
                                  <w:pPr>
                                    <w:pStyle w:val="24"/>
                                    <w:rPr>
                                      <w:rFonts w:ascii="Times New Roman"/>
                                      <w:sz w:val="18"/>
                                    </w:rPr>
                                  </w:pPr>
                                </w:p>
                              </w:tc>
                              <w:tc>
                                <w:tcPr>
                                  <w:tcW w:w="4819" w:type="dxa"/>
                                  <w:tcBorders>
                                    <w:top w:val="nil"/>
                                    <w:left w:val="single" w:color="000000" w:sz="4" w:space="0"/>
                                    <w:bottom w:val="nil"/>
                                    <w:right w:val="single" w:color="000000" w:sz="4" w:space="0"/>
                                  </w:tcBorders>
                                </w:tcPr>
                                <w:p>
                                  <w:pPr>
                                    <w:pStyle w:val="24"/>
                                    <w:rPr>
                                      <w:rFonts w:ascii="Times New Roman"/>
                                      <w:sz w:val="18"/>
                                    </w:rPr>
                                  </w:pPr>
                                </w:p>
                              </w:tc>
                              <w:tc>
                                <w:tcPr>
                                  <w:tcW w:w="1276" w:type="dxa"/>
                                  <w:tcBorders>
                                    <w:top w:val="nil"/>
                                    <w:left w:val="single" w:color="000000" w:sz="4" w:space="0"/>
                                    <w:bottom w:val="nil"/>
                                    <w:right w:val="single" w:color="000000" w:sz="4" w:space="0"/>
                                  </w:tcBorders>
                                </w:tcPr>
                                <w:p>
                                  <w:pPr>
                                    <w:pStyle w:val="24"/>
                                    <w:rPr>
                                      <w:rFonts w:ascii="Times New Roman"/>
                                      <w:sz w:val="18"/>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42" w:lineRule="exact"/>
                                    <w:ind w:left="62"/>
                                    <w:rPr>
                                      <w:rFonts w:ascii="宋体" w:hAnsi="宋体" w:eastAsia="宋体"/>
                                      <w:sz w:val="21"/>
                                    </w:rPr>
                                  </w:pPr>
                                  <w:r>
                                    <w:rPr>
                                      <w:rFonts w:hint="eastAsia" w:ascii="宋体" w:hAnsi="宋体" w:eastAsia="宋体"/>
                                      <w:spacing w:val="-7"/>
                                      <w:sz w:val="21"/>
                                    </w:rPr>
                                    <w:t>案应该在指挥、措施、程序等方面留有“接口”，确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1134" w:type="dxa"/>
                                  <w:tcBorders>
                                    <w:top w:val="nil"/>
                                    <w:bottom w:val="nil"/>
                                    <w:right w:val="single" w:color="000000" w:sz="4" w:space="0"/>
                                  </w:tcBorders>
                                </w:tcPr>
                                <w:p>
                                  <w:pPr>
                                    <w:pStyle w:val="24"/>
                                    <w:rPr>
                                      <w:rFonts w:ascii="Times New Roman"/>
                                      <w:sz w:val="20"/>
                                    </w:rPr>
                                  </w:pPr>
                                </w:p>
                              </w:tc>
                              <w:tc>
                                <w:tcPr>
                                  <w:tcW w:w="426" w:type="dxa"/>
                                  <w:tcBorders>
                                    <w:top w:val="nil"/>
                                    <w:left w:val="single" w:color="000000" w:sz="4" w:space="0"/>
                                    <w:bottom w:val="nil"/>
                                    <w:right w:val="single" w:color="000000" w:sz="4" w:space="0"/>
                                  </w:tcBorders>
                                </w:tcPr>
                                <w:p>
                                  <w:pPr>
                                    <w:pStyle w:val="24"/>
                                    <w:rPr>
                                      <w:rFonts w:ascii="Times New Roman"/>
                                      <w:sz w:val="20"/>
                                    </w:rPr>
                                  </w:pPr>
                                </w:p>
                              </w:tc>
                              <w:tc>
                                <w:tcPr>
                                  <w:tcW w:w="4819" w:type="dxa"/>
                                  <w:tcBorders>
                                    <w:top w:val="nil"/>
                                    <w:left w:val="single" w:color="000000" w:sz="4" w:space="0"/>
                                    <w:bottom w:val="nil"/>
                                    <w:right w:val="single" w:color="000000" w:sz="4" w:space="0"/>
                                  </w:tcBorders>
                                </w:tcPr>
                                <w:p>
                                  <w:pPr>
                                    <w:pStyle w:val="24"/>
                                    <w:rPr>
                                      <w:rFonts w:ascii="Times New Roman"/>
                                      <w:sz w:val="20"/>
                                    </w:rPr>
                                  </w:pPr>
                                </w:p>
                              </w:tc>
                              <w:tc>
                                <w:tcPr>
                                  <w:tcW w:w="1276" w:type="dxa"/>
                                  <w:tcBorders>
                                    <w:top w:val="nil"/>
                                    <w:left w:val="single" w:color="000000" w:sz="4" w:space="0"/>
                                    <w:bottom w:val="nil"/>
                                    <w:right w:val="single" w:color="000000" w:sz="4" w:space="0"/>
                                  </w:tcBorders>
                                </w:tcPr>
                                <w:p>
                                  <w:pPr>
                                    <w:pStyle w:val="24"/>
                                    <w:rPr>
                                      <w:rFonts w:ascii="Times New Roman"/>
                                      <w:sz w:val="20"/>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65" w:lineRule="exact"/>
                                    <w:ind w:left="62"/>
                                    <w:rPr>
                                      <w:rFonts w:ascii="宋体" w:eastAsia="宋体"/>
                                      <w:sz w:val="21"/>
                                    </w:rPr>
                                  </w:pPr>
                                  <w:r>
                                    <w:rPr>
                                      <w:rFonts w:hint="eastAsia" w:ascii="宋体" w:eastAsia="宋体"/>
                                      <w:sz w:val="21"/>
                                    </w:rPr>
                                    <w:t>保与政府预案有机衔接。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4" w:hRule="atLeast"/>
                              </w:trPr>
                              <w:tc>
                                <w:tcPr>
                                  <w:tcW w:w="1134" w:type="dxa"/>
                                  <w:tcBorders>
                                    <w:top w:val="nil"/>
                                    <w:bottom w:val="nil"/>
                                    <w:right w:val="single" w:color="000000" w:sz="4" w:space="0"/>
                                  </w:tcBorders>
                                </w:tcPr>
                                <w:p>
                                  <w:pPr>
                                    <w:pStyle w:val="24"/>
                                    <w:spacing w:before="6"/>
                                    <w:rPr>
                                      <w:rFonts w:ascii="宋体"/>
                                      <w:sz w:val="28"/>
                                    </w:rPr>
                                  </w:pPr>
                                </w:p>
                                <w:p>
                                  <w:pPr>
                                    <w:pStyle w:val="24"/>
                                    <w:ind w:left="125" w:right="113"/>
                                    <w:jc w:val="center"/>
                                    <w:rPr>
                                      <w:rFonts w:ascii="宋体" w:eastAsia="宋体"/>
                                      <w:sz w:val="21"/>
                                    </w:rPr>
                                  </w:pPr>
                                  <w:r>
                                    <w:rPr>
                                      <w:rFonts w:hint="eastAsia" w:ascii="宋体" w:eastAsia="宋体"/>
                                      <w:sz w:val="21"/>
                                    </w:rPr>
                                    <w:t>工作原则</w:t>
                                  </w:r>
                                </w:p>
                              </w:tc>
                              <w:tc>
                                <w:tcPr>
                                  <w:tcW w:w="426" w:type="dxa"/>
                                  <w:tcBorders>
                                    <w:top w:val="nil"/>
                                    <w:left w:val="single" w:color="000000" w:sz="4" w:space="0"/>
                                    <w:bottom w:val="nil"/>
                                    <w:right w:val="single" w:color="000000" w:sz="4" w:space="0"/>
                                  </w:tcBorders>
                                </w:tcPr>
                                <w:p>
                                  <w:pPr>
                                    <w:pStyle w:val="24"/>
                                    <w:spacing w:before="6"/>
                                    <w:rPr>
                                      <w:rFonts w:ascii="宋体"/>
                                      <w:sz w:val="28"/>
                                    </w:rPr>
                                  </w:pPr>
                                </w:p>
                                <w:p>
                                  <w:pPr>
                                    <w:pStyle w:val="24"/>
                                    <w:ind w:left="18"/>
                                    <w:jc w:val="center"/>
                                    <w:rPr>
                                      <w:rFonts w:ascii="宋体"/>
                                      <w:sz w:val="21"/>
                                    </w:rPr>
                                  </w:pPr>
                                  <w:r>
                                    <w:rPr>
                                      <w:rFonts w:ascii="宋体"/>
                                      <w:w w:val="99"/>
                                      <w:sz w:val="21"/>
                                    </w:rPr>
                                    <w:t>8</w:t>
                                  </w:r>
                                </w:p>
                              </w:tc>
                              <w:tc>
                                <w:tcPr>
                                  <w:tcW w:w="4819" w:type="dxa"/>
                                  <w:tcBorders>
                                    <w:top w:val="nil"/>
                                    <w:left w:val="single" w:color="000000" w:sz="4" w:space="0"/>
                                    <w:bottom w:val="nil"/>
                                    <w:right w:val="single" w:color="000000" w:sz="4" w:space="0"/>
                                  </w:tcBorders>
                                </w:tcPr>
                                <w:p>
                                  <w:pPr>
                                    <w:pStyle w:val="24"/>
                                    <w:spacing w:before="91" w:line="242" w:lineRule="auto"/>
                                    <w:ind w:left="60" w:right="3"/>
                                    <w:jc w:val="both"/>
                                    <w:rPr>
                                      <w:rFonts w:ascii="宋体" w:eastAsia="宋体"/>
                                      <w:sz w:val="21"/>
                                    </w:rPr>
                                  </w:pPr>
                                  <w:r>
                                    <w:rPr>
                                      <w:rFonts w:hint="eastAsia" w:ascii="宋体" w:eastAsia="宋体"/>
                                      <w:spacing w:val="-5"/>
                                      <w:w w:val="95"/>
                                      <w:sz w:val="21"/>
                                    </w:rPr>
                                    <w:t xml:space="preserve">体现：符合国家有关规定和要求，结合本单位实际； </w:t>
                                  </w:r>
                                  <w:r>
                                    <w:rPr>
                                      <w:rFonts w:hint="eastAsia" w:ascii="宋体" w:eastAsia="宋体"/>
                                      <w:spacing w:val="-8"/>
                                      <w:sz w:val="21"/>
                                    </w:rPr>
                                    <w:t>救人第一、环境优先；先期处置、防止危害扩大；快</w:t>
                                  </w:r>
                                  <w:r>
                                    <w:rPr>
                                      <w:rFonts w:hint="eastAsia" w:ascii="宋体" w:eastAsia="宋体"/>
                                      <w:spacing w:val="-5"/>
                                      <w:sz w:val="21"/>
                                    </w:rPr>
                                    <w:t>速响应、科学应对；应急工作与岗位职责相结合等</w:t>
                                  </w:r>
                                </w:p>
                              </w:tc>
                              <w:tc>
                                <w:tcPr>
                                  <w:tcW w:w="1276" w:type="dxa"/>
                                  <w:tcBorders>
                                    <w:top w:val="nil"/>
                                    <w:left w:val="single" w:color="000000" w:sz="4" w:space="0"/>
                                    <w:bottom w:val="nil"/>
                                    <w:right w:val="single" w:color="000000" w:sz="4" w:space="0"/>
                                  </w:tcBorders>
                                </w:tcPr>
                                <w:p>
                                  <w:pPr>
                                    <w:pStyle w:val="24"/>
                                    <w:spacing w:before="91"/>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5"/>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before="174" w:line="270" w:lineRule="atLeast"/>
                                    <w:ind w:left="62" w:right="35"/>
                                    <w:rPr>
                                      <w:rFonts w:ascii="宋体" w:eastAsia="宋体"/>
                                      <w:sz w:val="21"/>
                                    </w:rPr>
                                  </w:pPr>
                                  <w:r>
                                    <w:rPr>
                                      <w:rFonts w:hint="eastAsia" w:ascii="宋体" w:eastAsia="宋体"/>
                                      <w:spacing w:val="-10"/>
                                      <w:w w:val="95"/>
                                      <w:sz w:val="21"/>
                                    </w:rPr>
                                    <w:t xml:space="preserve">适用主体，指组织实施预案的责任单位；地理或管理 </w:t>
                                  </w:r>
                                  <w:r>
                                    <w:rPr>
                                      <w:rFonts w:hint="eastAsia" w:ascii="宋体" w:eastAsia="宋体"/>
                                      <w:spacing w:val="-10"/>
                                      <w:sz w:val="21"/>
                                    </w:rPr>
                                    <w:t>范围，如某公司内、某公司及周边环境敏感区域内</w:t>
                                  </w:r>
                                  <w:r>
                                    <w:rPr>
                                      <w:rFonts w:hint="eastAsia" w:ascii="宋体" w:eastAsia="宋体"/>
                                      <w:spacing w:val="-12"/>
                                      <w:w w:val="95"/>
                                      <w:sz w:val="21"/>
                                    </w:rPr>
                                    <w:t>事件类别，如生产废水事故排放、化学品泄漏、燃烧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1134" w:type="dxa"/>
                                  <w:tcBorders>
                                    <w:top w:val="nil"/>
                                    <w:bottom w:val="nil"/>
                                    <w:right w:val="single" w:color="000000" w:sz="4" w:space="0"/>
                                  </w:tcBorders>
                                </w:tcPr>
                                <w:p>
                                  <w:pPr>
                                    <w:pStyle w:val="24"/>
                                    <w:rPr>
                                      <w:rFonts w:ascii="Times New Roman"/>
                                      <w:sz w:val="18"/>
                                    </w:rPr>
                                  </w:pPr>
                                </w:p>
                              </w:tc>
                              <w:tc>
                                <w:tcPr>
                                  <w:tcW w:w="426" w:type="dxa"/>
                                  <w:tcBorders>
                                    <w:top w:val="nil"/>
                                    <w:left w:val="single" w:color="000000" w:sz="4" w:space="0"/>
                                    <w:bottom w:val="nil"/>
                                    <w:right w:val="single" w:color="000000" w:sz="4" w:space="0"/>
                                  </w:tcBorders>
                                </w:tcPr>
                                <w:p>
                                  <w:pPr>
                                    <w:pStyle w:val="24"/>
                                    <w:rPr>
                                      <w:rFonts w:ascii="Times New Roman"/>
                                      <w:sz w:val="18"/>
                                    </w:rPr>
                                  </w:pPr>
                                </w:p>
                              </w:tc>
                              <w:tc>
                                <w:tcPr>
                                  <w:tcW w:w="4819" w:type="dxa"/>
                                  <w:tcBorders>
                                    <w:top w:val="nil"/>
                                    <w:left w:val="single" w:color="000000" w:sz="4" w:space="0"/>
                                    <w:bottom w:val="nil"/>
                                    <w:right w:val="single" w:color="000000" w:sz="4" w:space="0"/>
                                  </w:tcBorders>
                                </w:tcPr>
                                <w:p>
                                  <w:pPr>
                                    <w:pStyle w:val="24"/>
                                    <w:rPr>
                                      <w:rFonts w:ascii="Times New Roman"/>
                                      <w:sz w:val="18"/>
                                    </w:rPr>
                                  </w:pPr>
                                </w:p>
                              </w:tc>
                              <w:tc>
                                <w:tcPr>
                                  <w:tcW w:w="1276" w:type="dxa"/>
                                  <w:tcBorders>
                                    <w:top w:val="nil"/>
                                    <w:left w:val="single" w:color="000000" w:sz="4" w:space="0"/>
                                    <w:bottom w:val="nil"/>
                                    <w:right w:val="single" w:color="000000" w:sz="4" w:space="0"/>
                                  </w:tcBorders>
                                </w:tcPr>
                                <w:p>
                                  <w:pPr>
                                    <w:pStyle w:val="24"/>
                                    <w:rPr>
                                      <w:rFonts w:ascii="Times New Roman"/>
                                      <w:sz w:val="18"/>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42" w:lineRule="exact"/>
                                    <w:ind w:left="62"/>
                                    <w:rPr>
                                      <w:rFonts w:ascii="宋体" w:eastAsia="宋体"/>
                                      <w:sz w:val="21"/>
                                    </w:rPr>
                                  </w:pPr>
                                  <w:r>
                                    <w:rPr>
                                      <w:rFonts w:hint="eastAsia" w:ascii="宋体" w:eastAsia="宋体"/>
                                      <w:spacing w:val="-7"/>
                                      <w:sz w:val="21"/>
                                    </w:rPr>
                                    <w:t>或爆炸次生环境事件等；工作内容，可包括预警、处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1134" w:type="dxa"/>
                                  <w:tcBorders>
                                    <w:top w:val="nil"/>
                                    <w:bottom w:val="nil"/>
                                    <w:right w:val="single" w:color="000000" w:sz="4" w:space="0"/>
                                  </w:tcBorders>
                                </w:tcPr>
                                <w:p>
                                  <w:pPr>
                                    <w:pStyle w:val="24"/>
                                    <w:rPr>
                                      <w:rFonts w:ascii="Times New Roman"/>
                                      <w:sz w:val="18"/>
                                    </w:rPr>
                                  </w:pPr>
                                </w:p>
                              </w:tc>
                              <w:tc>
                                <w:tcPr>
                                  <w:tcW w:w="426" w:type="dxa"/>
                                  <w:tcBorders>
                                    <w:top w:val="nil"/>
                                    <w:left w:val="single" w:color="000000" w:sz="4" w:space="0"/>
                                    <w:bottom w:val="nil"/>
                                    <w:right w:val="single" w:color="000000" w:sz="4" w:space="0"/>
                                  </w:tcBorders>
                                </w:tcPr>
                                <w:p>
                                  <w:pPr>
                                    <w:pStyle w:val="24"/>
                                    <w:rPr>
                                      <w:rFonts w:ascii="Times New Roman"/>
                                      <w:sz w:val="18"/>
                                    </w:rPr>
                                  </w:pPr>
                                </w:p>
                              </w:tc>
                              <w:tc>
                                <w:tcPr>
                                  <w:tcW w:w="4819" w:type="dxa"/>
                                  <w:tcBorders>
                                    <w:top w:val="nil"/>
                                    <w:left w:val="single" w:color="000000" w:sz="4" w:space="0"/>
                                    <w:bottom w:val="nil"/>
                                    <w:right w:val="single" w:color="000000" w:sz="4" w:space="0"/>
                                  </w:tcBorders>
                                </w:tcPr>
                                <w:p>
                                  <w:pPr>
                                    <w:pStyle w:val="24"/>
                                    <w:rPr>
                                      <w:rFonts w:ascii="Times New Roman"/>
                                      <w:sz w:val="18"/>
                                    </w:rPr>
                                  </w:pPr>
                                </w:p>
                              </w:tc>
                              <w:tc>
                                <w:tcPr>
                                  <w:tcW w:w="1276" w:type="dxa"/>
                                  <w:tcBorders>
                                    <w:top w:val="nil"/>
                                    <w:left w:val="single" w:color="000000" w:sz="4" w:space="0"/>
                                    <w:bottom w:val="nil"/>
                                    <w:right w:val="single" w:color="000000" w:sz="4" w:space="0"/>
                                  </w:tcBorders>
                                </w:tcPr>
                                <w:p>
                                  <w:pPr>
                                    <w:pStyle w:val="24"/>
                                    <w:rPr>
                                      <w:rFonts w:ascii="Times New Roman"/>
                                      <w:sz w:val="18"/>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42" w:lineRule="exact"/>
                                    <w:ind w:left="62"/>
                                    <w:rPr>
                                      <w:rFonts w:ascii="宋体" w:eastAsia="宋体"/>
                                      <w:sz w:val="21"/>
                                    </w:rPr>
                                  </w:pPr>
                                  <w:r>
                                    <w:rPr>
                                      <w:rFonts w:hint="eastAsia" w:ascii="宋体" w:eastAsia="宋体"/>
                                      <w:sz w:val="21"/>
                                    </w:rPr>
                                    <w:t>置、监测等。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1134" w:type="dxa"/>
                                  <w:tcBorders>
                                    <w:top w:val="nil"/>
                                    <w:bottom w:val="nil"/>
                                    <w:right w:val="single" w:color="000000" w:sz="4" w:space="0"/>
                                  </w:tcBorders>
                                </w:tcPr>
                                <w:p>
                                  <w:pPr>
                                    <w:pStyle w:val="24"/>
                                    <w:rPr>
                                      <w:rFonts w:ascii="Times New Roman"/>
                                      <w:sz w:val="18"/>
                                    </w:rPr>
                                  </w:pPr>
                                </w:p>
                              </w:tc>
                              <w:tc>
                                <w:tcPr>
                                  <w:tcW w:w="426" w:type="dxa"/>
                                  <w:tcBorders>
                                    <w:top w:val="nil"/>
                                    <w:left w:val="single" w:color="000000" w:sz="4" w:space="0"/>
                                    <w:bottom w:val="nil"/>
                                    <w:right w:val="single" w:color="000000" w:sz="4" w:space="0"/>
                                  </w:tcBorders>
                                </w:tcPr>
                                <w:p>
                                  <w:pPr>
                                    <w:pStyle w:val="24"/>
                                    <w:rPr>
                                      <w:rFonts w:ascii="Times New Roman"/>
                                      <w:sz w:val="18"/>
                                    </w:rPr>
                                  </w:pPr>
                                </w:p>
                              </w:tc>
                              <w:tc>
                                <w:tcPr>
                                  <w:tcW w:w="4819" w:type="dxa"/>
                                  <w:tcBorders>
                                    <w:top w:val="nil"/>
                                    <w:left w:val="single" w:color="000000" w:sz="4" w:space="0"/>
                                    <w:bottom w:val="nil"/>
                                    <w:right w:val="single" w:color="000000" w:sz="4" w:space="0"/>
                                  </w:tcBorders>
                                </w:tcPr>
                                <w:p>
                                  <w:pPr>
                                    <w:pStyle w:val="24"/>
                                    <w:rPr>
                                      <w:rFonts w:ascii="Times New Roman"/>
                                      <w:sz w:val="18"/>
                                    </w:rPr>
                                  </w:pPr>
                                </w:p>
                              </w:tc>
                              <w:tc>
                                <w:tcPr>
                                  <w:tcW w:w="1276" w:type="dxa"/>
                                  <w:tcBorders>
                                    <w:top w:val="nil"/>
                                    <w:left w:val="single" w:color="000000" w:sz="4" w:space="0"/>
                                    <w:bottom w:val="nil"/>
                                    <w:right w:val="single" w:color="000000" w:sz="4" w:space="0"/>
                                  </w:tcBorders>
                                </w:tcPr>
                                <w:p>
                                  <w:pPr>
                                    <w:pStyle w:val="24"/>
                                    <w:rPr>
                                      <w:rFonts w:ascii="Times New Roman"/>
                                      <w:sz w:val="18"/>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42" w:lineRule="exact"/>
                                    <w:ind w:left="62"/>
                                    <w:rPr>
                                      <w:rFonts w:ascii="宋体" w:eastAsia="宋体"/>
                                      <w:sz w:val="21"/>
                                    </w:rPr>
                                  </w:pPr>
                                  <w:r>
                                    <w:rPr>
                                      <w:rFonts w:hint="eastAsia" w:ascii="宋体" w:eastAsia="宋体"/>
                                      <w:spacing w:val="-10"/>
                                      <w:sz w:val="21"/>
                                    </w:rPr>
                                    <w:t>坚持环境优先，是因为环境一旦受到污染，修复难度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1134" w:type="dxa"/>
                                  <w:tcBorders>
                                    <w:top w:val="nil"/>
                                    <w:bottom w:val="nil"/>
                                    <w:right w:val="single" w:color="000000" w:sz="4" w:space="0"/>
                                  </w:tcBorders>
                                </w:tcPr>
                                <w:p>
                                  <w:pPr>
                                    <w:pStyle w:val="24"/>
                                    <w:rPr>
                                      <w:rFonts w:ascii="Times New Roman"/>
                                      <w:sz w:val="18"/>
                                    </w:rPr>
                                  </w:pPr>
                                </w:p>
                              </w:tc>
                              <w:tc>
                                <w:tcPr>
                                  <w:tcW w:w="426" w:type="dxa"/>
                                  <w:tcBorders>
                                    <w:top w:val="nil"/>
                                    <w:left w:val="single" w:color="000000" w:sz="4" w:space="0"/>
                                    <w:bottom w:val="nil"/>
                                    <w:right w:val="single" w:color="000000" w:sz="4" w:space="0"/>
                                  </w:tcBorders>
                                </w:tcPr>
                                <w:p>
                                  <w:pPr>
                                    <w:pStyle w:val="24"/>
                                    <w:rPr>
                                      <w:rFonts w:ascii="Times New Roman"/>
                                      <w:sz w:val="18"/>
                                    </w:rPr>
                                  </w:pPr>
                                </w:p>
                              </w:tc>
                              <w:tc>
                                <w:tcPr>
                                  <w:tcW w:w="4819" w:type="dxa"/>
                                  <w:tcBorders>
                                    <w:top w:val="nil"/>
                                    <w:left w:val="single" w:color="000000" w:sz="4" w:space="0"/>
                                    <w:bottom w:val="nil"/>
                                    <w:right w:val="single" w:color="000000" w:sz="4" w:space="0"/>
                                  </w:tcBorders>
                                </w:tcPr>
                                <w:p>
                                  <w:pPr>
                                    <w:pStyle w:val="24"/>
                                    <w:rPr>
                                      <w:rFonts w:ascii="Times New Roman"/>
                                      <w:sz w:val="18"/>
                                    </w:rPr>
                                  </w:pPr>
                                </w:p>
                              </w:tc>
                              <w:tc>
                                <w:tcPr>
                                  <w:tcW w:w="1276" w:type="dxa"/>
                                  <w:tcBorders>
                                    <w:top w:val="nil"/>
                                    <w:left w:val="single" w:color="000000" w:sz="4" w:space="0"/>
                                    <w:bottom w:val="nil"/>
                                    <w:right w:val="single" w:color="000000" w:sz="4" w:space="0"/>
                                  </w:tcBorders>
                                </w:tcPr>
                                <w:p>
                                  <w:pPr>
                                    <w:pStyle w:val="24"/>
                                    <w:rPr>
                                      <w:rFonts w:ascii="Times New Roman"/>
                                      <w:sz w:val="18"/>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42" w:lineRule="exact"/>
                                    <w:ind w:left="62"/>
                                    <w:rPr>
                                      <w:rFonts w:ascii="宋体" w:eastAsia="宋体"/>
                                      <w:sz w:val="21"/>
                                    </w:rPr>
                                  </w:pPr>
                                  <w:r>
                                    <w:rPr>
                                      <w:rFonts w:hint="eastAsia" w:ascii="宋体" w:eastAsia="宋体"/>
                                      <w:spacing w:val="-10"/>
                                      <w:sz w:val="21"/>
                                    </w:rPr>
                                    <w:t>大且成本高；应急工作与岗位职责相结合，强调应急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1134" w:type="dxa"/>
                                  <w:tcBorders>
                                    <w:top w:val="nil"/>
                                    <w:bottom w:val="single" w:color="000000" w:sz="4" w:space="0"/>
                                    <w:right w:val="single" w:color="000000" w:sz="4" w:space="0"/>
                                  </w:tcBorders>
                                </w:tcPr>
                                <w:p>
                                  <w:pPr>
                                    <w:pStyle w:val="24"/>
                                    <w:rPr>
                                      <w:rFonts w:ascii="Times New Roman"/>
                                      <w:sz w:val="18"/>
                                    </w:rPr>
                                  </w:pPr>
                                </w:p>
                              </w:tc>
                              <w:tc>
                                <w:tcPr>
                                  <w:tcW w:w="426" w:type="dxa"/>
                                  <w:tcBorders>
                                    <w:top w:val="nil"/>
                                    <w:left w:val="single" w:color="000000" w:sz="4" w:space="0"/>
                                    <w:bottom w:val="single" w:color="000000" w:sz="4" w:space="0"/>
                                    <w:right w:val="single" w:color="000000" w:sz="4" w:space="0"/>
                                  </w:tcBorders>
                                </w:tcPr>
                                <w:p>
                                  <w:pPr>
                                    <w:pStyle w:val="24"/>
                                    <w:rPr>
                                      <w:rFonts w:ascii="Times New Roman"/>
                                      <w:sz w:val="18"/>
                                    </w:rPr>
                                  </w:pPr>
                                </w:p>
                              </w:tc>
                              <w:tc>
                                <w:tcPr>
                                  <w:tcW w:w="4819" w:type="dxa"/>
                                  <w:tcBorders>
                                    <w:top w:val="nil"/>
                                    <w:left w:val="single" w:color="000000" w:sz="4" w:space="0"/>
                                    <w:bottom w:val="single" w:color="000000" w:sz="4" w:space="0"/>
                                    <w:right w:val="single" w:color="000000" w:sz="4" w:space="0"/>
                                  </w:tcBorders>
                                </w:tcPr>
                                <w:p>
                                  <w:pPr>
                                    <w:pStyle w:val="24"/>
                                    <w:rPr>
                                      <w:rFonts w:ascii="Times New Roman"/>
                                      <w:sz w:val="18"/>
                                    </w:rPr>
                                  </w:pPr>
                                </w:p>
                              </w:tc>
                              <w:tc>
                                <w:tcPr>
                                  <w:tcW w:w="1276" w:type="dxa"/>
                                  <w:tcBorders>
                                    <w:top w:val="nil"/>
                                    <w:left w:val="single" w:color="000000" w:sz="4" w:space="0"/>
                                    <w:bottom w:val="single" w:color="000000" w:sz="4" w:space="0"/>
                                    <w:right w:val="single" w:color="000000" w:sz="4" w:space="0"/>
                                  </w:tcBorders>
                                </w:tcPr>
                                <w:p>
                                  <w:pPr>
                                    <w:pStyle w:val="24"/>
                                    <w:rPr>
                                      <w:rFonts w:ascii="Times New Roman"/>
                                      <w:sz w:val="18"/>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single" w:color="000000" w:sz="4" w:space="0"/>
                                  </w:tcBorders>
                                </w:tcPr>
                                <w:p>
                                  <w:pPr>
                                    <w:pStyle w:val="24"/>
                                    <w:spacing w:line="248" w:lineRule="exact"/>
                                    <w:ind w:left="62"/>
                                    <w:rPr>
                                      <w:rFonts w:ascii="宋体" w:eastAsia="宋体"/>
                                      <w:sz w:val="21"/>
                                    </w:rPr>
                                  </w:pPr>
                                  <w:r>
                                    <w:rPr>
                                      <w:rFonts w:hint="eastAsia" w:ascii="宋体" w:eastAsia="宋体"/>
                                      <w:sz w:val="21"/>
                                    </w:rPr>
                                    <w:t>任务要细化落实到具体工作岗位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6" w:hRule="atLeast"/>
                              </w:trPr>
                              <w:tc>
                                <w:tcPr>
                                  <w:tcW w:w="1134" w:type="dxa"/>
                                  <w:tcBorders>
                                    <w:top w:val="single" w:color="000000" w:sz="4" w:space="0"/>
                                    <w:bottom w:val="nil"/>
                                    <w:right w:val="single" w:color="000000" w:sz="4" w:space="0"/>
                                  </w:tcBorders>
                                </w:tcPr>
                                <w:p>
                                  <w:pPr>
                                    <w:pStyle w:val="24"/>
                                    <w:rPr>
                                      <w:rFonts w:ascii="Times New Roman"/>
                                      <w:sz w:val="18"/>
                                    </w:rPr>
                                  </w:pPr>
                                </w:p>
                              </w:tc>
                              <w:tc>
                                <w:tcPr>
                                  <w:tcW w:w="426" w:type="dxa"/>
                                  <w:tcBorders>
                                    <w:top w:val="single" w:color="000000" w:sz="4" w:space="0"/>
                                    <w:left w:val="single" w:color="000000" w:sz="4" w:space="0"/>
                                    <w:bottom w:val="nil"/>
                                    <w:right w:val="single" w:color="000000" w:sz="4" w:space="0"/>
                                  </w:tcBorders>
                                </w:tcPr>
                                <w:p>
                                  <w:pPr>
                                    <w:pStyle w:val="24"/>
                                    <w:rPr>
                                      <w:rFonts w:ascii="Times New Roman"/>
                                      <w:sz w:val="18"/>
                                    </w:rPr>
                                  </w:pPr>
                                </w:p>
                              </w:tc>
                              <w:tc>
                                <w:tcPr>
                                  <w:tcW w:w="4819" w:type="dxa"/>
                                  <w:tcBorders>
                                    <w:top w:val="single" w:color="000000" w:sz="4" w:space="0"/>
                                    <w:left w:val="single" w:color="000000" w:sz="4" w:space="0"/>
                                    <w:bottom w:val="nil"/>
                                    <w:right w:val="single" w:color="000000" w:sz="4" w:space="0"/>
                                  </w:tcBorders>
                                </w:tcPr>
                                <w:p>
                                  <w:pPr>
                                    <w:pStyle w:val="24"/>
                                    <w:rPr>
                                      <w:rFonts w:ascii="Times New Roman"/>
                                      <w:sz w:val="18"/>
                                    </w:rPr>
                                  </w:pPr>
                                </w:p>
                              </w:tc>
                              <w:tc>
                                <w:tcPr>
                                  <w:tcW w:w="1276" w:type="dxa"/>
                                  <w:vMerge w:val="restart"/>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rPr>
                                      <w:rFonts w:ascii="宋体"/>
                                      <w:sz w:val="20"/>
                                    </w:rPr>
                                  </w:pPr>
                                </w:p>
                                <w:p>
                                  <w:pPr>
                                    <w:pStyle w:val="24"/>
                                    <w:spacing w:before="1"/>
                                    <w:rPr>
                                      <w:rFonts w:ascii="宋体"/>
                                      <w:sz w:val="29"/>
                                    </w:rPr>
                                  </w:pPr>
                                </w:p>
                                <w:p>
                                  <w:pPr>
                                    <w:pStyle w:val="24"/>
                                    <w:ind w:left="60"/>
                                    <w:rPr>
                                      <w:rFonts w:ascii="宋体" w:hAnsi="宋体" w:eastAsia="宋体"/>
                                      <w:sz w:val="21"/>
                                    </w:rPr>
                                  </w:pPr>
                                  <w:r>
                                    <w:rPr>
                                      <w:rFonts w:hint="eastAsia" w:ascii="宋体" w:hAnsi="宋体" w:eastAsia="宋体"/>
                                      <w:sz w:val="21"/>
                                    </w:rPr>
                                    <w:t>□符合</w:t>
                                  </w:r>
                                </w:p>
                                <w:p>
                                  <w:pPr>
                                    <w:pStyle w:val="24"/>
                                    <w:spacing w:before="26" w:line="156" w:lineRule="auto"/>
                                    <w:ind w:left="-158"/>
                                    <w:rPr>
                                      <w:rFonts w:ascii="宋体" w:hAnsi="宋体" w:eastAsia="宋体"/>
                                      <w:sz w:val="21"/>
                                    </w:rPr>
                                  </w:pPr>
                                  <w:r>
                                    <w:rPr>
                                      <w:rFonts w:hint="eastAsia" w:ascii="宋体" w:hAnsi="宋体" w:eastAsia="宋体"/>
                                      <w:position w:val="-13"/>
                                      <w:sz w:val="21"/>
                                    </w:rPr>
                                    <w:t>，</w:t>
                                  </w:r>
                                  <w:r>
                                    <w:rPr>
                                      <w:rFonts w:hint="eastAsia" w:ascii="宋体" w:hAnsi="宋体" w:eastAsia="宋体"/>
                                      <w:sz w:val="21"/>
                                    </w:rPr>
                                    <w:sym w:font="Wingdings 2" w:char="0052"/>
                                  </w:r>
                                  <w:r>
                                    <w:rPr>
                                      <w:rFonts w:hint="eastAsia" w:ascii="宋体" w:hAnsi="宋体" w:eastAsia="宋体"/>
                                      <w:sz w:val="21"/>
                                    </w:rPr>
                                    <w:t>部分符合</w:t>
                                  </w:r>
                                </w:p>
                                <w:p>
                                  <w:pPr>
                                    <w:pStyle w:val="24"/>
                                    <w:spacing w:line="201" w:lineRule="exact"/>
                                    <w:ind w:left="60"/>
                                    <w:rPr>
                                      <w:rFonts w:ascii="宋体" w:hAnsi="宋体" w:eastAsia="宋体"/>
                                      <w:sz w:val="21"/>
                                    </w:rPr>
                                  </w:pPr>
                                  <w:r>
                                    <w:rPr>
                                      <w:rFonts w:hint="eastAsia" w:ascii="宋体" w:hAnsi="宋体" w:eastAsia="宋体"/>
                                      <w:sz w:val="21"/>
                                    </w:rPr>
                                    <w:t>□不符合</w:t>
                                  </w:r>
                                </w:p>
                              </w:tc>
                              <w:tc>
                                <w:tcPr>
                                  <w:tcW w:w="607"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nil"/>
                                  </w:tcBorders>
                                </w:tcPr>
                                <w:p>
                                  <w:pPr>
                                    <w:pStyle w:val="24"/>
                                    <w:spacing w:line="246" w:lineRule="exact"/>
                                    <w:ind w:left="62"/>
                                    <w:rPr>
                                      <w:rFonts w:ascii="宋体" w:eastAsia="宋体"/>
                                      <w:sz w:val="21"/>
                                    </w:rPr>
                                  </w:pPr>
                                  <w:r>
                                    <w:rPr>
                                      <w:rFonts w:hint="eastAsia" w:ascii="宋体" w:eastAsia="宋体"/>
                                      <w:spacing w:val="-10"/>
                                      <w:sz w:val="21"/>
                                    </w:rPr>
                                    <w:t>本项目的三项指标，主要考察企业在环境应急预案编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1134" w:type="dxa"/>
                                  <w:tcBorders>
                                    <w:top w:val="nil"/>
                                    <w:bottom w:val="nil"/>
                                    <w:right w:val="single" w:color="000000" w:sz="4" w:space="0"/>
                                  </w:tcBorders>
                                </w:tcPr>
                                <w:p>
                                  <w:pPr>
                                    <w:pStyle w:val="24"/>
                                    <w:rPr>
                                      <w:rFonts w:ascii="Times New Roman"/>
                                      <w:sz w:val="18"/>
                                    </w:rPr>
                                  </w:pPr>
                                </w:p>
                              </w:tc>
                              <w:tc>
                                <w:tcPr>
                                  <w:tcW w:w="426" w:type="dxa"/>
                                  <w:tcBorders>
                                    <w:top w:val="nil"/>
                                    <w:left w:val="single" w:color="000000" w:sz="4" w:space="0"/>
                                    <w:bottom w:val="nil"/>
                                    <w:right w:val="single" w:color="000000" w:sz="4" w:space="0"/>
                                  </w:tcBorders>
                                </w:tcPr>
                                <w:p>
                                  <w:pPr>
                                    <w:pStyle w:val="24"/>
                                    <w:rPr>
                                      <w:rFonts w:ascii="Times New Roman"/>
                                      <w:sz w:val="18"/>
                                    </w:rPr>
                                  </w:pPr>
                                </w:p>
                              </w:tc>
                              <w:tc>
                                <w:tcPr>
                                  <w:tcW w:w="4819" w:type="dxa"/>
                                  <w:tcBorders>
                                    <w:top w:val="nil"/>
                                    <w:left w:val="single" w:color="000000" w:sz="4" w:space="0"/>
                                    <w:bottom w:val="nil"/>
                                    <w:right w:val="single" w:color="000000" w:sz="4" w:space="0"/>
                                  </w:tcBorders>
                                </w:tcPr>
                                <w:p>
                                  <w:pPr>
                                    <w:pStyle w:val="24"/>
                                    <w:rPr>
                                      <w:rFonts w:ascii="Times New Roman"/>
                                      <w:sz w:val="18"/>
                                    </w:rPr>
                                  </w:pPr>
                                </w:p>
                              </w:tc>
                              <w:tc>
                                <w:tcPr>
                                  <w:tcW w:w="1276" w:type="dxa"/>
                                  <w:vMerge w:val="continue"/>
                                  <w:tcBorders>
                                    <w:top w:val="nil"/>
                                    <w:left w:val="single" w:color="000000" w:sz="4" w:space="0"/>
                                    <w:bottom w:val="single" w:color="000000" w:sz="4" w:space="0"/>
                                    <w:right w:val="single" w:color="000000" w:sz="4" w:space="0"/>
                                  </w:tcBorders>
                                </w:tcPr>
                                <w:p>
                                  <w:pPr>
                                    <w:rPr>
                                      <w:sz w:val="2"/>
                                      <w:szCs w:val="2"/>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42" w:lineRule="exact"/>
                                    <w:ind w:left="62"/>
                                    <w:rPr>
                                      <w:rFonts w:ascii="宋体" w:eastAsia="宋体"/>
                                      <w:sz w:val="21"/>
                                    </w:rPr>
                                  </w:pPr>
                                  <w:r>
                                    <w:rPr>
                                      <w:rFonts w:hint="eastAsia" w:ascii="宋体" w:eastAsia="宋体"/>
                                      <w:spacing w:val="-7"/>
                                      <w:sz w:val="21"/>
                                    </w:rPr>
                                    <w:t>制过程中能否清晰把握预案体系。具体衔接方式、内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1134" w:type="dxa"/>
                                  <w:tcBorders>
                                    <w:top w:val="nil"/>
                                    <w:bottom w:val="nil"/>
                                    <w:right w:val="single" w:color="000000" w:sz="4" w:space="0"/>
                                  </w:tcBorders>
                                </w:tcPr>
                                <w:p>
                                  <w:pPr>
                                    <w:pStyle w:val="24"/>
                                    <w:rPr>
                                      <w:rFonts w:ascii="Times New Roman"/>
                                      <w:sz w:val="18"/>
                                    </w:rPr>
                                  </w:pPr>
                                </w:p>
                              </w:tc>
                              <w:tc>
                                <w:tcPr>
                                  <w:tcW w:w="426" w:type="dxa"/>
                                  <w:tcBorders>
                                    <w:top w:val="nil"/>
                                    <w:left w:val="single" w:color="000000" w:sz="4" w:space="0"/>
                                    <w:bottom w:val="nil"/>
                                    <w:right w:val="single" w:color="000000" w:sz="4" w:space="0"/>
                                  </w:tcBorders>
                                </w:tcPr>
                                <w:p>
                                  <w:pPr>
                                    <w:pStyle w:val="24"/>
                                    <w:rPr>
                                      <w:rFonts w:ascii="Times New Roman"/>
                                      <w:sz w:val="18"/>
                                    </w:rPr>
                                  </w:pPr>
                                </w:p>
                              </w:tc>
                              <w:tc>
                                <w:tcPr>
                                  <w:tcW w:w="4819" w:type="dxa"/>
                                  <w:tcBorders>
                                    <w:top w:val="nil"/>
                                    <w:left w:val="single" w:color="000000" w:sz="4" w:space="0"/>
                                    <w:bottom w:val="nil"/>
                                    <w:right w:val="single" w:color="000000" w:sz="4" w:space="0"/>
                                  </w:tcBorders>
                                </w:tcPr>
                                <w:p>
                                  <w:pPr>
                                    <w:pStyle w:val="24"/>
                                    <w:rPr>
                                      <w:rFonts w:ascii="Times New Roman"/>
                                      <w:sz w:val="18"/>
                                    </w:rPr>
                                  </w:pPr>
                                </w:p>
                              </w:tc>
                              <w:tc>
                                <w:tcPr>
                                  <w:tcW w:w="1276" w:type="dxa"/>
                                  <w:vMerge w:val="continue"/>
                                  <w:tcBorders>
                                    <w:top w:val="nil"/>
                                    <w:left w:val="single" w:color="000000" w:sz="4" w:space="0"/>
                                    <w:bottom w:val="single" w:color="000000" w:sz="4" w:space="0"/>
                                    <w:right w:val="single" w:color="000000" w:sz="4" w:space="0"/>
                                  </w:tcBorders>
                                </w:tcPr>
                                <w:p>
                                  <w:pPr>
                                    <w:rPr>
                                      <w:sz w:val="2"/>
                                      <w:szCs w:val="2"/>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42" w:lineRule="exact"/>
                                    <w:ind w:left="62"/>
                                    <w:rPr>
                                      <w:rFonts w:ascii="宋体" w:eastAsia="宋体"/>
                                      <w:sz w:val="21"/>
                                    </w:rPr>
                                  </w:pPr>
                                  <w:r>
                                    <w:rPr>
                                      <w:rFonts w:hint="eastAsia" w:ascii="宋体" w:eastAsia="宋体"/>
                                      <w:sz w:val="21"/>
                                    </w:rPr>
                                    <w:t>容在应对流程和措施等部分体现。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0" w:hRule="atLeast"/>
                              </w:trPr>
                              <w:tc>
                                <w:tcPr>
                                  <w:tcW w:w="1134" w:type="dxa"/>
                                  <w:tcBorders>
                                    <w:top w:val="nil"/>
                                    <w:bottom w:val="nil"/>
                                    <w:right w:val="single" w:color="000000" w:sz="4" w:space="0"/>
                                  </w:tcBorders>
                                </w:tcPr>
                                <w:p>
                                  <w:pPr>
                                    <w:pStyle w:val="24"/>
                                    <w:rPr>
                                      <w:rFonts w:ascii="宋体"/>
                                      <w:sz w:val="20"/>
                                    </w:rPr>
                                  </w:pPr>
                                </w:p>
                                <w:p>
                                  <w:pPr>
                                    <w:pStyle w:val="24"/>
                                    <w:spacing w:before="9"/>
                                    <w:rPr>
                                      <w:rFonts w:ascii="宋体"/>
                                      <w:sz w:val="15"/>
                                    </w:rPr>
                                  </w:pPr>
                                </w:p>
                                <w:p>
                                  <w:pPr>
                                    <w:pStyle w:val="24"/>
                                    <w:spacing w:line="242" w:lineRule="auto"/>
                                    <w:ind w:left="355" w:right="132" w:hanging="209"/>
                                    <w:rPr>
                                      <w:rFonts w:ascii="宋体" w:eastAsia="宋体"/>
                                      <w:sz w:val="21"/>
                                    </w:rPr>
                                  </w:pPr>
                                  <w:r>
                                    <w:rPr>
                                      <w:rFonts w:hint="eastAsia" w:ascii="宋体" w:eastAsia="宋体"/>
                                      <w:sz w:val="21"/>
                                    </w:rPr>
                                    <w:t>应急预案体系</w:t>
                                  </w:r>
                                </w:p>
                              </w:tc>
                              <w:tc>
                                <w:tcPr>
                                  <w:tcW w:w="426" w:type="dxa"/>
                                  <w:tcBorders>
                                    <w:top w:val="nil"/>
                                    <w:left w:val="single" w:color="000000" w:sz="4" w:space="0"/>
                                    <w:bottom w:val="nil"/>
                                    <w:right w:val="single" w:color="000000" w:sz="4" w:space="0"/>
                                  </w:tcBorders>
                                </w:tcPr>
                                <w:p>
                                  <w:pPr>
                                    <w:pStyle w:val="24"/>
                                    <w:rPr>
                                      <w:rFonts w:ascii="宋体"/>
                                    </w:rPr>
                                  </w:pPr>
                                </w:p>
                                <w:p>
                                  <w:pPr>
                                    <w:pStyle w:val="24"/>
                                    <w:spacing w:before="9"/>
                                    <w:rPr>
                                      <w:rFonts w:ascii="宋体"/>
                                      <w:sz w:val="24"/>
                                    </w:rPr>
                                  </w:pPr>
                                </w:p>
                                <w:p>
                                  <w:pPr>
                                    <w:pStyle w:val="24"/>
                                    <w:ind w:left="92" w:right="73"/>
                                    <w:jc w:val="center"/>
                                    <w:rPr>
                                      <w:rFonts w:ascii="宋体"/>
                                      <w:sz w:val="10"/>
                                    </w:rPr>
                                  </w:pPr>
                                  <w:r>
                                    <w:rPr>
                                      <w:rFonts w:ascii="宋体"/>
                                      <w:spacing w:val="1"/>
                                      <w:w w:val="99"/>
                                      <w:position w:val="-10"/>
                                      <w:sz w:val="21"/>
                                    </w:rPr>
                                    <w:t>9</w:t>
                                  </w:r>
                                  <w:r>
                                    <w:rPr>
                                      <w:rFonts w:ascii="宋体"/>
                                      <w:w w:val="106"/>
                                      <w:sz w:val="10"/>
                                    </w:rPr>
                                    <w:t>b</w:t>
                                  </w:r>
                                </w:p>
                              </w:tc>
                              <w:tc>
                                <w:tcPr>
                                  <w:tcW w:w="4819" w:type="dxa"/>
                                  <w:tcBorders>
                                    <w:top w:val="nil"/>
                                    <w:left w:val="single" w:color="000000" w:sz="4" w:space="0"/>
                                    <w:bottom w:val="nil"/>
                                    <w:right w:val="single" w:color="000000" w:sz="4" w:space="0"/>
                                  </w:tcBorders>
                                </w:tcPr>
                                <w:p>
                                  <w:pPr>
                                    <w:pStyle w:val="24"/>
                                    <w:spacing w:before="4"/>
                                    <w:rPr>
                                      <w:rFonts w:ascii="宋体"/>
                                      <w:sz w:val="14"/>
                                    </w:rPr>
                                  </w:pPr>
                                </w:p>
                                <w:p>
                                  <w:pPr>
                                    <w:pStyle w:val="24"/>
                                    <w:spacing w:line="242" w:lineRule="auto"/>
                                    <w:ind w:left="60" w:right="126"/>
                                    <w:jc w:val="both"/>
                                    <w:rPr>
                                      <w:rFonts w:ascii="宋体" w:eastAsia="宋体"/>
                                      <w:sz w:val="21"/>
                                    </w:rPr>
                                  </w:pPr>
                                  <w:r>
                                    <w:rPr>
                                      <w:rFonts w:hint="eastAsia" w:ascii="宋体" w:eastAsia="宋体"/>
                                      <w:w w:val="95"/>
                                      <w:sz w:val="21"/>
                                    </w:rPr>
                                    <w:t xml:space="preserve">以预案关系图的形式，说明本预案的组成及其组成 之间的关系、与生产安全事故预案等其他预案的衔 </w:t>
                                  </w:r>
                                  <w:r>
                                    <w:rPr>
                                      <w:rFonts w:hint="eastAsia" w:ascii="宋体" w:eastAsia="宋体"/>
                                      <w:spacing w:val="-4"/>
                                      <w:sz w:val="21"/>
                                    </w:rPr>
                                    <w:t>接关系、与地方人民政府环境应急预案的衔接关系辅以必要的重点内容说明</w:t>
                                  </w:r>
                                </w:p>
                              </w:tc>
                              <w:tc>
                                <w:tcPr>
                                  <w:tcW w:w="1276" w:type="dxa"/>
                                  <w:vMerge w:val="continue"/>
                                  <w:tcBorders>
                                    <w:top w:val="nil"/>
                                    <w:left w:val="single" w:color="000000" w:sz="4" w:space="0"/>
                                    <w:bottom w:val="single" w:color="000000" w:sz="4" w:space="0"/>
                                    <w:right w:val="single" w:color="000000" w:sz="4" w:space="0"/>
                                  </w:tcBorders>
                                </w:tcPr>
                                <w:p>
                                  <w:pPr>
                                    <w:rPr>
                                      <w:sz w:val="2"/>
                                      <w:szCs w:val="2"/>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42" w:lineRule="auto"/>
                                    <w:ind w:left="62" w:right="35"/>
                                    <w:jc w:val="both"/>
                                    <w:rPr>
                                      <w:rFonts w:ascii="宋体" w:eastAsia="宋体"/>
                                      <w:sz w:val="21"/>
                                    </w:rPr>
                                  </w:pPr>
                                  <w:r>
                                    <w:rPr>
                                      <w:rFonts w:hint="eastAsia" w:ascii="宋体" w:eastAsia="宋体"/>
                                      <w:spacing w:val="-6"/>
                                      <w:w w:val="95"/>
                                      <w:sz w:val="21"/>
                                    </w:rPr>
                                    <w:t xml:space="preserve">有的企业环境应急预案包括综合预案、专项预案、现 </w:t>
                                  </w:r>
                                  <w:r>
                                    <w:rPr>
                                      <w:rFonts w:hint="eastAsia" w:ascii="宋体" w:eastAsia="宋体"/>
                                      <w:spacing w:val="3"/>
                                      <w:w w:val="95"/>
                                      <w:sz w:val="21"/>
                                    </w:rPr>
                                    <w:t xml:space="preserve">场预案或其他组成，应说明这些组成之间的衔接关 </w:t>
                                  </w:r>
                                  <w:r>
                                    <w:rPr>
                                      <w:rFonts w:hint="eastAsia" w:ascii="宋体" w:eastAsia="宋体"/>
                                      <w:spacing w:val="-10"/>
                                      <w:w w:val="95"/>
                                      <w:sz w:val="21"/>
                                    </w:rPr>
                                    <w:t xml:space="preserve">系，确保各个组成清晰界定、有机衔接。企业环境应 </w:t>
                                  </w:r>
                                  <w:r>
                                    <w:rPr>
                                      <w:rFonts w:hint="eastAsia" w:ascii="宋体" w:eastAsia="宋体"/>
                                      <w:spacing w:val="-16"/>
                                      <w:w w:val="95"/>
                                      <w:sz w:val="21"/>
                                    </w:rPr>
                                    <w:t>急预案一般应以现场处置预案为主，有针对性地提出</w:t>
                                  </w:r>
                                </w:p>
                                <w:p>
                                  <w:pPr>
                                    <w:pStyle w:val="24"/>
                                    <w:spacing w:line="247" w:lineRule="exact"/>
                                    <w:ind w:left="62"/>
                                    <w:rPr>
                                      <w:rFonts w:ascii="宋体" w:eastAsia="宋体"/>
                                      <w:sz w:val="21"/>
                                    </w:rPr>
                                  </w:pPr>
                                  <w:r>
                                    <w:rPr>
                                      <w:rFonts w:hint="eastAsia" w:ascii="宋体" w:eastAsia="宋体"/>
                                      <w:spacing w:val="-7"/>
                                      <w:w w:val="95"/>
                                      <w:sz w:val="21"/>
                                    </w:rPr>
                                    <w:t>各类事件情景下的污染防控措施，明确责任人员、工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1134" w:type="dxa"/>
                                  <w:tcBorders>
                                    <w:top w:val="nil"/>
                                    <w:bottom w:val="nil"/>
                                    <w:right w:val="single" w:color="000000" w:sz="4" w:space="0"/>
                                  </w:tcBorders>
                                </w:tcPr>
                                <w:p>
                                  <w:pPr>
                                    <w:pStyle w:val="24"/>
                                    <w:rPr>
                                      <w:rFonts w:ascii="Times New Roman"/>
                                      <w:sz w:val="18"/>
                                    </w:rPr>
                                  </w:pPr>
                                </w:p>
                              </w:tc>
                              <w:tc>
                                <w:tcPr>
                                  <w:tcW w:w="426" w:type="dxa"/>
                                  <w:tcBorders>
                                    <w:top w:val="nil"/>
                                    <w:left w:val="single" w:color="000000" w:sz="4" w:space="0"/>
                                    <w:bottom w:val="nil"/>
                                    <w:right w:val="single" w:color="000000" w:sz="4" w:space="0"/>
                                  </w:tcBorders>
                                </w:tcPr>
                                <w:p>
                                  <w:pPr>
                                    <w:pStyle w:val="24"/>
                                    <w:rPr>
                                      <w:rFonts w:ascii="Times New Roman"/>
                                      <w:sz w:val="18"/>
                                    </w:rPr>
                                  </w:pPr>
                                </w:p>
                              </w:tc>
                              <w:tc>
                                <w:tcPr>
                                  <w:tcW w:w="4819" w:type="dxa"/>
                                  <w:tcBorders>
                                    <w:top w:val="nil"/>
                                    <w:left w:val="single" w:color="000000" w:sz="4" w:space="0"/>
                                    <w:bottom w:val="nil"/>
                                    <w:right w:val="single" w:color="000000" w:sz="4" w:space="0"/>
                                  </w:tcBorders>
                                </w:tcPr>
                                <w:p>
                                  <w:pPr>
                                    <w:pStyle w:val="24"/>
                                    <w:rPr>
                                      <w:rFonts w:ascii="Times New Roman"/>
                                      <w:sz w:val="18"/>
                                    </w:rPr>
                                  </w:pPr>
                                </w:p>
                              </w:tc>
                              <w:tc>
                                <w:tcPr>
                                  <w:tcW w:w="1276" w:type="dxa"/>
                                  <w:vMerge w:val="continue"/>
                                  <w:tcBorders>
                                    <w:top w:val="nil"/>
                                    <w:left w:val="single" w:color="000000" w:sz="4" w:space="0"/>
                                    <w:bottom w:val="single" w:color="000000" w:sz="4" w:space="0"/>
                                    <w:right w:val="single" w:color="000000" w:sz="4" w:space="0"/>
                                  </w:tcBorders>
                                </w:tcPr>
                                <w:p>
                                  <w:pPr>
                                    <w:rPr>
                                      <w:sz w:val="2"/>
                                      <w:szCs w:val="2"/>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42" w:lineRule="exact"/>
                                    <w:ind w:left="62"/>
                                    <w:rPr>
                                      <w:rFonts w:ascii="宋体" w:eastAsia="宋体"/>
                                      <w:sz w:val="21"/>
                                    </w:rPr>
                                  </w:pPr>
                                  <w:r>
                                    <w:rPr>
                                      <w:rFonts w:hint="eastAsia" w:ascii="宋体" w:eastAsia="宋体"/>
                                      <w:spacing w:val="-11"/>
                                      <w:sz w:val="21"/>
                                    </w:rPr>
                                    <w:t>作流程、具体措施，落实到应急处置卡上。确需分类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1134" w:type="dxa"/>
                                  <w:tcBorders>
                                    <w:top w:val="nil"/>
                                    <w:bottom w:val="nil"/>
                                    <w:right w:val="single" w:color="000000" w:sz="4" w:space="0"/>
                                  </w:tcBorders>
                                </w:tcPr>
                                <w:p>
                                  <w:pPr>
                                    <w:pStyle w:val="24"/>
                                    <w:rPr>
                                      <w:rFonts w:ascii="Times New Roman"/>
                                      <w:sz w:val="18"/>
                                    </w:rPr>
                                  </w:pPr>
                                </w:p>
                              </w:tc>
                              <w:tc>
                                <w:tcPr>
                                  <w:tcW w:w="426" w:type="dxa"/>
                                  <w:tcBorders>
                                    <w:top w:val="nil"/>
                                    <w:left w:val="single" w:color="000000" w:sz="4" w:space="0"/>
                                    <w:bottom w:val="nil"/>
                                    <w:right w:val="single" w:color="000000" w:sz="4" w:space="0"/>
                                  </w:tcBorders>
                                </w:tcPr>
                                <w:p>
                                  <w:pPr>
                                    <w:pStyle w:val="24"/>
                                    <w:rPr>
                                      <w:rFonts w:ascii="Times New Roman"/>
                                      <w:sz w:val="18"/>
                                    </w:rPr>
                                  </w:pPr>
                                </w:p>
                              </w:tc>
                              <w:tc>
                                <w:tcPr>
                                  <w:tcW w:w="4819" w:type="dxa"/>
                                  <w:tcBorders>
                                    <w:top w:val="nil"/>
                                    <w:left w:val="single" w:color="000000" w:sz="4" w:space="0"/>
                                    <w:bottom w:val="nil"/>
                                    <w:right w:val="single" w:color="000000" w:sz="4" w:space="0"/>
                                  </w:tcBorders>
                                </w:tcPr>
                                <w:p>
                                  <w:pPr>
                                    <w:pStyle w:val="24"/>
                                    <w:rPr>
                                      <w:rFonts w:ascii="Times New Roman"/>
                                      <w:sz w:val="18"/>
                                    </w:rPr>
                                  </w:pPr>
                                </w:p>
                              </w:tc>
                              <w:tc>
                                <w:tcPr>
                                  <w:tcW w:w="1276" w:type="dxa"/>
                                  <w:vMerge w:val="continue"/>
                                  <w:tcBorders>
                                    <w:top w:val="nil"/>
                                    <w:left w:val="single" w:color="000000" w:sz="4" w:space="0"/>
                                    <w:bottom w:val="single" w:color="000000" w:sz="4" w:space="0"/>
                                    <w:right w:val="single" w:color="000000" w:sz="4" w:space="0"/>
                                  </w:tcBorders>
                                </w:tcPr>
                                <w:p>
                                  <w:pPr>
                                    <w:rPr>
                                      <w:sz w:val="2"/>
                                      <w:szCs w:val="2"/>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42" w:lineRule="exact"/>
                                    <w:ind w:left="62"/>
                                    <w:rPr>
                                      <w:rFonts w:ascii="宋体" w:eastAsia="宋体"/>
                                      <w:sz w:val="21"/>
                                    </w:rPr>
                                  </w:pPr>
                                  <w:r>
                                    <w:rPr>
                                      <w:rFonts w:hint="eastAsia" w:ascii="宋体" w:eastAsia="宋体"/>
                                      <w:spacing w:val="-10"/>
                                      <w:sz w:val="21"/>
                                    </w:rPr>
                                    <w:t>编制的，综合预案侧重明确应对原则、组织机构与职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1134" w:type="dxa"/>
                                  <w:tcBorders>
                                    <w:top w:val="nil"/>
                                    <w:bottom w:val="single" w:color="000000" w:sz="4" w:space="0"/>
                                    <w:right w:val="single" w:color="000000" w:sz="4" w:space="0"/>
                                  </w:tcBorders>
                                </w:tcPr>
                                <w:p>
                                  <w:pPr>
                                    <w:pStyle w:val="24"/>
                                    <w:rPr>
                                      <w:rFonts w:ascii="Times New Roman"/>
                                      <w:sz w:val="20"/>
                                    </w:rPr>
                                  </w:pPr>
                                </w:p>
                              </w:tc>
                              <w:tc>
                                <w:tcPr>
                                  <w:tcW w:w="426" w:type="dxa"/>
                                  <w:tcBorders>
                                    <w:top w:val="nil"/>
                                    <w:left w:val="single" w:color="000000" w:sz="4" w:space="0"/>
                                    <w:bottom w:val="single" w:color="000000" w:sz="4" w:space="0"/>
                                    <w:right w:val="single" w:color="000000" w:sz="4" w:space="0"/>
                                  </w:tcBorders>
                                </w:tcPr>
                                <w:p>
                                  <w:pPr>
                                    <w:pStyle w:val="24"/>
                                    <w:rPr>
                                      <w:rFonts w:ascii="Times New Roman"/>
                                      <w:sz w:val="20"/>
                                    </w:rPr>
                                  </w:pPr>
                                </w:p>
                              </w:tc>
                              <w:tc>
                                <w:tcPr>
                                  <w:tcW w:w="4819" w:type="dxa"/>
                                  <w:tcBorders>
                                    <w:top w:val="nil"/>
                                    <w:left w:val="single" w:color="000000" w:sz="4" w:space="0"/>
                                    <w:bottom w:val="single" w:color="000000" w:sz="4" w:space="0"/>
                                    <w:right w:val="single" w:color="000000" w:sz="4" w:space="0"/>
                                  </w:tcBorders>
                                </w:tcPr>
                                <w:p>
                                  <w:pPr>
                                    <w:pStyle w:val="24"/>
                                    <w:rPr>
                                      <w:rFonts w:ascii="Times New Roman"/>
                                      <w:sz w:val="20"/>
                                    </w:rPr>
                                  </w:pPr>
                                </w:p>
                              </w:tc>
                              <w:tc>
                                <w:tcPr>
                                  <w:tcW w:w="1276" w:type="dxa"/>
                                  <w:vMerge w:val="continue"/>
                                  <w:tcBorders>
                                    <w:top w:val="nil"/>
                                    <w:left w:val="single" w:color="000000" w:sz="4" w:space="0"/>
                                    <w:bottom w:val="single" w:color="000000" w:sz="4" w:space="0"/>
                                    <w:right w:val="single" w:color="000000" w:sz="4" w:space="0"/>
                                  </w:tcBorders>
                                </w:tcPr>
                                <w:p>
                                  <w:pPr>
                                    <w:rPr>
                                      <w:sz w:val="2"/>
                                      <w:szCs w:val="2"/>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single" w:color="000000" w:sz="4" w:space="0"/>
                                  </w:tcBorders>
                                </w:tcPr>
                                <w:p>
                                  <w:pPr>
                                    <w:pStyle w:val="24"/>
                                    <w:spacing w:line="266" w:lineRule="exact"/>
                                    <w:ind w:left="62"/>
                                    <w:rPr>
                                      <w:rFonts w:ascii="宋体" w:eastAsia="宋体"/>
                                      <w:sz w:val="21"/>
                                    </w:rPr>
                                  </w:pPr>
                                  <w:r>
                                    <w:rPr>
                                      <w:rFonts w:hint="eastAsia" w:ascii="宋体" w:eastAsia="宋体"/>
                                      <w:spacing w:val="-11"/>
                                      <w:sz w:val="21"/>
                                    </w:rPr>
                                    <w:t>责、基本程序与要求，说明预案体系构成；专项预案</w:t>
                                  </w:r>
                                </w:p>
                              </w:tc>
                            </w:tr>
                          </w:tbl>
                          <w:p>
                            <w:pPr>
                              <w:pStyle w:val="10"/>
                            </w:pPr>
                          </w:p>
                        </w:txbxContent>
                      </wps:txbx>
                      <wps:bodyPr lIns="0" tIns="0" rIns="0" bIns="0" upright="1"/>
                    </wps:wsp>
                  </a:graphicData>
                </a:graphic>
              </wp:anchor>
            </w:drawing>
          </mc:Choice>
          <mc:Fallback>
            <w:pict>
              <v:shape id="文本框 29" o:spid="_x0000_s1026" o:spt="202" type="#_x0000_t202" style="position:absolute;left:0pt;margin-left:75.9pt;margin-top:-93.05pt;height:429.65pt;width:690.5pt;mso-position-horizontal-relative:page;z-index:251682816;mso-width-relative:page;mso-height-relative:page;" filled="f" stroked="f" coordsize="21600,21600" o:gfxdata="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4t5HDbAAAADQEAAA8AAAAAAAAAAQAgAAAAIgAAAGRycy9kb3ducmV2Lnht&#10;bFBLAQIUABQAAAAIAIdO4kA69+oHvQEAAHUDAAAOAAAAAAAAAAEAIAAAACoBAABkcnMvZTJvRG9j&#10;LnhtbFBLBQYAAAAABgAGAFkBAABZBQAAAAA=&#10;">
                <v:fill on="f" focussize="0,0"/>
                <v:stroke on="f"/>
                <v:imagedata o:title=""/>
                <o:lock v:ext="edit" aspectratio="f"/>
                <v:textbox inset="0mm,0mm,0mm,0mm">
                  <w:txbxContent>
                    <w:tbl>
                      <w:tblPr>
                        <w:tblStyle w:val="1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34"/>
                        <w:gridCol w:w="426"/>
                        <w:gridCol w:w="4819"/>
                        <w:gridCol w:w="1276"/>
                        <w:gridCol w:w="607"/>
                        <w:gridCol w:w="669"/>
                        <w:gridCol w:w="48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2" w:hRule="atLeast"/>
                        </w:trPr>
                        <w:tc>
                          <w:tcPr>
                            <w:tcW w:w="1134" w:type="dxa"/>
                            <w:tcBorders>
                              <w:bottom w:val="single" w:color="000000" w:sz="4" w:space="0"/>
                              <w:right w:val="single" w:color="000000" w:sz="4" w:space="0"/>
                            </w:tcBorders>
                          </w:tcPr>
                          <w:p>
                            <w:pPr>
                              <w:pStyle w:val="24"/>
                              <w:spacing w:before="8"/>
                              <w:rPr>
                                <w:rFonts w:ascii="宋体"/>
                                <w:sz w:val="21"/>
                              </w:rPr>
                            </w:pPr>
                          </w:p>
                          <w:p>
                            <w:pPr>
                              <w:pStyle w:val="24"/>
                              <w:ind w:left="125" w:right="113"/>
                              <w:jc w:val="center"/>
                              <w:rPr>
                                <w:rFonts w:ascii="宋体" w:eastAsia="宋体"/>
                                <w:sz w:val="21"/>
                              </w:rPr>
                            </w:pPr>
                            <w:r>
                              <w:rPr>
                                <w:rFonts w:hint="eastAsia" w:ascii="宋体" w:eastAsia="宋体"/>
                                <w:sz w:val="21"/>
                              </w:rPr>
                              <w:t>编制目的</w:t>
                            </w:r>
                          </w:p>
                        </w:tc>
                        <w:tc>
                          <w:tcPr>
                            <w:tcW w:w="426" w:type="dxa"/>
                            <w:tcBorders>
                              <w:left w:val="single" w:color="000000" w:sz="4" w:space="0"/>
                              <w:bottom w:val="single" w:color="000000" w:sz="4" w:space="0"/>
                              <w:right w:val="single" w:color="000000" w:sz="4" w:space="0"/>
                            </w:tcBorders>
                          </w:tcPr>
                          <w:p>
                            <w:pPr>
                              <w:pStyle w:val="24"/>
                              <w:spacing w:before="8"/>
                              <w:rPr>
                                <w:rFonts w:ascii="宋体"/>
                                <w:sz w:val="21"/>
                              </w:rPr>
                            </w:pPr>
                          </w:p>
                          <w:p>
                            <w:pPr>
                              <w:pStyle w:val="24"/>
                              <w:ind w:left="18"/>
                              <w:jc w:val="center"/>
                              <w:rPr>
                                <w:rFonts w:ascii="宋体"/>
                                <w:sz w:val="21"/>
                              </w:rPr>
                            </w:pPr>
                            <w:r>
                              <w:rPr>
                                <w:rFonts w:ascii="宋体"/>
                                <w:w w:val="99"/>
                                <w:sz w:val="21"/>
                              </w:rPr>
                              <w:t>6</w:t>
                            </w:r>
                          </w:p>
                        </w:tc>
                        <w:tc>
                          <w:tcPr>
                            <w:tcW w:w="4819" w:type="dxa"/>
                            <w:tcBorders>
                              <w:left w:val="single" w:color="000000" w:sz="4" w:space="0"/>
                              <w:bottom w:val="single" w:color="000000" w:sz="4" w:space="0"/>
                              <w:right w:val="single" w:color="000000" w:sz="4" w:space="0"/>
                            </w:tcBorders>
                          </w:tcPr>
                          <w:p>
                            <w:pPr>
                              <w:pStyle w:val="24"/>
                              <w:spacing w:before="143" w:line="242" w:lineRule="auto"/>
                              <w:ind w:left="60" w:right="3"/>
                              <w:rPr>
                                <w:rFonts w:ascii="宋体" w:eastAsia="宋体"/>
                                <w:sz w:val="21"/>
                              </w:rPr>
                            </w:pPr>
                            <w:r>
                              <w:rPr>
                                <w:rFonts w:hint="eastAsia" w:ascii="宋体" w:eastAsia="宋体"/>
                                <w:spacing w:val="-5"/>
                                <w:w w:val="95"/>
                                <w:sz w:val="21"/>
                              </w:rPr>
                              <w:t xml:space="preserve">体现：规范事发后的应对工作，提高事件应对能力， </w:t>
                            </w:r>
                            <w:r>
                              <w:rPr>
                                <w:rFonts w:hint="eastAsia" w:ascii="宋体" w:eastAsia="宋体"/>
                                <w:spacing w:val="-8"/>
                                <w:sz w:val="21"/>
                              </w:rPr>
                              <w:t>避免或减轻事件影响，加强企业与政府应对工作衔接</w:t>
                            </w:r>
                          </w:p>
                        </w:tc>
                        <w:tc>
                          <w:tcPr>
                            <w:tcW w:w="1276" w:type="dxa"/>
                            <w:tcBorders>
                              <w:left w:val="single" w:color="000000" w:sz="4" w:space="0"/>
                              <w:bottom w:val="single" w:color="000000" w:sz="4" w:space="0"/>
                              <w:right w:val="single" w:color="000000" w:sz="4" w:space="0"/>
                            </w:tcBorders>
                          </w:tcPr>
                          <w:p>
                            <w:pPr>
                              <w:pStyle w:val="24"/>
                              <w:spacing w:before="6"/>
                              <w:ind w:left="60"/>
                              <w:rPr>
                                <w:rFonts w:ascii="宋体" w:hAnsi="宋体" w:eastAsia="宋体"/>
                                <w:sz w:val="21"/>
                              </w:rPr>
                            </w:pP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5" w:line="251" w:lineRule="exact"/>
                              <w:ind w:left="60"/>
                              <w:rPr>
                                <w:rFonts w:ascii="宋体" w:hAnsi="宋体" w:eastAsia="宋体"/>
                                <w:sz w:val="21"/>
                              </w:rPr>
                            </w:pPr>
                            <w:r>
                              <w:rPr>
                                <w:rFonts w:hint="eastAsia" w:ascii="宋体" w:hAnsi="宋体" w:eastAsia="宋体"/>
                                <w:sz w:val="21"/>
                              </w:rPr>
                              <w:t>□不符合</w:t>
                            </w:r>
                          </w:p>
                        </w:tc>
                        <w:tc>
                          <w:tcPr>
                            <w:tcW w:w="607" w:type="dxa"/>
                            <w:tcBorders>
                              <w:left w:val="single" w:color="000000" w:sz="4" w:space="0"/>
                              <w:bottom w:val="single" w:color="000000" w:sz="4" w:space="0"/>
                              <w:right w:val="single" w:color="000000" w:sz="4" w:space="0"/>
                            </w:tcBorders>
                          </w:tcPr>
                          <w:p>
                            <w:pPr>
                              <w:pStyle w:val="24"/>
                              <w:rPr>
                                <w:rFonts w:ascii="Times New Roman"/>
                                <w:sz w:val="20"/>
                              </w:rPr>
                            </w:pPr>
                          </w:p>
                        </w:tc>
                        <w:tc>
                          <w:tcPr>
                            <w:tcW w:w="669" w:type="dxa"/>
                            <w:tcBorders>
                              <w:left w:val="single" w:color="000000" w:sz="4" w:space="0"/>
                              <w:bottom w:val="single" w:color="000000" w:sz="4" w:space="0"/>
                              <w:right w:val="single" w:color="000000" w:sz="4" w:space="0"/>
                            </w:tcBorders>
                          </w:tcPr>
                          <w:p>
                            <w:pPr>
                              <w:pStyle w:val="24"/>
                              <w:rPr>
                                <w:rFonts w:ascii="Times New Roman"/>
                                <w:sz w:val="20"/>
                              </w:rPr>
                            </w:pPr>
                          </w:p>
                        </w:tc>
                        <w:tc>
                          <w:tcPr>
                            <w:tcW w:w="4850" w:type="dxa"/>
                            <w:tcBorders>
                              <w:left w:val="single" w:color="000000" w:sz="4" w:space="0"/>
                              <w:bottom w:val="nil"/>
                            </w:tcBorders>
                          </w:tcPr>
                          <w:p>
                            <w:pPr>
                              <w:pStyle w:val="24"/>
                              <w:spacing w:before="6"/>
                              <w:ind w:left="62"/>
                              <w:rPr>
                                <w:rFonts w:ascii="宋体" w:eastAsia="宋体"/>
                                <w:sz w:val="21"/>
                              </w:rPr>
                            </w:pPr>
                            <w:r>
                              <w:rPr>
                                <w:rFonts w:hint="eastAsia" w:ascii="宋体" w:eastAsia="宋体"/>
                                <w:sz w:val="21"/>
                              </w:rPr>
                              <w:t>此三项为预案的总纲。</w:t>
                            </w:r>
                          </w:p>
                          <w:p>
                            <w:pPr>
                              <w:pStyle w:val="24"/>
                              <w:spacing w:before="7"/>
                              <w:rPr>
                                <w:rFonts w:ascii="宋体"/>
                                <w:sz w:val="21"/>
                              </w:rPr>
                            </w:pPr>
                          </w:p>
                          <w:p>
                            <w:pPr>
                              <w:pStyle w:val="24"/>
                              <w:spacing w:line="251" w:lineRule="exact"/>
                              <w:ind w:left="62"/>
                              <w:rPr>
                                <w:rFonts w:ascii="宋体" w:hAnsi="宋体" w:eastAsia="宋体"/>
                                <w:sz w:val="21"/>
                              </w:rPr>
                            </w:pPr>
                            <w:r>
                              <w:rPr>
                                <w:rFonts w:hint="eastAsia" w:ascii="宋体" w:hAnsi="宋体" w:eastAsia="宋体"/>
                                <w:spacing w:val="-10"/>
                                <w:sz w:val="21"/>
                              </w:rPr>
                              <w:t>关于“规范事发后的应对工作”，《突发事件应急预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8" w:hRule="atLeast"/>
                        </w:trPr>
                        <w:tc>
                          <w:tcPr>
                            <w:tcW w:w="1134" w:type="dxa"/>
                            <w:tcBorders>
                              <w:top w:val="single" w:color="000000" w:sz="4" w:space="0"/>
                              <w:bottom w:val="nil"/>
                              <w:right w:val="single" w:color="000000" w:sz="4" w:space="0"/>
                            </w:tcBorders>
                          </w:tcPr>
                          <w:p>
                            <w:pPr>
                              <w:pStyle w:val="24"/>
                              <w:spacing w:before="11"/>
                              <w:rPr>
                                <w:rFonts w:ascii="宋体"/>
                                <w:sz w:val="24"/>
                              </w:rPr>
                            </w:pPr>
                          </w:p>
                          <w:p>
                            <w:pPr>
                              <w:pStyle w:val="24"/>
                              <w:ind w:left="125" w:right="113"/>
                              <w:jc w:val="center"/>
                              <w:rPr>
                                <w:rFonts w:ascii="宋体" w:eastAsia="宋体"/>
                                <w:sz w:val="21"/>
                              </w:rPr>
                            </w:pPr>
                            <w:r>
                              <w:rPr>
                                <w:rFonts w:hint="eastAsia" w:ascii="宋体" w:eastAsia="宋体"/>
                                <w:sz w:val="21"/>
                              </w:rPr>
                              <w:t>适用范围</w:t>
                            </w:r>
                          </w:p>
                        </w:tc>
                        <w:tc>
                          <w:tcPr>
                            <w:tcW w:w="426" w:type="dxa"/>
                            <w:tcBorders>
                              <w:top w:val="single" w:color="000000" w:sz="4" w:space="0"/>
                              <w:left w:val="single" w:color="000000" w:sz="4" w:space="0"/>
                              <w:bottom w:val="nil"/>
                              <w:right w:val="single" w:color="000000" w:sz="4" w:space="0"/>
                            </w:tcBorders>
                          </w:tcPr>
                          <w:p>
                            <w:pPr>
                              <w:pStyle w:val="24"/>
                              <w:spacing w:before="11"/>
                              <w:rPr>
                                <w:rFonts w:ascii="宋体"/>
                                <w:sz w:val="24"/>
                              </w:rPr>
                            </w:pPr>
                          </w:p>
                          <w:p>
                            <w:pPr>
                              <w:pStyle w:val="24"/>
                              <w:ind w:left="18"/>
                              <w:jc w:val="center"/>
                              <w:rPr>
                                <w:rFonts w:ascii="宋体"/>
                                <w:sz w:val="21"/>
                              </w:rPr>
                            </w:pPr>
                            <w:r>
                              <w:rPr>
                                <w:rFonts w:ascii="宋体"/>
                                <w:w w:val="99"/>
                                <w:sz w:val="21"/>
                              </w:rPr>
                              <w:t>7</w:t>
                            </w:r>
                          </w:p>
                        </w:tc>
                        <w:tc>
                          <w:tcPr>
                            <w:tcW w:w="4819" w:type="dxa"/>
                            <w:tcBorders>
                              <w:top w:val="single" w:color="000000" w:sz="4" w:space="0"/>
                              <w:left w:val="single" w:color="000000" w:sz="4" w:space="0"/>
                              <w:bottom w:val="nil"/>
                              <w:right w:val="single" w:color="000000" w:sz="4" w:space="0"/>
                            </w:tcBorders>
                          </w:tcPr>
                          <w:p>
                            <w:pPr>
                              <w:pStyle w:val="24"/>
                              <w:spacing w:before="3"/>
                              <w:rPr>
                                <w:rFonts w:ascii="宋体"/>
                                <w:sz w:val="14"/>
                              </w:rPr>
                            </w:pPr>
                          </w:p>
                          <w:p>
                            <w:pPr>
                              <w:pStyle w:val="24"/>
                              <w:spacing w:line="242" w:lineRule="auto"/>
                              <w:ind w:left="60" w:right="128"/>
                              <w:rPr>
                                <w:rFonts w:ascii="宋体" w:eastAsia="宋体"/>
                                <w:sz w:val="21"/>
                              </w:rPr>
                            </w:pPr>
                            <w:r>
                              <w:rPr>
                                <w:rFonts w:hint="eastAsia" w:ascii="宋体" w:eastAsia="宋体"/>
                                <w:w w:val="95"/>
                                <w:sz w:val="21"/>
                              </w:rPr>
                              <w:t xml:space="preserve">明确：预案适用的主体、地理或管理范围、事件类 </w:t>
                            </w:r>
                            <w:r>
                              <w:rPr>
                                <w:rFonts w:hint="eastAsia" w:ascii="宋体" w:eastAsia="宋体"/>
                                <w:sz w:val="21"/>
                              </w:rPr>
                              <w:t>别、工作内容</w:t>
                            </w:r>
                          </w:p>
                        </w:tc>
                        <w:tc>
                          <w:tcPr>
                            <w:tcW w:w="1276" w:type="dxa"/>
                            <w:tcBorders>
                              <w:top w:val="single" w:color="000000" w:sz="4" w:space="0"/>
                              <w:left w:val="single" w:color="000000" w:sz="4" w:space="0"/>
                              <w:bottom w:val="nil"/>
                              <w:right w:val="single" w:color="000000" w:sz="4" w:space="0"/>
                            </w:tcBorders>
                          </w:tcPr>
                          <w:p>
                            <w:pPr>
                              <w:pStyle w:val="24"/>
                              <w:spacing w:before="45"/>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t>□部分符合</w:t>
                            </w:r>
                          </w:p>
                          <w:p>
                            <w:pPr>
                              <w:pStyle w:val="24"/>
                              <w:spacing w:before="3" w:line="220" w:lineRule="exact"/>
                              <w:ind w:left="60"/>
                              <w:rPr>
                                <w:rFonts w:ascii="宋体" w:hAnsi="宋体" w:eastAsia="宋体"/>
                                <w:sz w:val="21"/>
                              </w:rPr>
                            </w:pPr>
                            <w:r>
                              <w:rPr>
                                <w:rFonts w:hint="eastAsia" w:ascii="宋体" w:hAnsi="宋体" w:eastAsia="宋体"/>
                                <w:sz w:val="21"/>
                              </w:rPr>
                              <w:t>□不符合</w:t>
                            </w:r>
                          </w:p>
                        </w:tc>
                        <w:tc>
                          <w:tcPr>
                            <w:tcW w:w="607"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nil"/>
                              <w:left w:val="single" w:color="000000" w:sz="4" w:space="0"/>
                              <w:bottom w:val="nil"/>
                            </w:tcBorders>
                          </w:tcPr>
                          <w:p>
                            <w:pPr>
                              <w:pStyle w:val="24"/>
                              <w:spacing w:line="242" w:lineRule="auto"/>
                              <w:ind w:left="62" w:right="32"/>
                              <w:jc w:val="both"/>
                              <w:rPr>
                                <w:rFonts w:ascii="宋体" w:hAnsi="宋体" w:eastAsia="宋体"/>
                                <w:sz w:val="21"/>
                              </w:rPr>
                            </w:pPr>
                            <w:r>
                              <w:rPr>
                                <w:rFonts w:hint="eastAsia" w:ascii="宋体" w:hAnsi="宋体" w:eastAsia="宋体"/>
                                <w:spacing w:val="-8"/>
                                <w:sz w:val="21"/>
                              </w:rPr>
                              <w:t>案管理办法》强调应急预案重在“应对”，适当向前</w:t>
                            </w:r>
                            <w:r>
                              <w:rPr>
                                <w:rFonts w:hint="eastAsia" w:ascii="宋体" w:hAnsi="宋体" w:eastAsia="宋体"/>
                                <w:spacing w:val="-12"/>
                                <w:w w:val="95"/>
                                <w:sz w:val="21"/>
                              </w:rPr>
                              <w:t xml:space="preserve">延伸至“预警”，向后延伸至“恢复”。关于“加强 </w:t>
                            </w:r>
                            <w:r>
                              <w:rPr>
                                <w:rFonts w:hint="eastAsia" w:ascii="宋体" w:hAnsi="宋体" w:eastAsia="宋体"/>
                                <w:spacing w:val="-14"/>
                                <w:w w:val="95"/>
                                <w:sz w:val="21"/>
                              </w:rPr>
                              <w:t>企业与政府应对衔接”，根据备案管理办法，实行企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 w:hRule="atLeast"/>
                        </w:trPr>
                        <w:tc>
                          <w:tcPr>
                            <w:tcW w:w="1134" w:type="dxa"/>
                            <w:tcBorders>
                              <w:top w:val="nil"/>
                              <w:bottom w:val="single" w:color="000000" w:sz="4" w:space="0"/>
                              <w:right w:val="single" w:color="000000" w:sz="4" w:space="0"/>
                            </w:tcBorders>
                          </w:tcPr>
                          <w:p>
                            <w:pPr>
                              <w:pStyle w:val="24"/>
                              <w:rPr>
                                <w:rFonts w:ascii="Times New Roman"/>
                                <w:sz w:val="2"/>
                              </w:rPr>
                            </w:pPr>
                          </w:p>
                        </w:tc>
                        <w:tc>
                          <w:tcPr>
                            <w:tcW w:w="426" w:type="dxa"/>
                            <w:tcBorders>
                              <w:top w:val="nil"/>
                              <w:left w:val="single" w:color="000000" w:sz="4" w:space="0"/>
                              <w:bottom w:val="single" w:color="000000" w:sz="4" w:space="0"/>
                              <w:right w:val="single" w:color="000000" w:sz="4" w:space="0"/>
                            </w:tcBorders>
                          </w:tcPr>
                          <w:p>
                            <w:pPr>
                              <w:pStyle w:val="24"/>
                              <w:rPr>
                                <w:rFonts w:ascii="Times New Roman"/>
                                <w:sz w:val="2"/>
                              </w:rPr>
                            </w:pPr>
                          </w:p>
                        </w:tc>
                        <w:tc>
                          <w:tcPr>
                            <w:tcW w:w="4819" w:type="dxa"/>
                            <w:tcBorders>
                              <w:top w:val="nil"/>
                              <w:left w:val="single" w:color="000000" w:sz="4" w:space="0"/>
                              <w:bottom w:val="single" w:color="000000" w:sz="4" w:space="0"/>
                              <w:right w:val="single" w:color="000000" w:sz="4" w:space="0"/>
                            </w:tcBorders>
                          </w:tcPr>
                          <w:p>
                            <w:pPr>
                              <w:pStyle w:val="24"/>
                              <w:rPr>
                                <w:rFonts w:ascii="Times New Roman"/>
                                <w:sz w:val="2"/>
                              </w:rPr>
                            </w:pPr>
                          </w:p>
                        </w:tc>
                        <w:tc>
                          <w:tcPr>
                            <w:tcW w:w="1276" w:type="dxa"/>
                            <w:tcBorders>
                              <w:top w:val="nil"/>
                              <w:left w:val="single" w:color="000000" w:sz="4" w:space="0"/>
                              <w:bottom w:val="single" w:color="000000" w:sz="4" w:space="0"/>
                              <w:right w:val="single" w:color="000000" w:sz="4" w:space="0"/>
                            </w:tcBorders>
                          </w:tcPr>
                          <w:p>
                            <w:pPr>
                              <w:pStyle w:val="24"/>
                              <w:rPr>
                                <w:rFonts w:ascii="Times New Roman"/>
                                <w:sz w:val="2"/>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vMerge w:val="restart"/>
                            <w:tcBorders>
                              <w:top w:val="nil"/>
                              <w:left w:val="single" w:color="000000" w:sz="4" w:space="0"/>
                              <w:bottom w:val="nil"/>
                            </w:tcBorders>
                          </w:tcPr>
                          <w:p>
                            <w:pPr>
                              <w:pStyle w:val="24"/>
                              <w:spacing w:line="216" w:lineRule="exact"/>
                              <w:ind w:left="62"/>
                              <w:rPr>
                                <w:rFonts w:ascii="宋体" w:eastAsia="宋体"/>
                                <w:sz w:val="21"/>
                              </w:rPr>
                            </w:pPr>
                            <w:r>
                              <w:rPr>
                                <w:rFonts w:hint="eastAsia" w:ascii="宋体" w:eastAsia="宋体"/>
                                <w:spacing w:val="-8"/>
                                <w:sz w:val="21"/>
                              </w:rPr>
                              <w:t>业环境应急预案备案管理，其中一个重要作用是环保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7" w:hRule="atLeast"/>
                        </w:trPr>
                        <w:tc>
                          <w:tcPr>
                            <w:tcW w:w="1134" w:type="dxa"/>
                            <w:tcBorders>
                              <w:top w:val="single" w:color="000000" w:sz="4" w:space="0"/>
                              <w:bottom w:val="nil"/>
                              <w:right w:val="single" w:color="000000" w:sz="4" w:space="0"/>
                            </w:tcBorders>
                          </w:tcPr>
                          <w:p>
                            <w:pPr>
                              <w:pStyle w:val="24"/>
                              <w:rPr>
                                <w:rFonts w:ascii="Times New Roman"/>
                                <w:sz w:val="10"/>
                              </w:rPr>
                            </w:pPr>
                          </w:p>
                        </w:tc>
                        <w:tc>
                          <w:tcPr>
                            <w:tcW w:w="426" w:type="dxa"/>
                            <w:tcBorders>
                              <w:top w:val="single" w:color="000000" w:sz="4" w:space="0"/>
                              <w:left w:val="single" w:color="000000" w:sz="4" w:space="0"/>
                              <w:bottom w:val="nil"/>
                              <w:right w:val="single" w:color="000000" w:sz="4" w:space="0"/>
                            </w:tcBorders>
                          </w:tcPr>
                          <w:p>
                            <w:pPr>
                              <w:pStyle w:val="24"/>
                              <w:rPr>
                                <w:rFonts w:ascii="Times New Roman"/>
                                <w:sz w:val="10"/>
                              </w:rPr>
                            </w:pPr>
                          </w:p>
                        </w:tc>
                        <w:tc>
                          <w:tcPr>
                            <w:tcW w:w="4819" w:type="dxa"/>
                            <w:tcBorders>
                              <w:top w:val="single" w:color="000000" w:sz="4" w:space="0"/>
                              <w:left w:val="single" w:color="000000" w:sz="4" w:space="0"/>
                              <w:bottom w:val="nil"/>
                              <w:right w:val="single" w:color="000000" w:sz="4" w:space="0"/>
                            </w:tcBorders>
                          </w:tcPr>
                          <w:p>
                            <w:pPr>
                              <w:pStyle w:val="24"/>
                              <w:rPr>
                                <w:rFonts w:ascii="Times New Roman"/>
                                <w:sz w:val="10"/>
                              </w:rPr>
                            </w:pPr>
                          </w:p>
                        </w:tc>
                        <w:tc>
                          <w:tcPr>
                            <w:tcW w:w="1276" w:type="dxa"/>
                            <w:tcBorders>
                              <w:top w:val="single" w:color="000000" w:sz="4" w:space="0"/>
                              <w:left w:val="single" w:color="000000" w:sz="4" w:space="0"/>
                              <w:bottom w:val="nil"/>
                              <w:right w:val="single" w:color="000000" w:sz="4" w:space="0"/>
                            </w:tcBorders>
                          </w:tcPr>
                          <w:p>
                            <w:pPr>
                              <w:pStyle w:val="24"/>
                              <w:rPr>
                                <w:rFonts w:ascii="Times New Roman"/>
                                <w:sz w:val="10"/>
                              </w:rPr>
                            </w:pPr>
                          </w:p>
                        </w:tc>
                        <w:tc>
                          <w:tcPr>
                            <w:tcW w:w="607"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1" w:hRule="atLeast"/>
                        </w:trPr>
                        <w:tc>
                          <w:tcPr>
                            <w:tcW w:w="1134" w:type="dxa"/>
                            <w:tcBorders>
                              <w:top w:val="nil"/>
                              <w:bottom w:val="nil"/>
                              <w:right w:val="single" w:color="000000" w:sz="4" w:space="0"/>
                            </w:tcBorders>
                          </w:tcPr>
                          <w:p>
                            <w:pPr>
                              <w:pStyle w:val="24"/>
                              <w:rPr>
                                <w:rFonts w:ascii="Times New Roman"/>
                                <w:sz w:val="18"/>
                              </w:rPr>
                            </w:pPr>
                          </w:p>
                        </w:tc>
                        <w:tc>
                          <w:tcPr>
                            <w:tcW w:w="426" w:type="dxa"/>
                            <w:tcBorders>
                              <w:top w:val="nil"/>
                              <w:left w:val="single" w:color="000000" w:sz="4" w:space="0"/>
                              <w:bottom w:val="nil"/>
                              <w:right w:val="single" w:color="000000" w:sz="4" w:space="0"/>
                            </w:tcBorders>
                          </w:tcPr>
                          <w:p>
                            <w:pPr>
                              <w:pStyle w:val="24"/>
                              <w:rPr>
                                <w:rFonts w:ascii="Times New Roman"/>
                                <w:sz w:val="18"/>
                              </w:rPr>
                            </w:pPr>
                          </w:p>
                        </w:tc>
                        <w:tc>
                          <w:tcPr>
                            <w:tcW w:w="4819" w:type="dxa"/>
                            <w:tcBorders>
                              <w:top w:val="nil"/>
                              <w:left w:val="single" w:color="000000" w:sz="4" w:space="0"/>
                              <w:bottom w:val="nil"/>
                              <w:right w:val="single" w:color="000000" w:sz="4" w:space="0"/>
                            </w:tcBorders>
                          </w:tcPr>
                          <w:p>
                            <w:pPr>
                              <w:pStyle w:val="24"/>
                              <w:rPr>
                                <w:rFonts w:ascii="Times New Roman"/>
                                <w:sz w:val="18"/>
                              </w:rPr>
                            </w:pPr>
                          </w:p>
                        </w:tc>
                        <w:tc>
                          <w:tcPr>
                            <w:tcW w:w="1276" w:type="dxa"/>
                            <w:tcBorders>
                              <w:top w:val="nil"/>
                              <w:left w:val="single" w:color="000000" w:sz="4" w:space="0"/>
                              <w:bottom w:val="nil"/>
                              <w:right w:val="single" w:color="000000" w:sz="4" w:space="0"/>
                            </w:tcBorders>
                          </w:tcPr>
                          <w:p>
                            <w:pPr>
                              <w:pStyle w:val="24"/>
                              <w:rPr>
                                <w:rFonts w:ascii="Times New Roman"/>
                                <w:sz w:val="18"/>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41" w:lineRule="exact"/>
                              <w:ind w:left="62"/>
                              <w:rPr>
                                <w:rFonts w:ascii="宋体" w:eastAsia="宋体"/>
                                <w:sz w:val="21"/>
                              </w:rPr>
                            </w:pPr>
                            <w:r>
                              <w:rPr>
                                <w:rFonts w:hint="eastAsia" w:ascii="宋体" w:eastAsia="宋体"/>
                                <w:spacing w:val="-16"/>
                                <w:sz w:val="21"/>
                              </w:rPr>
                              <w:t>部门收集信息，服务于政府环境应急预案编修；另外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1134" w:type="dxa"/>
                            <w:tcBorders>
                              <w:top w:val="nil"/>
                              <w:bottom w:val="nil"/>
                              <w:right w:val="single" w:color="000000" w:sz="4" w:space="0"/>
                            </w:tcBorders>
                          </w:tcPr>
                          <w:p>
                            <w:pPr>
                              <w:pStyle w:val="24"/>
                              <w:rPr>
                                <w:rFonts w:ascii="Times New Roman"/>
                                <w:sz w:val="18"/>
                              </w:rPr>
                            </w:pPr>
                          </w:p>
                        </w:tc>
                        <w:tc>
                          <w:tcPr>
                            <w:tcW w:w="426" w:type="dxa"/>
                            <w:tcBorders>
                              <w:top w:val="nil"/>
                              <w:left w:val="single" w:color="000000" w:sz="4" w:space="0"/>
                              <w:bottom w:val="nil"/>
                              <w:right w:val="single" w:color="000000" w:sz="4" w:space="0"/>
                            </w:tcBorders>
                          </w:tcPr>
                          <w:p>
                            <w:pPr>
                              <w:pStyle w:val="24"/>
                              <w:rPr>
                                <w:rFonts w:ascii="Times New Roman"/>
                                <w:sz w:val="18"/>
                              </w:rPr>
                            </w:pPr>
                          </w:p>
                        </w:tc>
                        <w:tc>
                          <w:tcPr>
                            <w:tcW w:w="4819" w:type="dxa"/>
                            <w:tcBorders>
                              <w:top w:val="nil"/>
                              <w:left w:val="single" w:color="000000" w:sz="4" w:space="0"/>
                              <w:bottom w:val="nil"/>
                              <w:right w:val="single" w:color="000000" w:sz="4" w:space="0"/>
                            </w:tcBorders>
                          </w:tcPr>
                          <w:p>
                            <w:pPr>
                              <w:pStyle w:val="24"/>
                              <w:rPr>
                                <w:rFonts w:ascii="Times New Roman"/>
                                <w:sz w:val="18"/>
                              </w:rPr>
                            </w:pPr>
                          </w:p>
                        </w:tc>
                        <w:tc>
                          <w:tcPr>
                            <w:tcW w:w="1276" w:type="dxa"/>
                            <w:tcBorders>
                              <w:top w:val="nil"/>
                              <w:left w:val="single" w:color="000000" w:sz="4" w:space="0"/>
                              <w:bottom w:val="nil"/>
                              <w:right w:val="single" w:color="000000" w:sz="4" w:space="0"/>
                            </w:tcBorders>
                          </w:tcPr>
                          <w:p>
                            <w:pPr>
                              <w:pStyle w:val="24"/>
                              <w:rPr>
                                <w:rFonts w:ascii="Times New Roman"/>
                                <w:sz w:val="18"/>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42" w:lineRule="exact"/>
                              <w:ind w:left="62"/>
                              <w:rPr>
                                <w:rFonts w:ascii="宋体" w:eastAsia="宋体"/>
                                <w:sz w:val="21"/>
                              </w:rPr>
                            </w:pPr>
                            <w:r>
                              <w:rPr>
                                <w:rFonts w:hint="eastAsia" w:ascii="宋体" w:eastAsia="宋体"/>
                                <w:spacing w:val="-10"/>
                                <w:sz w:val="21"/>
                              </w:rPr>
                              <w:t>由于权限、职责、工作范围的不同，企业环境应急预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1134" w:type="dxa"/>
                            <w:tcBorders>
                              <w:top w:val="nil"/>
                              <w:bottom w:val="nil"/>
                              <w:right w:val="single" w:color="000000" w:sz="4" w:space="0"/>
                            </w:tcBorders>
                          </w:tcPr>
                          <w:p>
                            <w:pPr>
                              <w:pStyle w:val="24"/>
                              <w:rPr>
                                <w:rFonts w:ascii="Times New Roman"/>
                                <w:sz w:val="18"/>
                              </w:rPr>
                            </w:pPr>
                          </w:p>
                        </w:tc>
                        <w:tc>
                          <w:tcPr>
                            <w:tcW w:w="426" w:type="dxa"/>
                            <w:tcBorders>
                              <w:top w:val="nil"/>
                              <w:left w:val="single" w:color="000000" w:sz="4" w:space="0"/>
                              <w:bottom w:val="nil"/>
                              <w:right w:val="single" w:color="000000" w:sz="4" w:space="0"/>
                            </w:tcBorders>
                          </w:tcPr>
                          <w:p>
                            <w:pPr>
                              <w:pStyle w:val="24"/>
                              <w:rPr>
                                <w:rFonts w:ascii="Times New Roman"/>
                                <w:sz w:val="18"/>
                              </w:rPr>
                            </w:pPr>
                          </w:p>
                        </w:tc>
                        <w:tc>
                          <w:tcPr>
                            <w:tcW w:w="4819" w:type="dxa"/>
                            <w:tcBorders>
                              <w:top w:val="nil"/>
                              <w:left w:val="single" w:color="000000" w:sz="4" w:space="0"/>
                              <w:bottom w:val="nil"/>
                              <w:right w:val="single" w:color="000000" w:sz="4" w:space="0"/>
                            </w:tcBorders>
                          </w:tcPr>
                          <w:p>
                            <w:pPr>
                              <w:pStyle w:val="24"/>
                              <w:rPr>
                                <w:rFonts w:ascii="Times New Roman"/>
                                <w:sz w:val="18"/>
                              </w:rPr>
                            </w:pPr>
                          </w:p>
                        </w:tc>
                        <w:tc>
                          <w:tcPr>
                            <w:tcW w:w="1276" w:type="dxa"/>
                            <w:tcBorders>
                              <w:top w:val="nil"/>
                              <w:left w:val="single" w:color="000000" w:sz="4" w:space="0"/>
                              <w:bottom w:val="nil"/>
                              <w:right w:val="single" w:color="000000" w:sz="4" w:space="0"/>
                            </w:tcBorders>
                          </w:tcPr>
                          <w:p>
                            <w:pPr>
                              <w:pStyle w:val="24"/>
                              <w:rPr>
                                <w:rFonts w:ascii="Times New Roman"/>
                                <w:sz w:val="18"/>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42" w:lineRule="exact"/>
                              <w:ind w:left="62"/>
                              <w:rPr>
                                <w:rFonts w:ascii="宋体" w:hAnsi="宋体" w:eastAsia="宋体"/>
                                <w:sz w:val="21"/>
                              </w:rPr>
                            </w:pPr>
                            <w:r>
                              <w:rPr>
                                <w:rFonts w:hint="eastAsia" w:ascii="宋体" w:hAnsi="宋体" w:eastAsia="宋体"/>
                                <w:spacing w:val="-7"/>
                                <w:sz w:val="21"/>
                              </w:rPr>
                              <w:t>案应该在指挥、措施、程序等方面留有“接口”，确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1134" w:type="dxa"/>
                            <w:tcBorders>
                              <w:top w:val="nil"/>
                              <w:bottom w:val="nil"/>
                              <w:right w:val="single" w:color="000000" w:sz="4" w:space="0"/>
                            </w:tcBorders>
                          </w:tcPr>
                          <w:p>
                            <w:pPr>
                              <w:pStyle w:val="24"/>
                              <w:rPr>
                                <w:rFonts w:ascii="Times New Roman"/>
                                <w:sz w:val="20"/>
                              </w:rPr>
                            </w:pPr>
                          </w:p>
                        </w:tc>
                        <w:tc>
                          <w:tcPr>
                            <w:tcW w:w="426" w:type="dxa"/>
                            <w:tcBorders>
                              <w:top w:val="nil"/>
                              <w:left w:val="single" w:color="000000" w:sz="4" w:space="0"/>
                              <w:bottom w:val="nil"/>
                              <w:right w:val="single" w:color="000000" w:sz="4" w:space="0"/>
                            </w:tcBorders>
                          </w:tcPr>
                          <w:p>
                            <w:pPr>
                              <w:pStyle w:val="24"/>
                              <w:rPr>
                                <w:rFonts w:ascii="Times New Roman"/>
                                <w:sz w:val="20"/>
                              </w:rPr>
                            </w:pPr>
                          </w:p>
                        </w:tc>
                        <w:tc>
                          <w:tcPr>
                            <w:tcW w:w="4819" w:type="dxa"/>
                            <w:tcBorders>
                              <w:top w:val="nil"/>
                              <w:left w:val="single" w:color="000000" w:sz="4" w:space="0"/>
                              <w:bottom w:val="nil"/>
                              <w:right w:val="single" w:color="000000" w:sz="4" w:space="0"/>
                            </w:tcBorders>
                          </w:tcPr>
                          <w:p>
                            <w:pPr>
                              <w:pStyle w:val="24"/>
                              <w:rPr>
                                <w:rFonts w:ascii="Times New Roman"/>
                                <w:sz w:val="20"/>
                              </w:rPr>
                            </w:pPr>
                          </w:p>
                        </w:tc>
                        <w:tc>
                          <w:tcPr>
                            <w:tcW w:w="1276" w:type="dxa"/>
                            <w:tcBorders>
                              <w:top w:val="nil"/>
                              <w:left w:val="single" w:color="000000" w:sz="4" w:space="0"/>
                              <w:bottom w:val="nil"/>
                              <w:right w:val="single" w:color="000000" w:sz="4" w:space="0"/>
                            </w:tcBorders>
                          </w:tcPr>
                          <w:p>
                            <w:pPr>
                              <w:pStyle w:val="24"/>
                              <w:rPr>
                                <w:rFonts w:ascii="Times New Roman"/>
                                <w:sz w:val="20"/>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65" w:lineRule="exact"/>
                              <w:ind w:left="62"/>
                              <w:rPr>
                                <w:rFonts w:ascii="宋体" w:eastAsia="宋体"/>
                                <w:sz w:val="21"/>
                              </w:rPr>
                            </w:pPr>
                            <w:r>
                              <w:rPr>
                                <w:rFonts w:hint="eastAsia" w:ascii="宋体" w:eastAsia="宋体"/>
                                <w:sz w:val="21"/>
                              </w:rPr>
                              <w:t>保与政府预案有机衔接。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4" w:hRule="atLeast"/>
                        </w:trPr>
                        <w:tc>
                          <w:tcPr>
                            <w:tcW w:w="1134" w:type="dxa"/>
                            <w:tcBorders>
                              <w:top w:val="nil"/>
                              <w:bottom w:val="nil"/>
                              <w:right w:val="single" w:color="000000" w:sz="4" w:space="0"/>
                            </w:tcBorders>
                          </w:tcPr>
                          <w:p>
                            <w:pPr>
                              <w:pStyle w:val="24"/>
                              <w:spacing w:before="6"/>
                              <w:rPr>
                                <w:rFonts w:ascii="宋体"/>
                                <w:sz w:val="28"/>
                              </w:rPr>
                            </w:pPr>
                          </w:p>
                          <w:p>
                            <w:pPr>
                              <w:pStyle w:val="24"/>
                              <w:ind w:left="125" w:right="113"/>
                              <w:jc w:val="center"/>
                              <w:rPr>
                                <w:rFonts w:ascii="宋体" w:eastAsia="宋体"/>
                                <w:sz w:val="21"/>
                              </w:rPr>
                            </w:pPr>
                            <w:r>
                              <w:rPr>
                                <w:rFonts w:hint="eastAsia" w:ascii="宋体" w:eastAsia="宋体"/>
                                <w:sz w:val="21"/>
                              </w:rPr>
                              <w:t>工作原则</w:t>
                            </w:r>
                          </w:p>
                        </w:tc>
                        <w:tc>
                          <w:tcPr>
                            <w:tcW w:w="426" w:type="dxa"/>
                            <w:tcBorders>
                              <w:top w:val="nil"/>
                              <w:left w:val="single" w:color="000000" w:sz="4" w:space="0"/>
                              <w:bottom w:val="nil"/>
                              <w:right w:val="single" w:color="000000" w:sz="4" w:space="0"/>
                            </w:tcBorders>
                          </w:tcPr>
                          <w:p>
                            <w:pPr>
                              <w:pStyle w:val="24"/>
                              <w:spacing w:before="6"/>
                              <w:rPr>
                                <w:rFonts w:ascii="宋体"/>
                                <w:sz w:val="28"/>
                              </w:rPr>
                            </w:pPr>
                          </w:p>
                          <w:p>
                            <w:pPr>
                              <w:pStyle w:val="24"/>
                              <w:ind w:left="18"/>
                              <w:jc w:val="center"/>
                              <w:rPr>
                                <w:rFonts w:ascii="宋体"/>
                                <w:sz w:val="21"/>
                              </w:rPr>
                            </w:pPr>
                            <w:r>
                              <w:rPr>
                                <w:rFonts w:ascii="宋体"/>
                                <w:w w:val="99"/>
                                <w:sz w:val="21"/>
                              </w:rPr>
                              <w:t>8</w:t>
                            </w:r>
                          </w:p>
                        </w:tc>
                        <w:tc>
                          <w:tcPr>
                            <w:tcW w:w="4819" w:type="dxa"/>
                            <w:tcBorders>
                              <w:top w:val="nil"/>
                              <w:left w:val="single" w:color="000000" w:sz="4" w:space="0"/>
                              <w:bottom w:val="nil"/>
                              <w:right w:val="single" w:color="000000" w:sz="4" w:space="0"/>
                            </w:tcBorders>
                          </w:tcPr>
                          <w:p>
                            <w:pPr>
                              <w:pStyle w:val="24"/>
                              <w:spacing w:before="91" w:line="242" w:lineRule="auto"/>
                              <w:ind w:left="60" w:right="3"/>
                              <w:jc w:val="both"/>
                              <w:rPr>
                                <w:rFonts w:ascii="宋体" w:eastAsia="宋体"/>
                                <w:sz w:val="21"/>
                              </w:rPr>
                            </w:pPr>
                            <w:r>
                              <w:rPr>
                                <w:rFonts w:hint="eastAsia" w:ascii="宋体" w:eastAsia="宋体"/>
                                <w:spacing w:val="-5"/>
                                <w:w w:val="95"/>
                                <w:sz w:val="21"/>
                              </w:rPr>
                              <w:t xml:space="preserve">体现：符合国家有关规定和要求，结合本单位实际； </w:t>
                            </w:r>
                            <w:r>
                              <w:rPr>
                                <w:rFonts w:hint="eastAsia" w:ascii="宋体" w:eastAsia="宋体"/>
                                <w:spacing w:val="-8"/>
                                <w:sz w:val="21"/>
                              </w:rPr>
                              <w:t>救人第一、环境优先；先期处置、防止危害扩大；快</w:t>
                            </w:r>
                            <w:r>
                              <w:rPr>
                                <w:rFonts w:hint="eastAsia" w:ascii="宋体" w:eastAsia="宋体"/>
                                <w:spacing w:val="-5"/>
                                <w:sz w:val="21"/>
                              </w:rPr>
                              <w:t>速响应、科学应对；应急工作与岗位职责相结合等</w:t>
                            </w:r>
                          </w:p>
                        </w:tc>
                        <w:tc>
                          <w:tcPr>
                            <w:tcW w:w="1276" w:type="dxa"/>
                            <w:tcBorders>
                              <w:top w:val="nil"/>
                              <w:left w:val="single" w:color="000000" w:sz="4" w:space="0"/>
                              <w:bottom w:val="nil"/>
                              <w:right w:val="single" w:color="000000" w:sz="4" w:space="0"/>
                            </w:tcBorders>
                          </w:tcPr>
                          <w:p>
                            <w:pPr>
                              <w:pStyle w:val="24"/>
                              <w:spacing w:before="91"/>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5"/>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before="174" w:line="270" w:lineRule="atLeast"/>
                              <w:ind w:left="62" w:right="35"/>
                              <w:rPr>
                                <w:rFonts w:ascii="宋体" w:eastAsia="宋体"/>
                                <w:sz w:val="21"/>
                              </w:rPr>
                            </w:pPr>
                            <w:r>
                              <w:rPr>
                                <w:rFonts w:hint="eastAsia" w:ascii="宋体" w:eastAsia="宋体"/>
                                <w:spacing w:val="-10"/>
                                <w:w w:val="95"/>
                                <w:sz w:val="21"/>
                              </w:rPr>
                              <w:t xml:space="preserve">适用主体，指组织实施预案的责任单位；地理或管理 </w:t>
                            </w:r>
                            <w:r>
                              <w:rPr>
                                <w:rFonts w:hint="eastAsia" w:ascii="宋体" w:eastAsia="宋体"/>
                                <w:spacing w:val="-10"/>
                                <w:sz w:val="21"/>
                              </w:rPr>
                              <w:t>范围，如某公司内、某公司及周边环境敏感区域内</w:t>
                            </w:r>
                            <w:r>
                              <w:rPr>
                                <w:rFonts w:hint="eastAsia" w:ascii="宋体" w:eastAsia="宋体"/>
                                <w:spacing w:val="-12"/>
                                <w:w w:val="95"/>
                                <w:sz w:val="21"/>
                              </w:rPr>
                              <w:t>事件类别，如生产废水事故排放、化学品泄漏、燃烧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1134" w:type="dxa"/>
                            <w:tcBorders>
                              <w:top w:val="nil"/>
                              <w:bottom w:val="nil"/>
                              <w:right w:val="single" w:color="000000" w:sz="4" w:space="0"/>
                            </w:tcBorders>
                          </w:tcPr>
                          <w:p>
                            <w:pPr>
                              <w:pStyle w:val="24"/>
                              <w:rPr>
                                <w:rFonts w:ascii="Times New Roman"/>
                                <w:sz w:val="18"/>
                              </w:rPr>
                            </w:pPr>
                          </w:p>
                        </w:tc>
                        <w:tc>
                          <w:tcPr>
                            <w:tcW w:w="426" w:type="dxa"/>
                            <w:tcBorders>
                              <w:top w:val="nil"/>
                              <w:left w:val="single" w:color="000000" w:sz="4" w:space="0"/>
                              <w:bottom w:val="nil"/>
                              <w:right w:val="single" w:color="000000" w:sz="4" w:space="0"/>
                            </w:tcBorders>
                          </w:tcPr>
                          <w:p>
                            <w:pPr>
                              <w:pStyle w:val="24"/>
                              <w:rPr>
                                <w:rFonts w:ascii="Times New Roman"/>
                                <w:sz w:val="18"/>
                              </w:rPr>
                            </w:pPr>
                          </w:p>
                        </w:tc>
                        <w:tc>
                          <w:tcPr>
                            <w:tcW w:w="4819" w:type="dxa"/>
                            <w:tcBorders>
                              <w:top w:val="nil"/>
                              <w:left w:val="single" w:color="000000" w:sz="4" w:space="0"/>
                              <w:bottom w:val="nil"/>
                              <w:right w:val="single" w:color="000000" w:sz="4" w:space="0"/>
                            </w:tcBorders>
                          </w:tcPr>
                          <w:p>
                            <w:pPr>
                              <w:pStyle w:val="24"/>
                              <w:rPr>
                                <w:rFonts w:ascii="Times New Roman"/>
                                <w:sz w:val="18"/>
                              </w:rPr>
                            </w:pPr>
                          </w:p>
                        </w:tc>
                        <w:tc>
                          <w:tcPr>
                            <w:tcW w:w="1276" w:type="dxa"/>
                            <w:tcBorders>
                              <w:top w:val="nil"/>
                              <w:left w:val="single" w:color="000000" w:sz="4" w:space="0"/>
                              <w:bottom w:val="nil"/>
                              <w:right w:val="single" w:color="000000" w:sz="4" w:space="0"/>
                            </w:tcBorders>
                          </w:tcPr>
                          <w:p>
                            <w:pPr>
                              <w:pStyle w:val="24"/>
                              <w:rPr>
                                <w:rFonts w:ascii="Times New Roman"/>
                                <w:sz w:val="18"/>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42" w:lineRule="exact"/>
                              <w:ind w:left="62"/>
                              <w:rPr>
                                <w:rFonts w:ascii="宋体" w:eastAsia="宋体"/>
                                <w:sz w:val="21"/>
                              </w:rPr>
                            </w:pPr>
                            <w:r>
                              <w:rPr>
                                <w:rFonts w:hint="eastAsia" w:ascii="宋体" w:eastAsia="宋体"/>
                                <w:spacing w:val="-7"/>
                                <w:sz w:val="21"/>
                              </w:rPr>
                              <w:t>或爆炸次生环境事件等；工作内容，可包括预警、处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1134" w:type="dxa"/>
                            <w:tcBorders>
                              <w:top w:val="nil"/>
                              <w:bottom w:val="nil"/>
                              <w:right w:val="single" w:color="000000" w:sz="4" w:space="0"/>
                            </w:tcBorders>
                          </w:tcPr>
                          <w:p>
                            <w:pPr>
                              <w:pStyle w:val="24"/>
                              <w:rPr>
                                <w:rFonts w:ascii="Times New Roman"/>
                                <w:sz w:val="18"/>
                              </w:rPr>
                            </w:pPr>
                          </w:p>
                        </w:tc>
                        <w:tc>
                          <w:tcPr>
                            <w:tcW w:w="426" w:type="dxa"/>
                            <w:tcBorders>
                              <w:top w:val="nil"/>
                              <w:left w:val="single" w:color="000000" w:sz="4" w:space="0"/>
                              <w:bottom w:val="nil"/>
                              <w:right w:val="single" w:color="000000" w:sz="4" w:space="0"/>
                            </w:tcBorders>
                          </w:tcPr>
                          <w:p>
                            <w:pPr>
                              <w:pStyle w:val="24"/>
                              <w:rPr>
                                <w:rFonts w:ascii="Times New Roman"/>
                                <w:sz w:val="18"/>
                              </w:rPr>
                            </w:pPr>
                          </w:p>
                        </w:tc>
                        <w:tc>
                          <w:tcPr>
                            <w:tcW w:w="4819" w:type="dxa"/>
                            <w:tcBorders>
                              <w:top w:val="nil"/>
                              <w:left w:val="single" w:color="000000" w:sz="4" w:space="0"/>
                              <w:bottom w:val="nil"/>
                              <w:right w:val="single" w:color="000000" w:sz="4" w:space="0"/>
                            </w:tcBorders>
                          </w:tcPr>
                          <w:p>
                            <w:pPr>
                              <w:pStyle w:val="24"/>
                              <w:rPr>
                                <w:rFonts w:ascii="Times New Roman"/>
                                <w:sz w:val="18"/>
                              </w:rPr>
                            </w:pPr>
                          </w:p>
                        </w:tc>
                        <w:tc>
                          <w:tcPr>
                            <w:tcW w:w="1276" w:type="dxa"/>
                            <w:tcBorders>
                              <w:top w:val="nil"/>
                              <w:left w:val="single" w:color="000000" w:sz="4" w:space="0"/>
                              <w:bottom w:val="nil"/>
                              <w:right w:val="single" w:color="000000" w:sz="4" w:space="0"/>
                            </w:tcBorders>
                          </w:tcPr>
                          <w:p>
                            <w:pPr>
                              <w:pStyle w:val="24"/>
                              <w:rPr>
                                <w:rFonts w:ascii="Times New Roman"/>
                                <w:sz w:val="18"/>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42" w:lineRule="exact"/>
                              <w:ind w:left="62"/>
                              <w:rPr>
                                <w:rFonts w:ascii="宋体" w:eastAsia="宋体"/>
                                <w:sz w:val="21"/>
                              </w:rPr>
                            </w:pPr>
                            <w:r>
                              <w:rPr>
                                <w:rFonts w:hint="eastAsia" w:ascii="宋体" w:eastAsia="宋体"/>
                                <w:sz w:val="21"/>
                              </w:rPr>
                              <w:t>置、监测等。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1134" w:type="dxa"/>
                            <w:tcBorders>
                              <w:top w:val="nil"/>
                              <w:bottom w:val="nil"/>
                              <w:right w:val="single" w:color="000000" w:sz="4" w:space="0"/>
                            </w:tcBorders>
                          </w:tcPr>
                          <w:p>
                            <w:pPr>
                              <w:pStyle w:val="24"/>
                              <w:rPr>
                                <w:rFonts w:ascii="Times New Roman"/>
                                <w:sz w:val="18"/>
                              </w:rPr>
                            </w:pPr>
                          </w:p>
                        </w:tc>
                        <w:tc>
                          <w:tcPr>
                            <w:tcW w:w="426" w:type="dxa"/>
                            <w:tcBorders>
                              <w:top w:val="nil"/>
                              <w:left w:val="single" w:color="000000" w:sz="4" w:space="0"/>
                              <w:bottom w:val="nil"/>
                              <w:right w:val="single" w:color="000000" w:sz="4" w:space="0"/>
                            </w:tcBorders>
                          </w:tcPr>
                          <w:p>
                            <w:pPr>
                              <w:pStyle w:val="24"/>
                              <w:rPr>
                                <w:rFonts w:ascii="Times New Roman"/>
                                <w:sz w:val="18"/>
                              </w:rPr>
                            </w:pPr>
                          </w:p>
                        </w:tc>
                        <w:tc>
                          <w:tcPr>
                            <w:tcW w:w="4819" w:type="dxa"/>
                            <w:tcBorders>
                              <w:top w:val="nil"/>
                              <w:left w:val="single" w:color="000000" w:sz="4" w:space="0"/>
                              <w:bottom w:val="nil"/>
                              <w:right w:val="single" w:color="000000" w:sz="4" w:space="0"/>
                            </w:tcBorders>
                          </w:tcPr>
                          <w:p>
                            <w:pPr>
                              <w:pStyle w:val="24"/>
                              <w:rPr>
                                <w:rFonts w:ascii="Times New Roman"/>
                                <w:sz w:val="18"/>
                              </w:rPr>
                            </w:pPr>
                          </w:p>
                        </w:tc>
                        <w:tc>
                          <w:tcPr>
                            <w:tcW w:w="1276" w:type="dxa"/>
                            <w:tcBorders>
                              <w:top w:val="nil"/>
                              <w:left w:val="single" w:color="000000" w:sz="4" w:space="0"/>
                              <w:bottom w:val="nil"/>
                              <w:right w:val="single" w:color="000000" w:sz="4" w:space="0"/>
                            </w:tcBorders>
                          </w:tcPr>
                          <w:p>
                            <w:pPr>
                              <w:pStyle w:val="24"/>
                              <w:rPr>
                                <w:rFonts w:ascii="Times New Roman"/>
                                <w:sz w:val="18"/>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42" w:lineRule="exact"/>
                              <w:ind w:left="62"/>
                              <w:rPr>
                                <w:rFonts w:ascii="宋体" w:eastAsia="宋体"/>
                                <w:sz w:val="21"/>
                              </w:rPr>
                            </w:pPr>
                            <w:r>
                              <w:rPr>
                                <w:rFonts w:hint="eastAsia" w:ascii="宋体" w:eastAsia="宋体"/>
                                <w:spacing w:val="-10"/>
                                <w:sz w:val="21"/>
                              </w:rPr>
                              <w:t>坚持环境优先，是因为环境一旦受到污染，修复难度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1134" w:type="dxa"/>
                            <w:tcBorders>
                              <w:top w:val="nil"/>
                              <w:bottom w:val="nil"/>
                              <w:right w:val="single" w:color="000000" w:sz="4" w:space="0"/>
                            </w:tcBorders>
                          </w:tcPr>
                          <w:p>
                            <w:pPr>
                              <w:pStyle w:val="24"/>
                              <w:rPr>
                                <w:rFonts w:ascii="Times New Roman"/>
                                <w:sz w:val="18"/>
                              </w:rPr>
                            </w:pPr>
                          </w:p>
                        </w:tc>
                        <w:tc>
                          <w:tcPr>
                            <w:tcW w:w="426" w:type="dxa"/>
                            <w:tcBorders>
                              <w:top w:val="nil"/>
                              <w:left w:val="single" w:color="000000" w:sz="4" w:space="0"/>
                              <w:bottom w:val="nil"/>
                              <w:right w:val="single" w:color="000000" w:sz="4" w:space="0"/>
                            </w:tcBorders>
                          </w:tcPr>
                          <w:p>
                            <w:pPr>
                              <w:pStyle w:val="24"/>
                              <w:rPr>
                                <w:rFonts w:ascii="Times New Roman"/>
                                <w:sz w:val="18"/>
                              </w:rPr>
                            </w:pPr>
                          </w:p>
                        </w:tc>
                        <w:tc>
                          <w:tcPr>
                            <w:tcW w:w="4819" w:type="dxa"/>
                            <w:tcBorders>
                              <w:top w:val="nil"/>
                              <w:left w:val="single" w:color="000000" w:sz="4" w:space="0"/>
                              <w:bottom w:val="nil"/>
                              <w:right w:val="single" w:color="000000" w:sz="4" w:space="0"/>
                            </w:tcBorders>
                          </w:tcPr>
                          <w:p>
                            <w:pPr>
                              <w:pStyle w:val="24"/>
                              <w:rPr>
                                <w:rFonts w:ascii="Times New Roman"/>
                                <w:sz w:val="18"/>
                              </w:rPr>
                            </w:pPr>
                          </w:p>
                        </w:tc>
                        <w:tc>
                          <w:tcPr>
                            <w:tcW w:w="1276" w:type="dxa"/>
                            <w:tcBorders>
                              <w:top w:val="nil"/>
                              <w:left w:val="single" w:color="000000" w:sz="4" w:space="0"/>
                              <w:bottom w:val="nil"/>
                              <w:right w:val="single" w:color="000000" w:sz="4" w:space="0"/>
                            </w:tcBorders>
                          </w:tcPr>
                          <w:p>
                            <w:pPr>
                              <w:pStyle w:val="24"/>
                              <w:rPr>
                                <w:rFonts w:ascii="Times New Roman"/>
                                <w:sz w:val="18"/>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42" w:lineRule="exact"/>
                              <w:ind w:left="62"/>
                              <w:rPr>
                                <w:rFonts w:ascii="宋体" w:eastAsia="宋体"/>
                                <w:sz w:val="21"/>
                              </w:rPr>
                            </w:pPr>
                            <w:r>
                              <w:rPr>
                                <w:rFonts w:hint="eastAsia" w:ascii="宋体" w:eastAsia="宋体"/>
                                <w:spacing w:val="-10"/>
                                <w:sz w:val="21"/>
                              </w:rPr>
                              <w:t>大且成本高；应急工作与岗位职责相结合，强调应急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1134" w:type="dxa"/>
                            <w:tcBorders>
                              <w:top w:val="nil"/>
                              <w:bottom w:val="single" w:color="000000" w:sz="4" w:space="0"/>
                              <w:right w:val="single" w:color="000000" w:sz="4" w:space="0"/>
                            </w:tcBorders>
                          </w:tcPr>
                          <w:p>
                            <w:pPr>
                              <w:pStyle w:val="24"/>
                              <w:rPr>
                                <w:rFonts w:ascii="Times New Roman"/>
                                <w:sz w:val="18"/>
                              </w:rPr>
                            </w:pPr>
                          </w:p>
                        </w:tc>
                        <w:tc>
                          <w:tcPr>
                            <w:tcW w:w="426" w:type="dxa"/>
                            <w:tcBorders>
                              <w:top w:val="nil"/>
                              <w:left w:val="single" w:color="000000" w:sz="4" w:space="0"/>
                              <w:bottom w:val="single" w:color="000000" w:sz="4" w:space="0"/>
                              <w:right w:val="single" w:color="000000" w:sz="4" w:space="0"/>
                            </w:tcBorders>
                          </w:tcPr>
                          <w:p>
                            <w:pPr>
                              <w:pStyle w:val="24"/>
                              <w:rPr>
                                <w:rFonts w:ascii="Times New Roman"/>
                                <w:sz w:val="18"/>
                              </w:rPr>
                            </w:pPr>
                          </w:p>
                        </w:tc>
                        <w:tc>
                          <w:tcPr>
                            <w:tcW w:w="4819" w:type="dxa"/>
                            <w:tcBorders>
                              <w:top w:val="nil"/>
                              <w:left w:val="single" w:color="000000" w:sz="4" w:space="0"/>
                              <w:bottom w:val="single" w:color="000000" w:sz="4" w:space="0"/>
                              <w:right w:val="single" w:color="000000" w:sz="4" w:space="0"/>
                            </w:tcBorders>
                          </w:tcPr>
                          <w:p>
                            <w:pPr>
                              <w:pStyle w:val="24"/>
                              <w:rPr>
                                <w:rFonts w:ascii="Times New Roman"/>
                                <w:sz w:val="18"/>
                              </w:rPr>
                            </w:pPr>
                          </w:p>
                        </w:tc>
                        <w:tc>
                          <w:tcPr>
                            <w:tcW w:w="1276" w:type="dxa"/>
                            <w:tcBorders>
                              <w:top w:val="nil"/>
                              <w:left w:val="single" w:color="000000" w:sz="4" w:space="0"/>
                              <w:bottom w:val="single" w:color="000000" w:sz="4" w:space="0"/>
                              <w:right w:val="single" w:color="000000" w:sz="4" w:space="0"/>
                            </w:tcBorders>
                          </w:tcPr>
                          <w:p>
                            <w:pPr>
                              <w:pStyle w:val="24"/>
                              <w:rPr>
                                <w:rFonts w:ascii="Times New Roman"/>
                                <w:sz w:val="18"/>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single" w:color="000000" w:sz="4" w:space="0"/>
                            </w:tcBorders>
                          </w:tcPr>
                          <w:p>
                            <w:pPr>
                              <w:pStyle w:val="24"/>
                              <w:spacing w:line="248" w:lineRule="exact"/>
                              <w:ind w:left="62"/>
                              <w:rPr>
                                <w:rFonts w:ascii="宋体" w:eastAsia="宋体"/>
                                <w:sz w:val="21"/>
                              </w:rPr>
                            </w:pPr>
                            <w:r>
                              <w:rPr>
                                <w:rFonts w:hint="eastAsia" w:ascii="宋体" w:eastAsia="宋体"/>
                                <w:sz w:val="21"/>
                              </w:rPr>
                              <w:t>任务要细化落实到具体工作岗位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6" w:hRule="atLeast"/>
                        </w:trPr>
                        <w:tc>
                          <w:tcPr>
                            <w:tcW w:w="1134" w:type="dxa"/>
                            <w:tcBorders>
                              <w:top w:val="single" w:color="000000" w:sz="4" w:space="0"/>
                              <w:bottom w:val="nil"/>
                              <w:right w:val="single" w:color="000000" w:sz="4" w:space="0"/>
                            </w:tcBorders>
                          </w:tcPr>
                          <w:p>
                            <w:pPr>
                              <w:pStyle w:val="24"/>
                              <w:rPr>
                                <w:rFonts w:ascii="Times New Roman"/>
                                <w:sz w:val="18"/>
                              </w:rPr>
                            </w:pPr>
                          </w:p>
                        </w:tc>
                        <w:tc>
                          <w:tcPr>
                            <w:tcW w:w="426" w:type="dxa"/>
                            <w:tcBorders>
                              <w:top w:val="single" w:color="000000" w:sz="4" w:space="0"/>
                              <w:left w:val="single" w:color="000000" w:sz="4" w:space="0"/>
                              <w:bottom w:val="nil"/>
                              <w:right w:val="single" w:color="000000" w:sz="4" w:space="0"/>
                            </w:tcBorders>
                          </w:tcPr>
                          <w:p>
                            <w:pPr>
                              <w:pStyle w:val="24"/>
                              <w:rPr>
                                <w:rFonts w:ascii="Times New Roman"/>
                                <w:sz w:val="18"/>
                              </w:rPr>
                            </w:pPr>
                          </w:p>
                        </w:tc>
                        <w:tc>
                          <w:tcPr>
                            <w:tcW w:w="4819" w:type="dxa"/>
                            <w:tcBorders>
                              <w:top w:val="single" w:color="000000" w:sz="4" w:space="0"/>
                              <w:left w:val="single" w:color="000000" w:sz="4" w:space="0"/>
                              <w:bottom w:val="nil"/>
                              <w:right w:val="single" w:color="000000" w:sz="4" w:space="0"/>
                            </w:tcBorders>
                          </w:tcPr>
                          <w:p>
                            <w:pPr>
                              <w:pStyle w:val="24"/>
                              <w:rPr>
                                <w:rFonts w:ascii="Times New Roman"/>
                                <w:sz w:val="18"/>
                              </w:rPr>
                            </w:pPr>
                          </w:p>
                        </w:tc>
                        <w:tc>
                          <w:tcPr>
                            <w:tcW w:w="1276" w:type="dxa"/>
                            <w:vMerge w:val="restart"/>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rPr>
                                <w:rFonts w:ascii="宋体"/>
                                <w:sz w:val="20"/>
                              </w:rPr>
                            </w:pPr>
                          </w:p>
                          <w:p>
                            <w:pPr>
                              <w:pStyle w:val="24"/>
                              <w:spacing w:before="1"/>
                              <w:rPr>
                                <w:rFonts w:ascii="宋体"/>
                                <w:sz w:val="29"/>
                              </w:rPr>
                            </w:pPr>
                          </w:p>
                          <w:p>
                            <w:pPr>
                              <w:pStyle w:val="24"/>
                              <w:ind w:left="60"/>
                              <w:rPr>
                                <w:rFonts w:ascii="宋体" w:hAnsi="宋体" w:eastAsia="宋体"/>
                                <w:sz w:val="21"/>
                              </w:rPr>
                            </w:pPr>
                            <w:r>
                              <w:rPr>
                                <w:rFonts w:hint="eastAsia" w:ascii="宋体" w:hAnsi="宋体" w:eastAsia="宋体"/>
                                <w:sz w:val="21"/>
                              </w:rPr>
                              <w:t>□符合</w:t>
                            </w:r>
                          </w:p>
                          <w:p>
                            <w:pPr>
                              <w:pStyle w:val="24"/>
                              <w:spacing w:before="26" w:line="156" w:lineRule="auto"/>
                              <w:ind w:left="-158"/>
                              <w:rPr>
                                <w:rFonts w:ascii="宋体" w:hAnsi="宋体" w:eastAsia="宋体"/>
                                <w:sz w:val="21"/>
                              </w:rPr>
                            </w:pPr>
                            <w:r>
                              <w:rPr>
                                <w:rFonts w:hint="eastAsia" w:ascii="宋体" w:hAnsi="宋体" w:eastAsia="宋体"/>
                                <w:position w:val="-13"/>
                                <w:sz w:val="21"/>
                              </w:rPr>
                              <w:t>，</w:t>
                            </w:r>
                            <w:r>
                              <w:rPr>
                                <w:rFonts w:hint="eastAsia" w:ascii="宋体" w:hAnsi="宋体" w:eastAsia="宋体"/>
                                <w:sz w:val="21"/>
                              </w:rPr>
                              <w:sym w:font="Wingdings 2" w:char="0052"/>
                            </w:r>
                            <w:r>
                              <w:rPr>
                                <w:rFonts w:hint="eastAsia" w:ascii="宋体" w:hAnsi="宋体" w:eastAsia="宋体"/>
                                <w:sz w:val="21"/>
                              </w:rPr>
                              <w:t>部分符合</w:t>
                            </w:r>
                          </w:p>
                          <w:p>
                            <w:pPr>
                              <w:pStyle w:val="24"/>
                              <w:spacing w:line="201" w:lineRule="exact"/>
                              <w:ind w:left="60"/>
                              <w:rPr>
                                <w:rFonts w:ascii="宋体" w:hAnsi="宋体" w:eastAsia="宋体"/>
                                <w:sz w:val="21"/>
                              </w:rPr>
                            </w:pPr>
                            <w:r>
                              <w:rPr>
                                <w:rFonts w:hint="eastAsia" w:ascii="宋体" w:hAnsi="宋体" w:eastAsia="宋体"/>
                                <w:sz w:val="21"/>
                              </w:rPr>
                              <w:t>□不符合</w:t>
                            </w:r>
                          </w:p>
                        </w:tc>
                        <w:tc>
                          <w:tcPr>
                            <w:tcW w:w="607"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nil"/>
                            </w:tcBorders>
                          </w:tcPr>
                          <w:p>
                            <w:pPr>
                              <w:pStyle w:val="24"/>
                              <w:spacing w:line="246" w:lineRule="exact"/>
                              <w:ind w:left="62"/>
                              <w:rPr>
                                <w:rFonts w:ascii="宋体" w:eastAsia="宋体"/>
                                <w:sz w:val="21"/>
                              </w:rPr>
                            </w:pPr>
                            <w:r>
                              <w:rPr>
                                <w:rFonts w:hint="eastAsia" w:ascii="宋体" w:eastAsia="宋体"/>
                                <w:spacing w:val="-10"/>
                                <w:sz w:val="21"/>
                              </w:rPr>
                              <w:t>本项目的三项指标，主要考察企业在环境应急预案编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1134" w:type="dxa"/>
                            <w:tcBorders>
                              <w:top w:val="nil"/>
                              <w:bottom w:val="nil"/>
                              <w:right w:val="single" w:color="000000" w:sz="4" w:space="0"/>
                            </w:tcBorders>
                          </w:tcPr>
                          <w:p>
                            <w:pPr>
                              <w:pStyle w:val="24"/>
                              <w:rPr>
                                <w:rFonts w:ascii="Times New Roman"/>
                                <w:sz w:val="18"/>
                              </w:rPr>
                            </w:pPr>
                          </w:p>
                        </w:tc>
                        <w:tc>
                          <w:tcPr>
                            <w:tcW w:w="426" w:type="dxa"/>
                            <w:tcBorders>
                              <w:top w:val="nil"/>
                              <w:left w:val="single" w:color="000000" w:sz="4" w:space="0"/>
                              <w:bottom w:val="nil"/>
                              <w:right w:val="single" w:color="000000" w:sz="4" w:space="0"/>
                            </w:tcBorders>
                          </w:tcPr>
                          <w:p>
                            <w:pPr>
                              <w:pStyle w:val="24"/>
                              <w:rPr>
                                <w:rFonts w:ascii="Times New Roman"/>
                                <w:sz w:val="18"/>
                              </w:rPr>
                            </w:pPr>
                          </w:p>
                        </w:tc>
                        <w:tc>
                          <w:tcPr>
                            <w:tcW w:w="4819" w:type="dxa"/>
                            <w:tcBorders>
                              <w:top w:val="nil"/>
                              <w:left w:val="single" w:color="000000" w:sz="4" w:space="0"/>
                              <w:bottom w:val="nil"/>
                              <w:right w:val="single" w:color="000000" w:sz="4" w:space="0"/>
                            </w:tcBorders>
                          </w:tcPr>
                          <w:p>
                            <w:pPr>
                              <w:pStyle w:val="24"/>
                              <w:rPr>
                                <w:rFonts w:ascii="Times New Roman"/>
                                <w:sz w:val="18"/>
                              </w:rPr>
                            </w:pPr>
                          </w:p>
                        </w:tc>
                        <w:tc>
                          <w:tcPr>
                            <w:tcW w:w="1276" w:type="dxa"/>
                            <w:vMerge w:val="continue"/>
                            <w:tcBorders>
                              <w:top w:val="nil"/>
                              <w:left w:val="single" w:color="000000" w:sz="4" w:space="0"/>
                              <w:bottom w:val="single" w:color="000000" w:sz="4" w:space="0"/>
                              <w:right w:val="single" w:color="000000" w:sz="4" w:space="0"/>
                            </w:tcBorders>
                          </w:tcPr>
                          <w:p>
                            <w:pPr>
                              <w:rPr>
                                <w:sz w:val="2"/>
                                <w:szCs w:val="2"/>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42" w:lineRule="exact"/>
                              <w:ind w:left="62"/>
                              <w:rPr>
                                <w:rFonts w:ascii="宋体" w:eastAsia="宋体"/>
                                <w:sz w:val="21"/>
                              </w:rPr>
                            </w:pPr>
                            <w:r>
                              <w:rPr>
                                <w:rFonts w:hint="eastAsia" w:ascii="宋体" w:eastAsia="宋体"/>
                                <w:spacing w:val="-7"/>
                                <w:sz w:val="21"/>
                              </w:rPr>
                              <w:t>制过程中能否清晰把握预案体系。具体衔接方式、内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1134" w:type="dxa"/>
                            <w:tcBorders>
                              <w:top w:val="nil"/>
                              <w:bottom w:val="nil"/>
                              <w:right w:val="single" w:color="000000" w:sz="4" w:space="0"/>
                            </w:tcBorders>
                          </w:tcPr>
                          <w:p>
                            <w:pPr>
                              <w:pStyle w:val="24"/>
                              <w:rPr>
                                <w:rFonts w:ascii="Times New Roman"/>
                                <w:sz w:val="18"/>
                              </w:rPr>
                            </w:pPr>
                          </w:p>
                        </w:tc>
                        <w:tc>
                          <w:tcPr>
                            <w:tcW w:w="426" w:type="dxa"/>
                            <w:tcBorders>
                              <w:top w:val="nil"/>
                              <w:left w:val="single" w:color="000000" w:sz="4" w:space="0"/>
                              <w:bottom w:val="nil"/>
                              <w:right w:val="single" w:color="000000" w:sz="4" w:space="0"/>
                            </w:tcBorders>
                          </w:tcPr>
                          <w:p>
                            <w:pPr>
                              <w:pStyle w:val="24"/>
                              <w:rPr>
                                <w:rFonts w:ascii="Times New Roman"/>
                                <w:sz w:val="18"/>
                              </w:rPr>
                            </w:pPr>
                          </w:p>
                        </w:tc>
                        <w:tc>
                          <w:tcPr>
                            <w:tcW w:w="4819" w:type="dxa"/>
                            <w:tcBorders>
                              <w:top w:val="nil"/>
                              <w:left w:val="single" w:color="000000" w:sz="4" w:space="0"/>
                              <w:bottom w:val="nil"/>
                              <w:right w:val="single" w:color="000000" w:sz="4" w:space="0"/>
                            </w:tcBorders>
                          </w:tcPr>
                          <w:p>
                            <w:pPr>
                              <w:pStyle w:val="24"/>
                              <w:rPr>
                                <w:rFonts w:ascii="Times New Roman"/>
                                <w:sz w:val="18"/>
                              </w:rPr>
                            </w:pPr>
                          </w:p>
                        </w:tc>
                        <w:tc>
                          <w:tcPr>
                            <w:tcW w:w="1276" w:type="dxa"/>
                            <w:vMerge w:val="continue"/>
                            <w:tcBorders>
                              <w:top w:val="nil"/>
                              <w:left w:val="single" w:color="000000" w:sz="4" w:space="0"/>
                              <w:bottom w:val="single" w:color="000000" w:sz="4" w:space="0"/>
                              <w:right w:val="single" w:color="000000" w:sz="4" w:space="0"/>
                            </w:tcBorders>
                          </w:tcPr>
                          <w:p>
                            <w:pPr>
                              <w:rPr>
                                <w:sz w:val="2"/>
                                <w:szCs w:val="2"/>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42" w:lineRule="exact"/>
                              <w:ind w:left="62"/>
                              <w:rPr>
                                <w:rFonts w:ascii="宋体" w:eastAsia="宋体"/>
                                <w:sz w:val="21"/>
                              </w:rPr>
                            </w:pPr>
                            <w:r>
                              <w:rPr>
                                <w:rFonts w:hint="eastAsia" w:ascii="宋体" w:eastAsia="宋体"/>
                                <w:sz w:val="21"/>
                              </w:rPr>
                              <w:t>容在应对流程和措施等部分体现。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0" w:hRule="atLeast"/>
                        </w:trPr>
                        <w:tc>
                          <w:tcPr>
                            <w:tcW w:w="1134" w:type="dxa"/>
                            <w:tcBorders>
                              <w:top w:val="nil"/>
                              <w:bottom w:val="nil"/>
                              <w:right w:val="single" w:color="000000" w:sz="4" w:space="0"/>
                            </w:tcBorders>
                          </w:tcPr>
                          <w:p>
                            <w:pPr>
                              <w:pStyle w:val="24"/>
                              <w:rPr>
                                <w:rFonts w:ascii="宋体"/>
                                <w:sz w:val="20"/>
                              </w:rPr>
                            </w:pPr>
                          </w:p>
                          <w:p>
                            <w:pPr>
                              <w:pStyle w:val="24"/>
                              <w:spacing w:before="9"/>
                              <w:rPr>
                                <w:rFonts w:ascii="宋体"/>
                                <w:sz w:val="15"/>
                              </w:rPr>
                            </w:pPr>
                          </w:p>
                          <w:p>
                            <w:pPr>
                              <w:pStyle w:val="24"/>
                              <w:spacing w:line="242" w:lineRule="auto"/>
                              <w:ind w:left="355" w:right="132" w:hanging="209"/>
                              <w:rPr>
                                <w:rFonts w:ascii="宋体" w:eastAsia="宋体"/>
                                <w:sz w:val="21"/>
                              </w:rPr>
                            </w:pPr>
                            <w:r>
                              <w:rPr>
                                <w:rFonts w:hint="eastAsia" w:ascii="宋体" w:eastAsia="宋体"/>
                                <w:sz w:val="21"/>
                              </w:rPr>
                              <w:t>应急预案体系</w:t>
                            </w:r>
                          </w:p>
                        </w:tc>
                        <w:tc>
                          <w:tcPr>
                            <w:tcW w:w="426" w:type="dxa"/>
                            <w:tcBorders>
                              <w:top w:val="nil"/>
                              <w:left w:val="single" w:color="000000" w:sz="4" w:space="0"/>
                              <w:bottom w:val="nil"/>
                              <w:right w:val="single" w:color="000000" w:sz="4" w:space="0"/>
                            </w:tcBorders>
                          </w:tcPr>
                          <w:p>
                            <w:pPr>
                              <w:pStyle w:val="24"/>
                              <w:rPr>
                                <w:rFonts w:ascii="宋体"/>
                              </w:rPr>
                            </w:pPr>
                          </w:p>
                          <w:p>
                            <w:pPr>
                              <w:pStyle w:val="24"/>
                              <w:spacing w:before="9"/>
                              <w:rPr>
                                <w:rFonts w:ascii="宋体"/>
                                <w:sz w:val="24"/>
                              </w:rPr>
                            </w:pPr>
                          </w:p>
                          <w:p>
                            <w:pPr>
                              <w:pStyle w:val="24"/>
                              <w:ind w:left="92" w:right="73"/>
                              <w:jc w:val="center"/>
                              <w:rPr>
                                <w:rFonts w:ascii="宋体"/>
                                <w:sz w:val="10"/>
                              </w:rPr>
                            </w:pPr>
                            <w:r>
                              <w:rPr>
                                <w:rFonts w:ascii="宋体"/>
                                <w:spacing w:val="1"/>
                                <w:w w:val="99"/>
                                <w:position w:val="-10"/>
                                <w:sz w:val="21"/>
                              </w:rPr>
                              <w:t>9</w:t>
                            </w:r>
                            <w:r>
                              <w:rPr>
                                <w:rFonts w:ascii="宋体"/>
                                <w:w w:val="106"/>
                                <w:sz w:val="10"/>
                              </w:rPr>
                              <w:t>b</w:t>
                            </w:r>
                          </w:p>
                        </w:tc>
                        <w:tc>
                          <w:tcPr>
                            <w:tcW w:w="4819" w:type="dxa"/>
                            <w:tcBorders>
                              <w:top w:val="nil"/>
                              <w:left w:val="single" w:color="000000" w:sz="4" w:space="0"/>
                              <w:bottom w:val="nil"/>
                              <w:right w:val="single" w:color="000000" w:sz="4" w:space="0"/>
                            </w:tcBorders>
                          </w:tcPr>
                          <w:p>
                            <w:pPr>
                              <w:pStyle w:val="24"/>
                              <w:spacing w:before="4"/>
                              <w:rPr>
                                <w:rFonts w:ascii="宋体"/>
                                <w:sz w:val="14"/>
                              </w:rPr>
                            </w:pPr>
                          </w:p>
                          <w:p>
                            <w:pPr>
                              <w:pStyle w:val="24"/>
                              <w:spacing w:line="242" w:lineRule="auto"/>
                              <w:ind w:left="60" w:right="126"/>
                              <w:jc w:val="both"/>
                              <w:rPr>
                                <w:rFonts w:ascii="宋体" w:eastAsia="宋体"/>
                                <w:sz w:val="21"/>
                              </w:rPr>
                            </w:pPr>
                            <w:r>
                              <w:rPr>
                                <w:rFonts w:hint="eastAsia" w:ascii="宋体" w:eastAsia="宋体"/>
                                <w:w w:val="95"/>
                                <w:sz w:val="21"/>
                              </w:rPr>
                              <w:t xml:space="preserve">以预案关系图的形式，说明本预案的组成及其组成 之间的关系、与生产安全事故预案等其他预案的衔 </w:t>
                            </w:r>
                            <w:r>
                              <w:rPr>
                                <w:rFonts w:hint="eastAsia" w:ascii="宋体" w:eastAsia="宋体"/>
                                <w:spacing w:val="-4"/>
                                <w:sz w:val="21"/>
                              </w:rPr>
                              <w:t>接关系、与地方人民政府环境应急预案的衔接关系辅以必要的重点内容说明</w:t>
                            </w:r>
                          </w:p>
                        </w:tc>
                        <w:tc>
                          <w:tcPr>
                            <w:tcW w:w="1276" w:type="dxa"/>
                            <w:vMerge w:val="continue"/>
                            <w:tcBorders>
                              <w:top w:val="nil"/>
                              <w:left w:val="single" w:color="000000" w:sz="4" w:space="0"/>
                              <w:bottom w:val="single" w:color="000000" w:sz="4" w:space="0"/>
                              <w:right w:val="single" w:color="000000" w:sz="4" w:space="0"/>
                            </w:tcBorders>
                          </w:tcPr>
                          <w:p>
                            <w:pPr>
                              <w:rPr>
                                <w:sz w:val="2"/>
                                <w:szCs w:val="2"/>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42" w:lineRule="auto"/>
                              <w:ind w:left="62" w:right="35"/>
                              <w:jc w:val="both"/>
                              <w:rPr>
                                <w:rFonts w:ascii="宋体" w:eastAsia="宋体"/>
                                <w:sz w:val="21"/>
                              </w:rPr>
                            </w:pPr>
                            <w:r>
                              <w:rPr>
                                <w:rFonts w:hint="eastAsia" w:ascii="宋体" w:eastAsia="宋体"/>
                                <w:spacing w:val="-6"/>
                                <w:w w:val="95"/>
                                <w:sz w:val="21"/>
                              </w:rPr>
                              <w:t xml:space="preserve">有的企业环境应急预案包括综合预案、专项预案、现 </w:t>
                            </w:r>
                            <w:r>
                              <w:rPr>
                                <w:rFonts w:hint="eastAsia" w:ascii="宋体" w:eastAsia="宋体"/>
                                <w:spacing w:val="3"/>
                                <w:w w:val="95"/>
                                <w:sz w:val="21"/>
                              </w:rPr>
                              <w:t xml:space="preserve">场预案或其他组成，应说明这些组成之间的衔接关 </w:t>
                            </w:r>
                            <w:r>
                              <w:rPr>
                                <w:rFonts w:hint="eastAsia" w:ascii="宋体" w:eastAsia="宋体"/>
                                <w:spacing w:val="-10"/>
                                <w:w w:val="95"/>
                                <w:sz w:val="21"/>
                              </w:rPr>
                              <w:t xml:space="preserve">系，确保各个组成清晰界定、有机衔接。企业环境应 </w:t>
                            </w:r>
                            <w:r>
                              <w:rPr>
                                <w:rFonts w:hint="eastAsia" w:ascii="宋体" w:eastAsia="宋体"/>
                                <w:spacing w:val="-16"/>
                                <w:w w:val="95"/>
                                <w:sz w:val="21"/>
                              </w:rPr>
                              <w:t>急预案一般应以现场处置预案为主，有针对性地提出</w:t>
                            </w:r>
                          </w:p>
                          <w:p>
                            <w:pPr>
                              <w:pStyle w:val="24"/>
                              <w:spacing w:line="247" w:lineRule="exact"/>
                              <w:ind w:left="62"/>
                              <w:rPr>
                                <w:rFonts w:ascii="宋体" w:eastAsia="宋体"/>
                                <w:sz w:val="21"/>
                              </w:rPr>
                            </w:pPr>
                            <w:r>
                              <w:rPr>
                                <w:rFonts w:hint="eastAsia" w:ascii="宋体" w:eastAsia="宋体"/>
                                <w:spacing w:val="-7"/>
                                <w:w w:val="95"/>
                                <w:sz w:val="21"/>
                              </w:rPr>
                              <w:t>各类事件情景下的污染防控措施，明确责任人员、工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1134" w:type="dxa"/>
                            <w:tcBorders>
                              <w:top w:val="nil"/>
                              <w:bottom w:val="nil"/>
                              <w:right w:val="single" w:color="000000" w:sz="4" w:space="0"/>
                            </w:tcBorders>
                          </w:tcPr>
                          <w:p>
                            <w:pPr>
                              <w:pStyle w:val="24"/>
                              <w:rPr>
                                <w:rFonts w:ascii="Times New Roman"/>
                                <w:sz w:val="18"/>
                              </w:rPr>
                            </w:pPr>
                          </w:p>
                        </w:tc>
                        <w:tc>
                          <w:tcPr>
                            <w:tcW w:w="426" w:type="dxa"/>
                            <w:tcBorders>
                              <w:top w:val="nil"/>
                              <w:left w:val="single" w:color="000000" w:sz="4" w:space="0"/>
                              <w:bottom w:val="nil"/>
                              <w:right w:val="single" w:color="000000" w:sz="4" w:space="0"/>
                            </w:tcBorders>
                          </w:tcPr>
                          <w:p>
                            <w:pPr>
                              <w:pStyle w:val="24"/>
                              <w:rPr>
                                <w:rFonts w:ascii="Times New Roman"/>
                                <w:sz w:val="18"/>
                              </w:rPr>
                            </w:pPr>
                          </w:p>
                        </w:tc>
                        <w:tc>
                          <w:tcPr>
                            <w:tcW w:w="4819" w:type="dxa"/>
                            <w:tcBorders>
                              <w:top w:val="nil"/>
                              <w:left w:val="single" w:color="000000" w:sz="4" w:space="0"/>
                              <w:bottom w:val="nil"/>
                              <w:right w:val="single" w:color="000000" w:sz="4" w:space="0"/>
                            </w:tcBorders>
                          </w:tcPr>
                          <w:p>
                            <w:pPr>
                              <w:pStyle w:val="24"/>
                              <w:rPr>
                                <w:rFonts w:ascii="Times New Roman"/>
                                <w:sz w:val="18"/>
                              </w:rPr>
                            </w:pPr>
                          </w:p>
                        </w:tc>
                        <w:tc>
                          <w:tcPr>
                            <w:tcW w:w="1276" w:type="dxa"/>
                            <w:vMerge w:val="continue"/>
                            <w:tcBorders>
                              <w:top w:val="nil"/>
                              <w:left w:val="single" w:color="000000" w:sz="4" w:space="0"/>
                              <w:bottom w:val="single" w:color="000000" w:sz="4" w:space="0"/>
                              <w:right w:val="single" w:color="000000" w:sz="4" w:space="0"/>
                            </w:tcBorders>
                          </w:tcPr>
                          <w:p>
                            <w:pPr>
                              <w:rPr>
                                <w:sz w:val="2"/>
                                <w:szCs w:val="2"/>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42" w:lineRule="exact"/>
                              <w:ind w:left="62"/>
                              <w:rPr>
                                <w:rFonts w:ascii="宋体" w:eastAsia="宋体"/>
                                <w:sz w:val="21"/>
                              </w:rPr>
                            </w:pPr>
                            <w:r>
                              <w:rPr>
                                <w:rFonts w:hint="eastAsia" w:ascii="宋体" w:eastAsia="宋体"/>
                                <w:spacing w:val="-11"/>
                                <w:sz w:val="21"/>
                              </w:rPr>
                              <w:t>作流程、具体措施，落实到应急处置卡上。确需分类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1134" w:type="dxa"/>
                            <w:tcBorders>
                              <w:top w:val="nil"/>
                              <w:bottom w:val="nil"/>
                              <w:right w:val="single" w:color="000000" w:sz="4" w:space="0"/>
                            </w:tcBorders>
                          </w:tcPr>
                          <w:p>
                            <w:pPr>
                              <w:pStyle w:val="24"/>
                              <w:rPr>
                                <w:rFonts w:ascii="Times New Roman"/>
                                <w:sz w:val="18"/>
                              </w:rPr>
                            </w:pPr>
                          </w:p>
                        </w:tc>
                        <w:tc>
                          <w:tcPr>
                            <w:tcW w:w="426" w:type="dxa"/>
                            <w:tcBorders>
                              <w:top w:val="nil"/>
                              <w:left w:val="single" w:color="000000" w:sz="4" w:space="0"/>
                              <w:bottom w:val="nil"/>
                              <w:right w:val="single" w:color="000000" w:sz="4" w:space="0"/>
                            </w:tcBorders>
                          </w:tcPr>
                          <w:p>
                            <w:pPr>
                              <w:pStyle w:val="24"/>
                              <w:rPr>
                                <w:rFonts w:ascii="Times New Roman"/>
                                <w:sz w:val="18"/>
                              </w:rPr>
                            </w:pPr>
                          </w:p>
                        </w:tc>
                        <w:tc>
                          <w:tcPr>
                            <w:tcW w:w="4819" w:type="dxa"/>
                            <w:tcBorders>
                              <w:top w:val="nil"/>
                              <w:left w:val="single" w:color="000000" w:sz="4" w:space="0"/>
                              <w:bottom w:val="nil"/>
                              <w:right w:val="single" w:color="000000" w:sz="4" w:space="0"/>
                            </w:tcBorders>
                          </w:tcPr>
                          <w:p>
                            <w:pPr>
                              <w:pStyle w:val="24"/>
                              <w:rPr>
                                <w:rFonts w:ascii="Times New Roman"/>
                                <w:sz w:val="18"/>
                              </w:rPr>
                            </w:pPr>
                          </w:p>
                        </w:tc>
                        <w:tc>
                          <w:tcPr>
                            <w:tcW w:w="1276" w:type="dxa"/>
                            <w:vMerge w:val="continue"/>
                            <w:tcBorders>
                              <w:top w:val="nil"/>
                              <w:left w:val="single" w:color="000000" w:sz="4" w:space="0"/>
                              <w:bottom w:val="single" w:color="000000" w:sz="4" w:space="0"/>
                              <w:right w:val="single" w:color="000000" w:sz="4" w:space="0"/>
                            </w:tcBorders>
                          </w:tcPr>
                          <w:p>
                            <w:pPr>
                              <w:rPr>
                                <w:sz w:val="2"/>
                                <w:szCs w:val="2"/>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nil"/>
                            </w:tcBorders>
                          </w:tcPr>
                          <w:p>
                            <w:pPr>
                              <w:pStyle w:val="24"/>
                              <w:spacing w:line="242" w:lineRule="exact"/>
                              <w:ind w:left="62"/>
                              <w:rPr>
                                <w:rFonts w:ascii="宋体" w:eastAsia="宋体"/>
                                <w:sz w:val="21"/>
                              </w:rPr>
                            </w:pPr>
                            <w:r>
                              <w:rPr>
                                <w:rFonts w:hint="eastAsia" w:ascii="宋体" w:eastAsia="宋体"/>
                                <w:spacing w:val="-10"/>
                                <w:sz w:val="21"/>
                              </w:rPr>
                              <w:t>编制的，综合预案侧重明确应对原则、组织机构与职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1134" w:type="dxa"/>
                            <w:tcBorders>
                              <w:top w:val="nil"/>
                              <w:bottom w:val="single" w:color="000000" w:sz="4" w:space="0"/>
                              <w:right w:val="single" w:color="000000" w:sz="4" w:space="0"/>
                            </w:tcBorders>
                          </w:tcPr>
                          <w:p>
                            <w:pPr>
                              <w:pStyle w:val="24"/>
                              <w:rPr>
                                <w:rFonts w:ascii="Times New Roman"/>
                                <w:sz w:val="20"/>
                              </w:rPr>
                            </w:pPr>
                          </w:p>
                        </w:tc>
                        <w:tc>
                          <w:tcPr>
                            <w:tcW w:w="426" w:type="dxa"/>
                            <w:tcBorders>
                              <w:top w:val="nil"/>
                              <w:left w:val="single" w:color="000000" w:sz="4" w:space="0"/>
                              <w:bottom w:val="single" w:color="000000" w:sz="4" w:space="0"/>
                              <w:right w:val="single" w:color="000000" w:sz="4" w:space="0"/>
                            </w:tcBorders>
                          </w:tcPr>
                          <w:p>
                            <w:pPr>
                              <w:pStyle w:val="24"/>
                              <w:rPr>
                                <w:rFonts w:ascii="Times New Roman"/>
                                <w:sz w:val="20"/>
                              </w:rPr>
                            </w:pPr>
                          </w:p>
                        </w:tc>
                        <w:tc>
                          <w:tcPr>
                            <w:tcW w:w="4819" w:type="dxa"/>
                            <w:tcBorders>
                              <w:top w:val="nil"/>
                              <w:left w:val="single" w:color="000000" w:sz="4" w:space="0"/>
                              <w:bottom w:val="single" w:color="000000" w:sz="4" w:space="0"/>
                              <w:right w:val="single" w:color="000000" w:sz="4" w:space="0"/>
                            </w:tcBorders>
                          </w:tcPr>
                          <w:p>
                            <w:pPr>
                              <w:pStyle w:val="24"/>
                              <w:rPr>
                                <w:rFonts w:ascii="Times New Roman"/>
                                <w:sz w:val="20"/>
                              </w:rPr>
                            </w:pPr>
                          </w:p>
                        </w:tc>
                        <w:tc>
                          <w:tcPr>
                            <w:tcW w:w="1276" w:type="dxa"/>
                            <w:vMerge w:val="continue"/>
                            <w:tcBorders>
                              <w:top w:val="nil"/>
                              <w:left w:val="single" w:color="000000" w:sz="4" w:space="0"/>
                              <w:bottom w:val="single" w:color="000000" w:sz="4" w:space="0"/>
                              <w:right w:val="single" w:color="000000" w:sz="4" w:space="0"/>
                            </w:tcBorders>
                          </w:tcPr>
                          <w:p>
                            <w:pPr>
                              <w:rPr>
                                <w:sz w:val="2"/>
                                <w:szCs w:val="2"/>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single" w:color="000000" w:sz="4" w:space="0"/>
                            </w:tcBorders>
                          </w:tcPr>
                          <w:p>
                            <w:pPr>
                              <w:pStyle w:val="24"/>
                              <w:spacing w:line="266" w:lineRule="exact"/>
                              <w:ind w:left="62"/>
                              <w:rPr>
                                <w:rFonts w:ascii="宋体" w:eastAsia="宋体"/>
                                <w:sz w:val="21"/>
                              </w:rPr>
                            </w:pPr>
                            <w:r>
                              <w:rPr>
                                <w:rFonts w:hint="eastAsia" w:ascii="宋体" w:eastAsia="宋体"/>
                                <w:spacing w:val="-11"/>
                                <w:sz w:val="21"/>
                              </w:rPr>
                              <w:t>责、基本程序与要求，说明预案体系构成；专项预案</w:t>
                            </w:r>
                          </w:p>
                        </w:tc>
                      </w:tr>
                    </w:tbl>
                    <w:p>
                      <w:pPr>
                        <w:pStyle w:val="10"/>
                      </w:pPr>
                    </w:p>
                  </w:txbxContent>
                </v:textbox>
              </v:shape>
            </w:pict>
          </mc:Fallback>
        </mc:AlternateContent>
      </w:r>
      <w:r>
        <w:rPr>
          <w:rFonts w:hint="eastAsia" w:ascii="宋体" w:eastAsia="宋体"/>
          <w:w w:val="99"/>
          <w:sz w:val="21"/>
        </w:rPr>
        <w:t>，</w:t>
      </w: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spacing w:before="7"/>
        <w:rPr>
          <w:rFonts w:ascii="宋体"/>
          <w:sz w:val="26"/>
        </w:rPr>
      </w:pPr>
    </w:p>
    <w:p>
      <w:pPr>
        <w:ind w:right="150"/>
        <w:jc w:val="right"/>
        <w:rPr>
          <w:rFonts w:ascii="宋体" w:eastAsia="宋体"/>
          <w:sz w:val="21"/>
        </w:rPr>
      </w:pPr>
      <w:r>
        <w:rPr>
          <w:rFonts w:hint="eastAsia" w:ascii="宋体" w:eastAsia="宋体"/>
          <w:w w:val="99"/>
          <w:sz w:val="21"/>
        </w:rPr>
        <w:t>；</w:t>
      </w:r>
    </w:p>
    <w:p>
      <w:pPr>
        <w:jc w:val="right"/>
        <w:rPr>
          <w:rFonts w:ascii="宋体" w:eastAsia="宋体"/>
          <w:sz w:val="21"/>
        </w:rPr>
        <w:sectPr>
          <w:pgSz w:w="16840" w:h="11910" w:orient="landscape"/>
          <w:pgMar w:top="1100" w:right="1340" w:bottom="1180" w:left="1340" w:header="882" w:footer="993" w:gutter="0"/>
          <w:cols w:space="720" w:num="1"/>
        </w:sect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spacing w:before="8"/>
        <w:rPr>
          <w:rFonts w:ascii="宋体"/>
          <w:sz w:val="17"/>
        </w:rPr>
      </w:pPr>
    </w:p>
    <w:p>
      <w:pPr>
        <w:spacing w:before="159"/>
        <w:ind w:right="150"/>
        <w:jc w:val="right"/>
        <w:rPr>
          <w:rFonts w:ascii="宋体" w:eastAsia="宋体"/>
          <w:sz w:val="21"/>
        </w:rPr>
      </w:pPr>
      <w:r>
        <mc:AlternateContent>
          <mc:Choice Requires="wps">
            <w:drawing>
              <wp:anchor distT="0" distB="0" distL="114300" distR="114300" simplePos="0" relativeHeight="251683840" behindDoc="0" locked="0" layoutInCell="1" allowOverlap="1">
                <wp:simplePos x="0" y="0"/>
                <wp:positionH relativeFrom="page">
                  <wp:posOffset>963930</wp:posOffset>
                </wp:positionH>
                <wp:positionV relativeFrom="paragraph">
                  <wp:posOffset>-946785</wp:posOffset>
                </wp:positionV>
                <wp:extent cx="8769350" cy="3181985"/>
                <wp:effectExtent l="0" t="0" r="0" b="0"/>
                <wp:wrapNone/>
                <wp:docPr id="26" name="文本框 30"/>
                <wp:cNvGraphicFramePr/>
                <a:graphic xmlns:a="http://schemas.openxmlformats.org/drawingml/2006/main">
                  <a:graphicData uri="http://schemas.microsoft.com/office/word/2010/wordprocessingShape">
                    <wps:wsp>
                      <wps:cNvSpPr txBox="1"/>
                      <wps:spPr>
                        <a:xfrm>
                          <a:off x="0" y="0"/>
                          <a:ext cx="8769350" cy="3181985"/>
                        </a:xfrm>
                        <a:prstGeom prst="rect">
                          <a:avLst/>
                        </a:prstGeom>
                        <a:noFill/>
                        <a:ln>
                          <a:noFill/>
                        </a:ln>
                      </wps:spPr>
                      <wps:txbx>
                        <w:txbxContent>
                          <w:tbl>
                            <w:tblPr>
                              <w:tblStyle w:val="1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34"/>
                              <w:gridCol w:w="426"/>
                              <w:gridCol w:w="4819"/>
                              <w:gridCol w:w="1276"/>
                              <w:gridCol w:w="607"/>
                              <w:gridCol w:w="669"/>
                              <w:gridCol w:w="48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5" w:hRule="atLeast"/>
                              </w:trPr>
                              <w:tc>
                                <w:tcPr>
                                  <w:tcW w:w="1134" w:type="dxa"/>
                                  <w:vMerge w:val="restart"/>
                                  <w:tcBorders>
                                    <w:bottom w:val="single" w:color="000000" w:sz="4" w:space="0"/>
                                    <w:right w:val="single" w:color="000000" w:sz="4" w:space="0"/>
                                  </w:tcBorders>
                                </w:tcPr>
                                <w:p>
                                  <w:pPr>
                                    <w:pStyle w:val="24"/>
                                    <w:rPr>
                                      <w:rFonts w:ascii="Times New Roman"/>
                                      <w:sz w:val="20"/>
                                    </w:rPr>
                                  </w:pPr>
                                </w:p>
                              </w:tc>
                              <w:tc>
                                <w:tcPr>
                                  <w:tcW w:w="426" w:type="dxa"/>
                                  <w:tcBorders>
                                    <w:left w:val="single" w:color="000000" w:sz="4" w:space="0"/>
                                    <w:bottom w:val="nil"/>
                                    <w:right w:val="single" w:color="000000" w:sz="4" w:space="0"/>
                                  </w:tcBorders>
                                </w:tcPr>
                                <w:p>
                                  <w:pPr>
                                    <w:pStyle w:val="24"/>
                                    <w:rPr>
                                      <w:rFonts w:ascii="Times New Roman"/>
                                      <w:sz w:val="20"/>
                                    </w:rPr>
                                  </w:pPr>
                                </w:p>
                              </w:tc>
                              <w:tc>
                                <w:tcPr>
                                  <w:tcW w:w="4819" w:type="dxa"/>
                                  <w:tcBorders>
                                    <w:left w:val="single" w:color="000000" w:sz="4" w:space="0"/>
                                    <w:bottom w:val="nil"/>
                                    <w:right w:val="single" w:color="000000" w:sz="4" w:space="0"/>
                                  </w:tcBorders>
                                </w:tcPr>
                                <w:p>
                                  <w:pPr>
                                    <w:pStyle w:val="24"/>
                                    <w:spacing w:before="40" w:line="245" w:lineRule="exact"/>
                                    <w:ind w:left="60"/>
                                    <w:rPr>
                                      <w:rFonts w:ascii="宋体" w:eastAsia="宋体"/>
                                      <w:sz w:val="21"/>
                                    </w:rPr>
                                  </w:pPr>
                                  <w:r>
                                    <w:rPr>
                                      <w:rFonts w:hint="eastAsia" w:ascii="宋体" w:eastAsia="宋体"/>
                                      <w:sz w:val="21"/>
                                    </w:rPr>
                                    <w:t>预案体系构成合理，以现场处置预案为主，确有必</w:t>
                                  </w:r>
                                </w:p>
                              </w:tc>
                              <w:tc>
                                <w:tcPr>
                                  <w:tcW w:w="1276" w:type="dxa"/>
                                  <w:tcBorders>
                                    <w:left w:val="single" w:color="000000" w:sz="4" w:space="0"/>
                                    <w:bottom w:val="nil"/>
                                    <w:right w:val="single" w:color="000000" w:sz="4" w:space="0"/>
                                  </w:tcBorders>
                                </w:tcPr>
                                <w:p>
                                  <w:pPr>
                                    <w:pStyle w:val="24"/>
                                    <w:spacing w:before="40" w:line="245" w:lineRule="exact"/>
                                    <w:ind w:left="60"/>
                                    <w:rPr>
                                      <w:rFonts w:ascii="宋体" w:hAnsi="宋体" w:eastAsia="宋体"/>
                                      <w:sz w:val="21"/>
                                    </w:rPr>
                                  </w:pPr>
                                  <w:r>
                                    <w:rPr>
                                      <w:rFonts w:hint="eastAsia" w:ascii="宋体" w:hAnsi="宋体" w:eastAsia="宋体"/>
                                      <w:sz w:val="21"/>
                                    </w:rPr>
                                    <w:t>□符合</w:t>
                                  </w:r>
                                </w:p>
                              </w:tc>
                              <w:tc>
                                <w:tcPr>
                                  <w:tcW w:w="607" w:type="dxa"/>
                                  <w:vMerge w:val="restart"/>
                                  <w:tcBorders>
                                    <w:left w:val="single" w:color="000000" w:sz="4" w:space="0"/>
                                    <w:bottom w:val="single" w:color="000000" w:sz="4" w:space="0"/>
                                    <w:right w:val="single" w:color="000000" w:sz="4" w:space="0"/>
                                  </w:tcBorders>
                                </w:tcPr>
                                <w:p>
                                  <w:pPr>
                                    <w:pStyle w:val="24"/>
                                    <w:rPr>
                                      <w:rFonts w:ascii="Times New Roman"/>
                                      <w:sz w:val="20"/>
                                    </w:rPr>
                                  </w:pPr>
                                </w:p>
                              </w:tc>
                              <w:tc>
                                <w:tcPr>
                                  <w:tcW w:w="669" w:type="dxa"/>
                                  <w:vMerge w:val="restart"/>
                                  <w:tcBorders>
                                    <w:left w:val="single" w:color="000000" w:sz="4" w:space="0"/>
                                    <w:bottom w:val="single" w:color="000000" w:sz="4" w:space="0"/>
                                    <w:right w:val="single" w:color="000000" w:sz="4" w:space="0"/>
                                  </w:tcBorders>
                                </w:tcPr>
                                <w:p>
                                  <w:pPr>
                                    <w:pStyle w:val="24"/>
                                    <w:rPr>
                                      <w:rFonts w:ascii="Times New Roman"/>
                                      <w:sz w:val="20"/>
                                    </w:rPr>
                                  </w:pPr>
                                </w:p>
                              </w:tc>
                              <w:tc>
                                <w:tcPr>
                                  <w:tcW w:w="4850" w:type="dxa"/>
                                  <w:vMerge w:val="restart"/>
                                  <w:tcBorders>
                                    <w:left w:val="single" w:color="000000" w:sz="4" w:space="0"/>
                                    <w:bottom w:val="single" w:color="000000" w:sz="4" w:space="0"/>
                                  </w:tcBorders>
                                </w:tcPr>
                                <w:p>
                                  <w:pPr>
                                    <w:pStyle w:val="24"/>
                                    <w:spacing w:line="242" w:lineRule="auto"/>
                                    <w:ind w:left="62" w:right="37"/>
                                    <w:rPr>
                                      <w:rFonts w:ascii="宋体" w:eastAsia="宋体"/>
                                      <w:sz w:val="21"/>
                                    </w:rPr>
                                  </w:pPr>
                                  <w:r>
                                    <w:rPr>
                                      <w:rFonts w:hint="eastAsia" w:ascii="宋体" w:eastAsia="宋体"/>
                                      <w:spacing w:val="-7"/>
                                      <w:w w:val="95"/>
                                      <w:sz w:val="21"/>
                                    </w:rPr>
                                    <w:t xml:space="preserve">侧重针对某一类事件，明确应急程序和处置措施。如 </w:t>
                                  </w:r>
                                  <w:r>
                                    <w:rPr>
                                      <w:rFonts w:hint="eastAsia" w:ascii="宋体" w:eastAsia="宋体"/>
                                      <w:spacing w:val="-7"/>
                                      <w:sz w:val="21"/>
                                    </w:rPr>
                                    <w:t>不涉及以上情况，可以说明预案的主体框架。</w:t>
                                  </w:r>
                                </w:p>
                                <w:p>
                                  <w:pPr>
                                    <w:pStyle w:val="24"/>
                                    <w:spacing w:line="242" w:lineRule="auto"/>
                                    <w:ind w:left="62" w:right="37"/>
                                    <w:jc w:val="both"/>
                                    <w:rPr>
                                      <w:rFonts w:ascii="宋体" w:eastAsia="宋体"/>
                                      <w:sz w:val="21"/>
                                    </w:rPr>
                                  </w:pPr>
                                  <w:r>
                                    <w:rPr>
                                      <w:rFonts w:hint="eastAsia" w:ascii="宋体" w:eastAsia="宋体"/>
                                      <w:spacing w:val="-7"/>
                                      <w:w w:val="95"/>
                                      <w:sz w:val="21"/>
                                    </w:rPr>
                                    <w:t xml:space="preserve">环境应急预案定位于控制并减轻、消除污染，与企业 </w:t>
                                  </w:r>
                                  <w:r>
                                    <w:rPr>
                                      <w:rFonts w:hint="eastAsia" w:ascii="宋体" w:eastAsia="宋体"/>
                                      <w:spacing w:val="-12"/>
                                      <w:w w:val="95"/>
                                      <w:sz w:val="21"/>
                                    </w:rPr>
                                    <w:t xml:space="preserve">内部生产安全事故预案等其他预案清晰界定、相互支 </w:t>
                                  </w:r>
                                  <w:r>
                                    <w:rPr>
                                      <w:rFonts w:hint="eastAsia" w:ascii="宋体" w:eastAsia="宋体"/>
                                      <w:spacing w:val="-12"/>
                                      <w:sz w:val="21"/>
                                    </w:rPr>
                                    <w:t>持。</w:t>
                                  </w:r>
                                </w:p>
                                <w:p>
                                  <w:pPr>
                                    <w:pStyle w:val="24"/>
                                    <w:ind w:left="62"/>
                                    <w:rPr>
                                      <w:rFonts w:ascii="宋体" w:eastAsia="宋体"/>
                                      <w:sz w:val="21"/>
                                    </w:rPr>
                                  </w:pPr>
                                  <w:r>
                                    <w:rPr>
                                      <w:rFonts w:hint="eastAsia" w:ascii="宋体" w:eastAsia="宋体"/>
                                      <w:spacing w:val="-5"/>
                                      <w:sz w:val="21"/>
                                    </w:rPr>
                                    <w:t>企业突发环境事件一般会对外环境造成污染，其预案</w:t>
                                  </w:r>
                                </w:p>
                                <w:p>
                                  <w:pPr>
                                    <w:pStyle w:val="24"/>
                                    <w:spacing w:before="3" w:line="250" w:lineRule="exact"/>
                                    <w:ind w:left="62"/>
                                    <w:rPr>
                                      <w:rFonts w:ascii="宋体" w:eastAsia="宋体"/>
                                      <w:sz w:val="21"/>
                                    </w:rPr>
                                  </w:pPr>
                                  <w:r>
                                    <w:rPr>
                                      <w:rFonts w:hint="eastAsia" w:ascii="宋体" w:eastAsia="宋体"/>
                                      <w:sz w:val="21"/>
                                    </w:rPr>
                                    <w:t>应与所在地政府环境应急预案协调一致、相互配合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nil"/>
                                    <w:left w:val="single" w:color="000000" w:sz="4" w:space="0"/>
                                    <w:bottom w:val="nil"/>
                                    <w:right w:val="single" w:color="000000" w:sz="4" w:space="0"/>
                                  </w:tcBorders>
                                </w:tcPr>
                                <w:p>
                                  <w:pPr>
                                    <w:pStyle w:val="24"/>
                                    <w:spacing w:line="244" w:lineRule="exact"/>
                                    <w:ind w:left="92" w:right="74"/>
                                    <w:jc w:val="center"/>
                                    <w:rPr>
                                      <w:rFonts w:ascii="宋体"/>
                                      <w:sz w:val="21"/>
                                    </w:rPr>
                                  </w:pPr>
                                  <w:r>
                                    <w:rPr>
                                      <w:rFonts w:ascii="宋体"/>
                                      <w:sz w:val="21"/>
                                    </w:rPr>
                                    <w:t>10</w:t>
                                  </w:r>
                                </w:p>
                              </w:tc>
                              <w:tc>
                                <w:tcPr>
                                  <w:tcW w:w="4819" w:type="dxa"/>
                                  <w:tcBorders>
                                    <w:top w:val="nil"/>
                                    <w:left w:val="single" w:color="000000" w:sz="4" w:space="0"/>
                                    <w:bottom w:val="nil"/>
                                    <w:right w:val="single" w:color="000000" w:sz="4" w:space="0"/>
                                  </w:tcBorders>
                                </w:tcPr>
                                <w:p>
                                  <w:pPr>
                                    <w:pStyle w:val="24"/>
                                    <w:spacing w:line="244" w:lineRule="exact"/>
                                    <w:ind w:left="60"/>
                                    <w:rPr>
                                      <w:rFonts w:ascii="宋体" w:eastAsia="宋体"/>
                                      <w:sz w:val="21"/>
                                    </w:rPr>
                                  </w:pPr>
                                  <w:r>
                                    <w:rPr>
                                      <w:rFonts w:hint="eastAsia" w:ascii="宋体" w:eastAsia="宋体"/>
                                      <w:sz w:val="21"/>
                                    </w:rPr>
                                    <w:t>要编制综合预案、专项预案，且定位清晰、有机衔</w:t>
                                  </w:r>
                                </w:p>
                              </w:tc>
                              <w:tc>
                                <w:tcPr>
                                  <w:tcW w:w="1276" w:type="dxa"/>
                                  <w:tcBorders>
                                    <w:top w:val="nil"/>
                                    <w:left w:val="single" w:color="000000" w:sz="4" w:space="0"/>
                                    <w:bottom w:val="nil"/>
                                    <w:right w:val="single" w:color="000000" w:sz="4" w:space="0"/>
                                  </w:tcBorders>
                                </w:tcPr>
                                <w:p>
                                  <w:pPr>
                                    <w:pStyle w:val="24"/>
                                    <w:spacing w:line="244" w:lineRule="exact"/>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nil"/>
                                    <w:left w:val="single" w:color="000000" w:sz="4" w:space="0"/>
                                    <w:bottom w:val="single" w:color="000000" w:sz="4" w:space="0"/>
                                    <w:right w:val="single" w:color="000000" w:sz="4" w:space="0"/>
                                  </w:tcBorders>
                                </w:tcPr>
                                <w:p>
                                  <w:pPr>
                                    <w:pStyle w:val="24"/>
                                    <w:rPr>
                                      <w:rFonts w:ascii="Times New Roman"/>
                                      <w:sz w:val="20"/>
                                    </w:rPr>
                                  </w:pPr>
                                </w:p>
                              </w:tc>
                              <w:tc>
                                <w:tcPr>
                                  <w:tcW w:w="4819" w:type="dxa"/>
                                  <w:tcBorders>
                                    <w:top w:val="nil"/>
                                    <w:left w:val="single" w:color="000000" w:sz="4" w:space="0"/>
                                    <w:bottom w:val="single" w:color="000000" w:sz="4" w:space="0"/>
                                    <w:right w:val="single" w:color="000000" w:sz="4" w:space="0"/>
                                  </w:tcBorders>
                                </w:tcPr>
                                <w:p>
                                  <w:pPr>
                                    <w:pStyle w:val="24"/>
                                    <w:spacing w:line="265" w:lineRule="exact"/>
                                    <w:ind w:left="60"/>
                                    <w:rPr>
                                      <w:rFonts w:ascii="宋体" w:eastAsia="宋体"/>
                                      <w:sz w:val="21"/>
                                    </w:rPr>
                                  </w:pPr>
                                  <w:r>
                                    <w:rPr>
                                      <w:rFonts w:hint="eastAsia" w:ascii="宋体" w:eastAsia="宋体"/>
                                      <w:w w:val="99"/>
                                      <w:sz w:val="21"/>
                                    </w:rPr>
                                    <w:t>接</w:t>
                                  </w:r>
                                </w:p>
                              </w:tc>
                              <w:tc>
                                <w:tcPr>
                                  <w:tcW w:w="1276" w:type="dxa"/>
                                  <w:tcBorders>
                                    <w:top w:val="nil"/>
                                    <w:left w:val="single" w:color="000000" w:sz="4" w:space="0"/>
                                    <w:bottom w:val="single" w:color="000000" w:sz="4" w:space="0"/>
                                    <w:right w:val="single" w:color="000000" w:sz="4" w:space="0"/>
                                  </w:tcBorders>
                                </w:tcPr>
                                <w:p>
                                  <w:pPr>
                                    <w:pStyle w:val="24"/>
                                    <w:spacing w:line="265" w:lineRule="exact"/>
                                    <w:ind w:left="60"/>
                                    <w:rPr>
                                      <w:rFonts w:ascii="宋体" w:hAnsi="宋体" w:eastAsia="宋体"/>
                                      <w:sz w:val="21"/>
                                    </w:rPr>
                                  </w:pPr>
                                  <w:r>
                                    <w:rPr>
                                      <w:rFonts w:hint="eastAsia" w:ascii="宋体" w:hAnsi="宋体" w:eastAsia="宋体"/>
                                      <w:sz w:val="21"/>
                                    </w:rPr>
                                    <w:t>□不符合</w:t>
                                  </w: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2"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nil"/>
                                    <w:right w:val="single" w:color="000000" w:sz="4" w:space="0"/>
                                  </w:tcBorders>
                                </w:tcPr>
                                <w:p>
                                  <w:pPr>
                                    <w:pStyle w:val="24"/>
                                    <w:rPr>
                                      <w:rFonts w:ascii="Times New Roman"/>
                                      <w:sz w:val="20"/>
                                    </w:rPr>
                                  </w:pPr>
                                </w:p>
                              </w:tc>
                              <w:tc>
                                <w:tcPr>
                                  <w:tcW w:w="4819" w:type="dxa"/>
                                  <w:tcBorders>
                                    <w:top w:val="single" w:color="000000" w:sz="4" w:space="0"/>
                                    <w:left w:val="single" w:color="000000" w:sz="4" w:space="0"/>
                                    <w:bottom w:val="nil"/>
                                    <w:right w:val="single" w:color="000000" w:sz="4" w:space="0"/>
                                  </w:tcBorders>
                                </w:tcPr>
                                <w:p>
                                  <w:pPr>
                                    <w:pStyle w:val="24"/>
                                    <w:spacing w:before="85" w:line="247" w:lineRule="exact"/>
                                    <w:ind w:left="60"/>
                                    <w:rPr>
                                      <w:rFonts w:ascii="宋体" w:eastAsia="宋体"/>
                                      <w:sz w:val="21"/>
                                    </w:rPr>
                                  </w:pPr>
                                  <w:r>
                                    <w:rPr>
                                      <w:rFonts w:hint="eastAsia" w:ascii="宋体" w:eastAsia="宋体"/>
                                      <w:sz w:val="21"/>
                                    </w:rPr>
                                    <w:t>预案整体定位清晰，与内部生产安全事故预案等其</w:t>
                                  </w:r>
                                </w:p>
                              </w:tc>
                              <w:tc>
                                <w:tcPr>
                                  <w:tcW w:w="1276" w:type="dxa"/>
                                  <w:tcBorders>
                                    <w:top w:val="single" w:color="000000" w:sz="4" w:space="0"/>
                                    <w:left w:val="single" w:color="000000" w:sz="4" w:space="0"/>
                                    <w:bottom w:val="nil"/>
                                    <w:right w:val="single" w:color="000000" w:sz="4" w:space="0"/>
                                  </w:tcBorders>
                                </w:tcPr>
                                <w:p>
                                  <w:pPr>
                                    <w:pStyle w:val="24"/>
                                    <w:spacing w:before="85" w:line="247" w:lineRule="exact"/>
                                    <w:ind w:left="60"/>
                                    <w:rPr>
                                      <w:rFonts w:ascii="宋体" w:hAnsi="宋体" w:eastAsia="宋体"/>
                                      <w:sz w:val="21"/>
                                    </w:rPr>
                                  </w:pPr>
                                  <w:r>
                                    <w:rPr>
                                      <w:rFonts w:hint="eastAsia" w:ascii="宋体" w:hAnsi="宋体" w:eastAsia="宋体"/>
                                      <w:sz w:val="21"/>
                                    </w:rPr>
                                    <w:t>□符合</w:t>
                                  </w:r>
                                </w:p>
                              </w:tc>
                              <w:tc>
                                <w:tcPr>
                                  <w:tcW w:w="607"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nil"/>
                                    <w:left w:val="single" w:color="000000" w:sz="4" w:space="0"/>
                                    <w:bottom w:val="nil"/>
                                    <w:right w:val="single" w:color="000000" w:sz="4" w:space="0"/>
                                  </w:tcBorders>
                                </w:tcPr>
                                <w:p>
                                  <w:pPr>
                                    <w:pStyle w:val="24"/>
                                    <w:spacing w:line="242" w:lineRule="exact"/>
                                    <w:ind w:left="92" w:right="74"/>
                                    <w:jc w:val="center"/>
                                    <w:rPr>
                                      <w:rFonts w:ascii="宋体"/>
                                      <w:sz w:val="21"/>
                                    </w:rPr>
                                  </w:pPr>
                                  <w:r>
                                    <w:rPr>
                                      <w:rFonts w:ascii="宋体"/>
                                      <w:sz w:val="21"/>
                                    </w:rPr>
                                    <w:t>11</w:t>
                                  </w:r>
                                </w:p>
                              </w:tc>
                              <w:tc>
                                <w:tcPr>
                                  <w:tcW w:w="4819" w:type="dxa"/>
                                  <w:tcBorders>
                                    <w:top w:val="nil"/>
                                    <w:left w:val="single" w:color="000000" w:sz="4" w:space="0"/>
                                    <w:bottom w:val="nil"/>
                                    <w:right w:val="single" w:color="000000" w:sz="4" w:space="0"/>
                                  </w:tcBorders>
                                </w:tcPr>
                                <w:p>
                                  <w:pPr>
                                    <w:pStyle w:val="24"/>
                                    <w:spacing w:line="242" w:lineRule="exact"/>
                                    <w:ind w:left="60"/>
                                    <w:rPr>
                                      <w:rFonts w:ascii="宋体" w:eastAsia="宋体"/>
                                      <w:sz w:val="21"/>
                                    </w:rPr>
                                  </w:pPr>
                                  <w:r>
                                    <w:rPr>
                                      <w:rFonts w:hint="eastAsia" w:ascii="宋体" w:eastAsia="宋体"/>
                                      <w:sz w:val="21"/>
                                    </w:rPr>
                                    <w:t>他预案清晰界定、相互支持，与地方人民政府环境</w:t>
                                  </w:r>
                                </w:p>
                              </w:tc>
                              <w:tc>
                                <w:tcPr>
                                  <w:tcW w:w="1276" w:type="dxa"/>
                                  <w:tcBorders>
                                    <w:top w:val="nil"/>
                                    <w:left w:val="single" w:color="000000" w:sz="4" w:space="0"/>
                                    <w:bottom w:val="nil"/>
                                    <w:right w:val="single" w:color="000000" w:sz="4" w:space="0"/>
                                  </w:tcBorders>
                                </w:tcPr>
                                <w:p>
                                  <w:pPr>
                                    <w:pStyle w:val="24"/>
                                    <w:spacing w:line="242" w:lineRule="exact"/>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nil"/>
                                    <w:left w:val="single" w:color="000000" w:sz="4" w:space="0"/>
                                    <w:bottom w:val="single" w:color="000000" w:sz="4" w:space="0"/>
                                    <w:right w:val="single" w:color="000000" w:sz="4" w:space="0"/>
                                  </w:tcBorders>
                                </w:tcPr>
                                <w:p>
                                  <w:pPr>
                                    <w:pStyle w:val="24"/>
                                    <w:rPr>
                                      <w:rFonts w:ascii="Times New Roman"/>
                                      <w:sz w:val="20"/>
                                    </w:rPr>
                                  </w:pPr>
                                </w:p>
                              </w:tc>
                              <w:tc>
                                <w:tcPr>
                                  <w:tcW w:w="4819" w:type="dxa"/>
                                  <w:tcBorders>
                                    <w:top w:val="nil"/>
                                    <w:left w:val="single" w:color="000000" w:sz="4" w:space="0"/>
                                    <w:bottom w:val="single" w:color="000000" w:sz="4" w:space="0"/>
                                    <w:right w:val="single" w:color="000000" w:sz="4" w:space="0"/>
                                  </w:tcBorders>
                                </w:tcPr>
                                <w:p>
                                  <w:pPr>
                                    <w:pStyle w:val="24"/>
                                    <w:spacing w:line="265" w:lineRule="exact"/>
                                    <w:ind w:left="60"/>
                                    <w:rPr>
                                      <w:rFonts w:ascii="宋体" w:eastAsia="宋体"/>
                                      <w:sz w:val="21"/>
                                    </w:rPr>
                                  </w:pPr>
                                  <w:r>
                                    <w:rPr>
                                      <w:rFonts w:hint="eastAsia" w:ascii="宋体" w:eastAsia="宋体"/>
                                      <w:sz w:val="21"/>
                                    </w:rPr>
                                    <w:t>应急预案有机衔接</w:t>
                                  </w:r>
                                </w:p>
                              </w:tc>
                              <w:tc>
                                <w:tcPr>
                                  <w:tcW w:w="1276" w:type="dxa"/>
                                  <w:tcBorders>
                                    <w:top w:val="nil"/>
                                    <w:left w:val="single" w:color="000000" w:sz="4" w:space="0"/>
                                    <w:bottom w:val="single" w:color="000000" w:sz="4" w:space="0"/>
                                    <w:right w:val="single" w:color="000000" w:sz="4" w:space="0"/>
                                  </w:tcBorders>
                                </w:tcPr>
                                <w:p>
                                  <w:pPr>
                                    <w:pStyle w:val="24"/>
                                    <w:spacing w:line="265" w:lineRule="exact"/>
                                    <w:ind w:left="60"/>
                                    <w:rPr>
                                      <w:rFonts w:ascii="宋体" w:hAnsi="宋体" w:eastAsia="宋体"/>
                                      <w:sz w:val="21"/>
                                    </w:rPr>
                                  </w:pPr>
                                  <w:r>
                                    <w:rPr>
                                      <w:rFonts w:hint="eastAsia" w:ascii="宋体" w:hAnsi="宋体" w:eastAsia="宋体"/>
                                      <w:sz w:val="21"/>
                                    </w:rPr>
                                    <w:t>□不符合</w:t>
                                  </w: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2" w:hRule="atLeast"/>
                              </w:trPr>
                              <w:tc>
                                <w:tcPr>
                                  <w:tcW w:w="1134" w:type="dxa"/>
                                  <w:tcBorders>
                                    <w:top w:val="single" w:color="000000" w:sz="4" w:space="0"/>
                                    <w:bottom w:val="nil"/>
                                    <w:right w:val="single" w:color="000000" w:sz="4" w:space="0"/>
                                  </w:tcBorders>
                                </w:tcPr>
                                <w:p>
                                  <w:pPr>
                                    <w:pStyle w:val="24"/>
                                    <w:rPr>
                                      <w:rFonts w:ascii="Times New Roman"/>
                                      <w:sz w:val="20"/>
                                    </w:rPr>
                                  </w:pPr>
                                </w:p>
                              </w:tc>
                              <w:tc>
                                <w:tcPr>
                                  <w:tcW w:w="426" w:type="dxa"/>
                                  <w:tcBorders>
                                    <w:top w:val="single" w:color="000000" w:sz="4" w:space="0"/>
                                    <w:left w:val="single" w:color="000000" w:sz="4" w:space="0"/>
                                    <w:bottom w:val="nil"/>
                                    <w:right w:val="single" w:color="000000" w:sz="4" w:space="0"/>
                                  </w:tcBorders>
                                </w:tcPr>
                                <w:p>
                                  <w:pPr>
                                    <w:pStyle w:val="24"/>
                                    <w:rPr>
                                      <w:rFonts w:ascii="Times New Roman"/>
                                      <w:sz w:val="20"/>
                                    </w:rPr>
                                  </w:pPr>
                                </w:p>
                              </w:tc>
                              <w:tc>
                                <w:tcPr>
                                  <w:tcW w:w="4819" w:type="dxa"/>
                                  <w:tcBorders>
                                    <w:top w:val="single" w:color="000000" w:sz="4" w:space="0"/>
                                    <w:left w:val="single" w:color="000000" w:sz="4" w:space="0"/>
                                    <w:bottom w:val="nil"/>
                                    <w:right w:val="single" w:color="000000" w:sz="4" w:space="0"/>
                                  </w:tcBorders>
                                </w:tcPr>
                                <w:p>
                                  <w:pPr>
                                    <w:pStyle w:val="24"/>
                                    <w:spacing w:before="10"/>
                                    <w:rPr>
                                      <w:rFonts w:ascii="宋体"/>
                                      <w:sz w:val="27"/>
                                    </w:rPr>
                                  </w:pPr>
                                </w:p>
                                <w:p>
                                  <w:pPr>
                                    <w:pStyle w:val="24"/>
                                    <w:spacing w:line="247" w:lineRule="exact"/>
                                    <w:ind w:left="60"/>
                                    <w:rPr>
                                      <w:rFonts w:ascii="宋体" w:eastAsia="宋体"/>
                                      <w:sz w:val="21"/>
                                    </w:rPr>
                                  </w:pPr>
                                  <w:r>
                                    <w:rPr>
                                      <w:rFonts w:hint="eastAsia" w:ascii="宋体" w:eastAsia="宋体"/>
                                      <w:sz w:val="21"/>
                                    </w:rPr>
                                    <w:t>以应急组织体系结构图、应急响应流程图的形式，</w:t>
                                  </w:r>
                                </w:p>
                              </w:tc>
                              <w:tc>
                                <w:tcPr>
                                  <w:tcW w:w="1276" w:type="dxa"/>
                                  <w:tcBorders>
                                    <w:top w:val="single" w:color="000000" w:sz="4" w:space="0"/>
                                    <w:left w:val="single" w:color="000000" w:sz="4" w:space="0"/>
                                    <w:bottom w:val="nil"/>
                                    <w:right w:val="single" w:color="000000" w:sz="4" w:space="0"/>
                                  </w:tcBorders>
                                </w:tcPr>
                                <w:p>
                                  <w:pPr>
                                    <w:pStyle w:val="24"/>
                                    <w:spacing w:before="10"/>
                                    <w:rPr>
                                      <w:rFonts w:ascii="宋体"/>
                                      <w:sz w:val="27"/>
                                    </w:rPr>
                                  </w:pPr>
                                </w:p>
                                <w:p>
                                  <w:pPr>
                                    <w:pStyle w:val="24"/>
                                    <w:spacing w:line="247" w:lineRule="exact"/>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tc>
                              <w:tc>
                                <w:tcPr>
                                  <w:tcW w:w="607"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vMerge w:val="restart"/>
                                  <w:tcBorders>
                                    <w:top w:val="single" w:color="000000" w:sz="4" w:space="0"/>
                                    <w:left w:val="single" w:color="000000" w:sz="4" w:space="0"/>
                                    <w:bottom w:val="single" w:color="000000" w:sz="4" w:space="0"/>
                                  </w:tcBorders>
                                </w:tcPr>
                                <w:p>
                                  <w:pPr>
                                    <w:pStyle w:val="24"/>
                                    <w:rPr>
                                      <w:rFonts w:ascii="宋体"/>
                                      <w:sz w:val="20"/>
                                    </w:rPr>
                                  </w:pPr>
                                </w:p>
                                <w:p>
                                  <w:pPr>
                                    <w:pStyle w:val="24"/>
                                    <w:spacing w:before="6"/>
                                    <w:rPr>
                                      <w:rFonts w:ascii="宋体"/>
                                      <w:sz w:val="18"/>
                                    </w:rPr>
                                  </w:pPr>
                                </w:p>
                                <w:p>
                                  <w:pPr>
                                    <w:pStyle w:val="24"/>
                                    <w:spacing w:line="244" w:lineRule="auto"/>
                                    <w:ind w:left="62" w:right="35"/>
                                    <w:rPr>
                                      <w:rFonts w:ascii="宋体" w:eastAsia="宋体"/>
                                      <w:sz w:val="21"/>
                                    </w:rPr>
                                  </w:pPr>
                                  <w:r>
                                    <w:rPr>
                                      <w:rFonts w:hint="eastAsia" w:ascii="宋体" w:eastAsia="宋体"/>
                                      <w:spacing w:val="-9"/>
                                      <w:w w:val="95"/>
                                      <w:sz w:val="21"/>
                                    </w:rPr>
                                    <w:t xml:space="preserve">以图表形式，说明应急组织体系构成、运行机制、联 </w:t>
                                  </w:r>
                                  <w:r>
                                    <w:rPr>
                                      <w:rFonts w:hint="eastAsia" w:ascii="宋体" w:eastAsia="宋体"/>
                                      <w:spacing w:val="-9"/>
                                      <w:sz w:val="21"/>
                                    </w:rPr>
                                    <w:t>系人及联系方式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1134" w:type="dxa"/>
                                  <w:tcBorders>
                                    <w:top w:val="nil"/>
                                    <w:bottom w:val="nil"/>
                                    <w:right w:val="single" w:color="000000" w:sz="4" w:space="0"/>
                                  </w:tcBorders>
                                </w:tcPr>
                                <w:p>
                                  <w:pPr>
                                    <w:pStyle w:val="24"/>
                                    <w:rPr>
                                      <w:rFonts w:ascii="Times New Roman"/>
                                      <w:sz w:val="18"/>
                                    </w:rPr>
                                  </w:pPr>
                                </w:p>
                              </w:tc>
                              <w:tc>
                                <w:tcPr>
                                  <w:tcW w:w="426" w:type="dxa"/>
                                  <w:tcBorders>
                                    <w:top w:val="nil"/>
                                    <w:left w:val="single" w:color="000000" w:sz="4" w:space="0"/>
                                    <w:bottom w:val="nil"/>
                                    <w:right w:val="single" w:color="000000" w:sz="4" w:space="0"/>
                                  </w:tcBorders>
                                </w:tcPr>
                                <w:p>
                                  <w:pPr>
                                    <w:pStyle w:val="24"/>
                                    <w:spacing w:line="242" w:lineRule="exact"/>
                                    <w:ind w:left="92" w:right="74"/>
                                    <w:jc w:val="center"/>
                                    <w:rPr>
                                      <w:rFonts w:ascii="宋体"/>
                                      <w:sz w:val="21"/>
                                    </w:rPr>
                                  </w:pPr>
                                  <w:r>
                                    <w:rPr>
                                      <w:rFonts w:ascii="宋体"/>
                                      <w:sz w:val="21"/>
                                    </w:rPr>
                                    <w:t>12</w:t>
                                  </w:r>
                                </w:p>
                              </w:tc>
                              <w:tc>
                                <w:tcPr>
                                  <w:tcW w:w="4819" w:type="dxa"/>
                                  <w:tcBorders>
                                    <w:top w:val="nil"/>
                                    <w:left w:val="single" w:color="000000" w:sz="4" w:space="0"/>
                                    <w:bottom w:val="nil"/>
                                    <w:right w:val="single" w:color="000000" w:sz="4" w:space="0"/>
                                  </w:tcBorders>
                                </w:tcPr>
                                <w:p>
                                  <w:pPr>
                                    <w:pStyle w:val="24"/>
                                    <w:spacing w:line="242" w:lineRule="exact"/>
                                    <w:ind w:left="60"/>
                                    <w:rPr>
                                      <w:rFonts w:ascii="宋体" w:eastAsia="宋体"/>
                                      <w:sz w:val="21"/>
                                    </w:rPr>
                                  </w:pPr>
                                  <w:r>
                                    <w:rPr>
                                      <w:rFonts w:hint="eastAsia" w:ascii="宋体" w:eastAsia="宋体"/>
                                      <w:sz w:val="21"/>
                                    </w:rPr>
                                    <w:t>说明组织体系构成、应急指挥运行机制，配有应急</w:t>
                                  </w:r>
                                </w:p>
                              </w:tc>
                              <w:tc>
                                <w:tcPr>
                                  <w:tcW w:w="1276" w:type="dxa"/>
                                  <w:tcBorders>
                                    <w:top w:val="nil"/>
                                    <w:left w:val="single" w:color="000000" w:sz="4" w:space="0"/>
                                    <w:bottom w:val="nil"/>
                                    <w:right w:val="single" w:color="000000" w:sz="4" w:space="0"/>
                                  </w:tcBorders>
                                </w:tcPr>
                                <w:p>
                                  <w:pPr>
                                    <w:pStyle w:val="24"/>
                                    <w:spacing w:line="242" w:lineRule="exact"/>
                                    <w:ind w:left="60"/>
                                    <w:rPr>
                                      <w:rFonts w:ascii="宋体" w:hAnsi="宋体" w:eastAsia="宋体"/>
                                      <w:sz w:val="21"/>
                                    </w:rPr>
                                  </w:pPr>
                                  <w:r>
                                    <w:rPr>
                                      <w:rFonts w:hint="eastAsia" w:ascii="宋体" w:hAnsi="宋体" w:eastAsia="宋体"/>
                                      <w:sz w:val="21"/>
                                    </w:rPr>
                                    <w:t>□部分符合</w:t>
                                  </w: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1134" w:type="dxa"/>
                                  <w:tcBorders>
                                    <w:top w:val="nil"/>
                                    <w:bottom w:val="nil"/>
                                    <w:right w:val="single" w:color="000000" w:sz="4" w:space="0"/>
                                  </w:tcBorders>
                                </w:tcPr>
                                <w:p>
                                  <w:pPr>
                                    <w:pStyle w:val="24"/>
                                    <w:rPr>
                                      <w:rFonts w:ascii="Times New Roman"/>
                                      <w:sz w:val="20"/>
                                    </w:rPr>
                                  </w:pPr>
                                </w:p>
                              </w:tc>
                              <w:tc>
                                <w:tcPr>
                                  <w:tcW w:w="426" w:type="dxa"/>
                                  <w:tcBorders>
                                    <w:top w:val="nil"/>
                                    <w:left w:val="single" w:color="000000" w:sz="4" w:space="0"/>
                                    <w:bottom w:val="nil"/>
                                    <w:right w:val="single" w:color="000000" w:sz="4" w:space="0"/>
                                  </w:tcBorders>
                                </w:tcPr>
                                <w:p>
                                  <w:pPr>
                                    <w:pStyle w:val="24"/>
                                    <w:rPr>
                                      <w:rFonts w:ascii="Times New Roman"/>
                                      <w:sz w:val="20"/>
                                    </w:rPr>
                                  </w:pPr>
                                </w:p>
                              </w:tc>
                              <w:tc>
                                <w:tcPr>
                                  <w:tcW w:w="4819" w:type="dxa"/>
                                  <w:tcBorders>
                                    <w:top w:val="nil"/>
                                    <w:left w:val="single" w:color="000000" w:sz="4" w:space="0"/>
                                    <w:bottom w:val="nil"/>
                                    <w:right w:val="single" w:color="000000" w:sz="4" w:space="0"/>
                                  </w:tcBorders>
                                </w:tcPr>
                                <w:p>
                                  <w:pPr>
                                    <w:pStyle w:val="24"/>
                                    <w:spacing w:line="265" w:lineRule="exact"/>
                                    <w:ind w:left="60"/>
                                    <w:rPr>
                                      <w:rFonts w:ascii="宋体" w:eastAsia="宋体"/>
                                      <w:sz w:val="21"/>
                                    </w:rPr>
                                  </w:pPr>
                                  <w:r>
                                    <w:rPr>
                                      <w:rFonts w:hint="eastAsia" w:ascii="宋体" w:eastAsia="宋体"/>
                                      <w:sz w:val="21"/>
                                    </w:rPr>
                                    <w:t>队伍成员名单和联系方式表</w:t>
                                  </w:r>
                                </w:p>
                              </w:tc>
                              <w:tc>
                                <w:tcPr>
                                  <w:tcW w:w="1276" w:type="dxa"/>
                                  <w:tcBorders>
                                    <w:top w:val="nil"/>
                                    <w:left w:val="single" w:color="000000" w:sz="4" w:space="0"/>
                                    <w:bottom w:val="nil"/>
                                    <w:right w:val="single" w:color="000000" w:sz="4" w:space="0"/>
                                  </w:tcBorders>
                                </w:tcPr>
                                <w:p>
                                  <w:pPr>
                                    <w:pStyle w:val="24"/>
                                    <w:spacing w:line="265" w:lineRule="exact"/>
                                    <w:ind w:left="60"/>
                                    <w:rPr>
                                      <w:rFonts w:ascii="宋体" w:hAnsi="宋体" w:eastAsia="宋体"/>
                                      <w:sz w:val="21"/>
                                    </w:rPr>
                                  </w:pPr>
                                  <w:r>
                                    <w:rPr>
                                      <w:rFonts w:hint="eastAsia" w:ascii="宋体" w:hAnsi="宋体" w:eastAsia="宋体"/>
                                      <w:sz w:val="21"/>
                                    </w:rPr>
                                    <w:t>□不符合</w:t>
                                  </w: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8" w:hRule="atLeast"/>
                              </w:trPr>
                              <w:tc>
                                <w:tcPr>
                                  <w:tcW w:w="1134" w:type="dxa"/>
                                  <w:tcBorders>
                                    <w:top w:val="nil"/>
                                    <w:bottom w:val="nil"/>
                                    <w:right w:val="single" w:color="000000" w:sz="4" w:space="0"/>
                                  </w:tcBorders>
                                </w:tcPr>
                                <w:p>
                                  <w:pPr>
                                    <w:pStyle w:val="24"/>
                                    <w:spacing w:before="41" w:line="248" w:lineRule="exact"/>
                                    <w:ind w:left="125" w:right="113"/>
                                    <w:jc w:val="center"/>
                                    <w:rPr>
                                      <w:rFonts w:ascii="宋体" w:eastAsia="宋体"/>
                                      <w:sz w:val="21"/>
                                    </w:rPr>
                                  </w:pPr>
                                  <w:r>
                                    <w:rPr>
                                      <w:rFonts w:hint="eastAsia" w:ascii="宋体" w:eastAsia="宋体"/>
                                      <w:sz w:val="21"/>
                                    </w:rPr>
                                    <w:t>组织指挥</w:t>
                                  </w:r>
                                </w:p>
                              </w:tc>
                              <w:tc>
                                <w:tcPr>
                                  <w:tcW w:w="426" w:type="dxa"/>
                                  <w:tcBorders>
                                    <w:top w:val="nil"/>
                                    <w:left w:val="single" w:color="000000" w:sz="4" w:space="0"/>
                                    <w:bottom w:val="single" w:color="000000" w:sz="4" w:space="0"/>
                                    <w:right w:val="single" w:color="000000" w:sz="4" w:space="0"/>
                                  </w:tcBorders>
                                </w:tcPr>
                                <w:p>
                                  <w:pPr>
                                    <w:pStyle w:val="24"/>
                                    <w:rPr>
                                      <w:rFonts w:ascii="Times New Roman"/>
                                      <w:sz w:val="20"/>
                                    </w:rPr>
                                  </w:pPr>
                                </w:p>
                              </w:tc>
                              <w:tc>
                                <w:tcPr>
                                  <w:tcW w:w="4819" w:type="dxa"/>
                                  <w:tcBorders>
                                    <w:top w:val="nil"/>
                                    <w:left w:val="single" w:color="000000" w:sz="4" w:space="0"/>
                                    <w:bottom w:val="single" w:color="000000" w:sz="4" w:space="0"/>
                                    <w:right w:val="single" w:color="000000" w:sz="4" w:space="0"/>
                                  </w:tcBorders>
                                </w:tcPr>
                                <w:p>
                                  <w:pPr>
                                    <w:pStyle w:val="24"/>
                                    <w:rPr>
                                      <w:rFonts w:ascii="Times New Roman"/>
                                      <w:sz w:val="20"/>
                                    </w:rPr>
                                  </w:pPr>
                                </w:p>
                              </w:tc>
                              <w:tc>
                                <w:tcPr>
                                  <w:tcW w:w="1276" w:type="dxa"/>
                                  <w:tcBorders>
                                    <w:top w:val="nil"/>
                                    <w:left w:val="single" w:color="000000" w:sz="4" w:space="0"/>
                                    <w:bottom w:val="single" w:color="000000" w:sz="4" w:space="0"/>
                                    <w:right w:val="single" w:color="000000" w:sz="4" w:space="0"/>
                                  </w:tcBorders>
                                </w:tcPr>
                                <w:p>
                                  <w:pPr>
                                    <w:pStyle w:val="24"/>
                                    <w:rPr>
                                      <w:rFonts w:ascii="Times New Roman"/>
                                      <w:sz w:val="20"/>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8" w:hRule="atLeast"/>
                              </w:trPr>
                              <w:tc>
                                <w:tcPr>
                                  <w:tcW w:w="1134" w:type="dxa"/>
                                  <w:tcBorders>
                                    <w:top w:val="nil"/>
                                    <w:bottom w:val="nil"/>
                                    <w:right w:val="single" w:color="000000" w:sz="4" w:space="0"/>
                                  </w:tcBorders>
                                </w:tcPr>
                                <w:p>
                                  <w:pPr>
                                    <w:pStyle w:val="24"/>
                                    <w:spacing w:line="219" w:lineRule="exact"/>
                                    <w:ind w:left="122" w:right="113"/>
                                    <w:jc w:val="center"/>
                                    <w:rPr>
                                      <w:rFonts w:ascii="宋体" w:eastAsia="宋体"/>
                                      <w:sz w:val="21"/>
                                    </w:rPr>
                                  </w:pPr>
                                  <w:r>
                                    <w:rPr>
                                      <w:rFonts w:hint="eastAsia" w:ascii="宋体" w:eastAsia="宋体"/>
                                      <w:sz w:val="21"/>
                                    </w:rPr>
                                    <w:t>机制</w:t>
                                  </w:r>
                                </w:p>
                              </w:tc>
                              <w:tc>
                                <w:tcPr>
                                  <w:tcW w:w="426" w:type="dxa"/>
                                  <w:tcBorders>
                                    <w:top w:val="single" w:color="000000" w:sz="4" w:space="0"/>
                                    <w:left w:val="single" w:color="000000" w:sz="4" w:space="0"/>
                                    <w:bottom w:val="nil"/>
                                    <w:right w:val="single" w:color="000000" w:sz="4" w:space="0"/>
                                  </w:tcBorders>
                                </w:tcPr>
                                <w:p>
                                  <w:pPr>
                                    <w:pStyle w:val="24"/>
                                    <w:rPr>
                                      <w:rFonts w:ascii="Times New Roman"/>
                                      <w:sz w:val="16"/>
                                    </w:rPr>
                                  </w:pPr>
                                </w:p>
                              </w:tc>
                              <w:tc>
                                <w:tcPr>
                                  <w:tcW w:w="4819" w:type="dxa"/>
                                  <w:tcBorders>
                                    <w:top w:val="single" w:color="000000" w:sz="4" w:space="0"/>
                                    <w:left w:val="single" w:color="000000" w:sz="4" w:space="0"/>
                                    <w:bottom w:val="nil"/>
                                    <w:right w:val="single" w:color="000000" w:sz="4" w:space="0"/>
                                  </w:tcBorders>
                                </w:tcPr>
                                <w:p>
                                  <w:pPr>
                                    <w:pStyle w:val="24"/>
                                    <w:rPr>
                                      <w:rFonts w:ascii="Times New Roman"/>
                                      <w:sz w:val="16"/>
                                    </w:rPr>
                                  </w:pPr>
                                </w:p>
                              </w:tc>
                              <w:tc>
                                <w:tcPr>
                                  <w:tcW w:w="1276" w:type="dxa"/>
                                  <w:tcBorders>
                                    <w:top w:val="single" w:color="000000" w:sz="4" w:space="0"/>
                                    <w:left w:val="single" w:color="000000" w:sz="4" w:space="0"/>
                                    <w:bottom w:val="nil"/>
                                    <w:right w:val="single" w:color="000000" w:sz="4" w:space="0"/>
                                  </w:tcBorders>
                                </w:tcPr>
                                <w:p>
                                  <w:pPr>
                                    <w:pStyle w:val="24"/>
                                    <w:rPr>
                                      <w:rFonts w:ascii="Times New Roman"/>
                                      <w:sz w:val="16"/>
                                    </w:rPr>
                                  </w:pPr>
                                </w:p>
                              </w:tc>
                              <w:tc>
                                <w:tcPr>
                                  <w:tcW w:w="607"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nil"/>
                                  </w:tcBorders>
                                </w:tcPr>
                                <w:p>
                                  <w:pPr>
                                    <w:pStyle w:val="24"/>
                                    <w:rPr>
                                      <w:rFonts w:ascii="Times New Roman"/>
                                      <w:sz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0" w:hRule="atLeast"/>
                              </w:trPr>
                              <w:tc>
                                <w:tcPr>
                                  <w:tcW w:w="1134" w:type="dxa"/>
                                  <w:tcBorders>
                                    <w:top w:val="nil"/>
                                    <w:bottom w:val="single" w:color="000000" w:sz="4" w:space="0"/>
                                    <w:right w:val="single" w:color="000000" w:sz="4" w:space="0"/>
                                  </w:tcBorders>
                                </w:tcPr>
                                <w:p>
                                  <w:pPr>
                                    <w:pStyle w:val="24"/>
                                    <w:rPr>
                                      <w:rFonts w:ascii="Times New Roman"/>
                                      <w:sz w:val="20"/>
                                    </w:rPr>
                                  </w:pPr>
                                </w:p>
                              </w:tc>
                              <w:tc>
                                <w:tcPr>
                                  <w:tcW w:w="426" w:type="dxa"/>
                                  <w:tcBorders>
                                    <w:top w:val="nil"/>
                                    <w:left w:val="single" w:color="000000" w:sz="4" w:space="0"/>
                                    <w:bottom w:val="single" w:color="000000" w:sz="4" w:space="0"/>
                                    <w:right w:val="single" w:color="000000" w:sz="4" w:space="0"/>
                                  </w:tcBorders>
                                </w:tcPr>
                                <w:p>
                                  <w:pPr>
                                    <w:pStyle w:val="24"/>
                                    <w:spacing w:before="9"/>
                                    <w:rPr>
                                      <w:rFonts w:ascii="宋体"/>
                                      <w:sz w:val="29"/>
                                    </w:rPr>
                                  </w:pPr>
                                </w:p>
                                <w:p>
                                  <w:pPr>
                                    <w:pStyle w:val="24"/>
                                    <w:ind w:left="92" w:right="74"/>
                                    <w:jc w:val="center"/>
                                    <w:rPr>
                                      <w:rFonts w:ascii="宋体"/>
                                      <w:sz w:val="21"/>
                                    </w:rPr>
                                  </w:pPr>
                                  <w:r>
                                    <w:rPr>
                                      <w:rFonts w:ascii="宋体"/>
                                      <w:sz w:val="21"/>
                                    </w:rPr>
                                    <w:t>13</w:t>
                                  </w:r>
                                </w:p>
                              </w:tc>
                              <w:tc>
                                <w:tcPr>
                                  <w:tcW w:w="4819" w:type="dxa"/>
                                  <w:tcBorders>
                                    <w:top w:val="nil"/>
                                    <w:left w:val="single" w:color="000000" w:sz="4" w:space="0"/>
                                    <w:bottom w:val="single" w:color="000000" w:sz="4" w:space="0"/>
                                    <w:right w:val="single" w:color="000000" w:sz="4" w:space="0"/>
                                  </w:tcBorders>
                                </w:tcPr>
                                <w:p>
                                  <w:pPr>
                                    <w:pStyle w:val="24"/>
                                    <w:spacing w:before="107" w:line="242" w:lineRule="auto"/>
                                    <w:ind w:left="60" w:right="128"/>
                                    <w:jc w:val="both"/>
                                    <w:rPr>
                                      <w:rFonts w:ascii="宋体" w:eastAsia="宋体"/>
                                      <w:sz w:val="21"/>
                                    </w:rPr>
                                  </w:pPr>
                                  <w:r>
                                    <w:rPr>
                                      <w:rFonts w:hint="eastAsia" w:ascii="宋体" w:eastAsia="宋体"/>
                                      <w:w w:val="95"/>
                                      <w:sz w:val="21"/>
                                    </w:rPr>
                                    <w:t xml:space="preserve">明确组织体系的构成及其职责。一般包括应急指挥 部及其办事机构、现场处置组、环境应急监测组、 </w:t>
                                  </w:r>
                                  <w:r>
                                    <w:rPr>
                                      <w:rFonts w:hint="eastAsia" w:ascii="宋体" w:eastAsia="宋体"/>
                                      <w:sz w:val="21"/>
                                    </w:rPr>
                                    <w:t>应急保障组以及其他必要的行动组</w:t>
                                  </w:r>
                                </w:p>
                              </w:tc>
                              <w:tc>
                                <w:tcPr>
                                  <w:tcW w:w="1276" w:type="dxa"/>
                                  <w:tcBorders>
                                    <w:top w:val="nil"/>
                                    <w:left w:val="single" w:color="000000" w:sz="4" w:space="0"/>
                                    <w:bottom w:val="single" w:color="000000" w:sz="4" w:space="0"/>
                                    <w:right w:val="single" w:color="000000" w:sz="4" w:space="0"/>
                                  </w:tcBorders>
                                </w:tcPr>
                                <w:p>
                                  <w:pPr>
                                    <w:pStyle w:val="24"/>
                                    <w:spacing w:before="107"/>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5"/>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single" w:color="000000" w:sz="4" w:space="0"/>
                                  </w:tcBorders>
                                </w:tcPr>
                                <w:p>
                                  <w:pPr>
                                    <w:pStyle w:val="24"/>
                                    <w:spacing w:line="242" w:lineRule="exact"/>
                                    <w:ind w:left="62"/>
                                    <w:rPr>
                                      <w:rFonts w:ascii="宋体" w:eastAsia="宋体"/>
                                      <w:sz w:val="21"/>
                                    </w:rPr>
                                  </w:pPr>
                                  <w:r>
                                    <w:rPr>
                                      <w:rFonts w:hint="eastAsia" w:ascii="宋体" w:eastAsia="宋体"/>
                                      <w:spacing w:val="-6"/>
                                      <w:sz w:val="21"/>
                                    </w:rPr>
                                    <w:t>企业根据突发环境事件应急工作特点，建立由负责人</w:t>
                                  </w:r>
                                </w:p>
                                <w:p>
                                  <w:pPr>
                                    <w:pStyle w:val="24"/>
                                    <w:spacing w:before="2" w:line="242" w:lineRule="auto"/>
                                    <w:ind w:left="62" w:right="37"/>
                                    <w:jc w:val="both"/>
                                    <w:rPr>
                                      <w:rFonts w:ascii="宋体" w:eastAsia="宋体"/>
                                      <w:sz w:val="21"/>
                                    </w:rPr>
                                  </w:pPr>
                                  <w:r>
                                    <w:rPr>
                                      <w:rFonts w:hint="eastAsia" w:ascii="宋体" w:eastAsia="宋体"/>
                                      <w:spacing w:val="-10"/>
                                      <w:w w:val="95"/>
                                      <w:sz w:val="21"/>
                                    </w:rPr>
                                    <w:t xml:space="preserve">和成员组成的、工作职责明确的环境应急组织指挥机 </w:t>
                                  </w:r>
                                  <w:r>
                                    <w:rPr>
                                      <w:rFonts w:hint="eastAsia" w:ascii="宋体" w:eastAsia="宋体"/>
                                      <w:spacing w:val="-11"/>
                                      <w:w w:val="95"/>
                                      <w:sz w:val="21"/>
                                    </w:rPr>
                                    <w:t xml:space="preserve">构。注意与企业突发事件应急预案以及生产安全等预 </w:t>
                                  </w:r>
                                  <w:r>
                                    <w:rPr>
                                      <w:rFonts w:hint="eastAsia" w:ascii="宋体" w:eastAsia="宋体"/>
                                      <w:spacing w:val="-11"/>
                                      <w:sz w:val="21"/>
                                    </w:rPr>
                                    <w:t>案中组织指挥体系的衔接</w:t>
                                  </w:r>
                                </w:p>
                              </w:tc>
                            </w:tr>
                          </w:tbl>
                          <w:p>
                            <w:pPr>
                              <w:pStyle w:val="10"/>
                            </w:pPr>
                          </w:p>
                        </w:txbxContent>
                      </wps:txbx>
                      <wps:bodyPr lIns="0" tIns="0" rIns="0" bIns="0" upright="1"/>
                    </wps:wsp>
                  </a:graphicData>
                </a:graphic>
              </wp:anchor>
            </w:drawing>
          </mc:Choice>
          <mc:Fallback>
            <w:pict>
              <v:shape id="文本框 30" o:spid="_x0000_s1026" o:spt="202" type="#_x0000_t202" style="position:absolute;left:0pt;margin-left:75.9pt;margin-top:-74.55pt;height:250.55pt;width:690.5pt;mso-position-horizontal-relative:page;z-index:251683840;mso-width-relative:page;mso-height-relative:page;" filled="f" stroked="f" coordsize="21600,21600" o:gfxdata="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UedT9sAAAANAQAADwAAAAAAAAABACAAAAAiAAAAZHJzL2Rvd25yZXYueG1s&#10;UEsBAhQAFAAAAAgAh07iQDPU6z+8AQAAdQMAAA4AAAAAAAAAAQAgAAAAKgEAAGRycy9lMm9Eb2Mu&#10;eG1sUEsFBgAAAAAGAAYAWQEAAFgFAAAAAA==&#10;">
                <v:fill on="f" focussize="0,0"/>
                <v:stroke on="f"/>
                <v:imagedata o:title=""/>
                <o:lock v:ext="edit" aspectratio="f"/>
                <v:textbox inset="0mm,0mm,0mm,0mm">
                  <w:txbxContent>
                    <w:tbl>
                      <w:tblPr>
                        <w:tblStyle w:val="1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34"/>
                        <w:gridCol w:w="426"/>
                        <w:gridCol w:w="4819"/>
                        <w:gridCol w:w="1276"/>
                        <w:gridCol w:w="607"/>
                        <w:gridCol w:w="669"/>
                        <w:gridCol w:w="48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5" w:hRule="atLeast"/>
                        </w:trPr>
                        <w:tc>
                          <w:tcPr>
                            <w:tcW w:w="1134" w:type="dxa"/>
                            <w:vMerge w:val="restart"/>
                            <w:tcBorders>
                              <w:bottom w:val="single" w:color="000000" w:sz="4" w:space="0"/>
                              <w:right w:val="single" w:color="000000" w:sz="4" w:space="0"/>
                            </w:tcBorders>
                          </w:tcPr>
                          <w:p>
                            <w:pPr>
                              <w:pStyle w:val="24"/>
                              <w:rPr>
                                <w:rFonts w:ascii="Times New Roman"/>
                                <w:sz w:val="20"/>
                              </w:rPr>
                            </w:pPr>
                          </w:p>
                        </w:tc>
                        <w:tc>
                          <w:tcPr>
                            <w:tcW w:w="426" w:type="dxa"/>
                            <w:tcBorders>
                              <w:left w:val="single" w:color="000000" w:sz="4" w:space="0"/>
                              <w:bottom w:val="nil"/>
                              <w:right w:val="single" w:color="000000" w:sz="4" w:space="0"/>
                            </w:tcBorders>
                          </w:tcPr>
                          <w:p>
                            <w:pPr>
                              <w:pStyle w:val="24"/>
                              <w:rPr>
                                <w:rFonts w:ascii="Times New Roman"/>
                                <w:sz w:val="20"/>
                              </w:rPr>
                            </w:pPr>
                          </w:p>
                        </w:tc>
                        <w:tc>
                          <w:tcPr>
                            <w:tcW w:w="4819" w:type="dxa"/>
                            <w:tcBorders>
                              <w:left w:val="single" w:color="000000" w:sz="4" w:space="0"/>
                              <w:bottom w:val="nil"/>
                              <w:right w:val="single" w:color="000000" w:sz="4" w:space="0"/>
                            </w:tcBorders>
                          </w:tcPr>
                          <w:p>
                            <w:pPr>
                              <w:pStyle w:val="24"/>
                              <w:spacing w:before="40" w:line="245" w:lineRule="exact"/>
                              <w:ind w:left="60"/>
                              <w:rPr>
                                <w:rFonts w:ascii="宋体" w:eastAsia="宋体"/>
                                <w:sz w:val="21"/>
                              </w:rPr>
                            </w:pPr>
                            <w:r>
                              <w:rPr>
                                <w:rFonts w:hint="eastAsia" w:ascii="宋体" w:eastAsia="宋体"/>
                                <w:sz w:val="21"/>
                              </w:rPr>
                              <w:t>预案体系构成合理，以现场处置预案为主，确有必</w:t>
                            </w:r>
                          </w:p>
                        </w:tc>
                        <w:tc>
                          <w:tcPr>
                            <w:tcW w:w="1276" w:type="dxa"/>
                            <w:tcBorders>
                              <w:left w:val="single" w:color="000000" w:sz="4" w:space="0"/>
                              <w:bottom w:val="nil"/>
                              <w:right w:val="single" w:color="000000" w:sz="4" w:space="0"/>
                            </w:tcBorders>
                          </w:tcPr>
                          <w:p>
                            <w:pPr>
                              <w:pStyle w:val="24"/>
                              <w:spacing w:before="40" w:line="245" w:lineRule="exact"/>
                              <w:ind w:left="60"/>
                              <w:rPr>
                                <w:rFonts w:ascii="宋体" w:hAnsi="宋体" w:eastAsia="宋体"/>
                                <w:sz w:val="21"/>
                              </w:rPr>
                            </w:pPr>
                            <w:r>
                              <w:rPr>
                                <w:rFonts w:hint="eastAsia" w:ascii="宋体" w:hAnsi="宋体" w:eastAsia="宋体"/>
                                <w:sz w:val="21"/>
                              </w:rPr>
                              <w:t>□符合</w:t>
                            </w:r>
                          </w:p>
                        </w:tc>
                        <w:tc>
                          <w:tcPr>
                            <w:tcW w:w="607" w:type="dxa"/>
                            <w:vMerge w:val="restart"/>
                            <w:tcBorders>
                              <w:left w:val="single" w:color="000000" w:sz="4" w:space="0"/>
                              <w:bottom w:val="single" w:color="000000" w:sz="4" w:space="0"/>
                              <w:right w:val="single" w:color="000000" w:sz="4" w:space="0"/>
                            </w:tcBorders>
                          </w:tcPr>
                          <w:p>
                            <w:pPr>
                              <w:pStyle w:val="24"/>
                              <w:rPr>
                                <w:rFonts w:ascii="Times New Roman"/>
                                <w:sz w:val="20"/>
                              </w:rPr>
                            </w:pPr>
                          </w:p>
                        </w:tc>
                        <w:tc>
                          <w:tcPr>
                            <w:tcW w:w="669" w:type="dxa"/>
                            <w:vMerge w:val="restart"/>
                            <w:tcBorders>
                              <w:left w:val="single" w:color="000000" w:sz="4" w:space="0"/>
                              <w:bottom w:val="single" w:color="000000" w:sz="4" w:space="0"/>
                              <w:right w:val="single" w:color="000000" w:sz="4" w:space="0"/>
                            </w:tcBorders>
                          </w:tcPr>
                          <w:p>
                            <w:pPr>
                              <w:pStyle w:val="24"/>
                              <w:rPr>
                                <w:rFonts w:ascii="Times New Roman"/>
                                <w:sz w:val="20"/>
                              </w:rPr>
                            </w:pPr>
                          </w:p>
                        </w:tc>
                        <w:tc>
                          <w:tcPr>
                            <w:tcW w:w="4850" w:type="dxa"/>
                            <w:vMerge w:val="restart"/>
                            <w:tcBorders>
                              <w:left w:val="single" w:color="000000" w:sz="4" w:space="0"/>
                              <w:bottom w:val="single" w:color="000000" w:sz="4" w:space="0"/>
                            </w:tcBorders>
                          </w:tcPr>
                          <w:p>
                            <w:pPr>
                              <w:pStyle w:val="24"/>
                              <w:spacing w:line="242" w:lineRule="auto"/>
                              <w:ind w:left="62" w:right="37"/>
                              <w:rPr>
                                <w:rFonts w:ascii="宋体" w:eastAsia="宋体"/>
                                <w:sz w:val="21"/>
                              </w:rPr>
                            </w:pPr>
                            <w:r>
                              <w:rPr>
                                <w:rFonts w:hint="eastAsia" w:ascii="宋体" w:eastAsia="宋体"/>
                                <w:spacing w:val="-7"/>
                                <w:w w:val="95"/>
                                <w:sz w:val="21"/>
                              </w:rPr>
                              <w:t xml:space="preserve">侧重针对某一类事件，明确应急程序和处置措施。如 </w:t>
                            </w:r>
                            <w:r>
                              <w:rPr>
                                <w:rFonts w:hint="eastAsia" w:ascii="宋体" w:eastAsia="宋体"/>
                                <w:spacing w:val="-7"/>
                                <w:sz w:val="21"/>
                              </w:rPr>
                              <w:t>不涉及以上情况，可以说明预案的主体框架。</w:t>
                            </w:r>
                          </w:p>
                          <w:p>
                            <w:pPr>
                              <w:pStyle w:val="24"/>
                              <w:spacing w:line="242" w:lineRule="auto"/>
                              <w:ind w:left="62" w:right="37"/>
                              <w:jc w:val="both"/>
                              <w:rPr>
                                <w:rFonts w:ascii="宋体" w:eastAsia="宋体"/>
                                <w:sz w:val="21"/>
                              </w:rPr>
                            </w:pPr>
                            <w:r>
                              <w:rPr>
                                <w:rFonts w:hint="eastAsia" w:ascii="宋体" w:eastAsia="宋体"/>
                                <w:spacing w:val="-7"/>
                                <w:w w:val="95"/>
                                <w:sz w:val="21"/>
                              </w:rPr>
                              <w:t xml:space="preserve">环境应急预案定位于控制并减轻、消除污染，与企业 </w:t>
                            </w:r>
                            <w:r>
                              <w:rPr>
                                <w:rFonts w:hint="eastAsia" w:ascii="宋体" w:eastAsia="宋体"/>
                                <w:spacing w:val="-12"/>
                                <w:w w:val="95"/>
                                <w:sz w:val="21"/>
                              </w:rPr>
                              <w:t xml:space="preserve">内部生产安全事故预案等其他预案清晰界定、相互支 </w:t>
                            </w:r>
                            <w:r>
                              <w:rPr>
                                <w:rFonts w:hint="eastAsia" w:ascii="宋体" w:eastAsia="宋体"/>
                                <w:spacing w:val="-12"/>
                                <w:sz w:val="21"/>
                              </w:rPr>
                              <w:t>持。</w:t>
                            </w:r>
                          </w:p>
                          <w:p>
                            <w:pPr>
                              <w:pStyle w:val="24"/>
                              <w:ind w:left="62"/>
                              <w:rPr>
                                <w:rFonts w:ascii="宋体" w:eastAsia="宋体"/>
                                <w:sz w:val="21"/>
                              </w:rPr>
                            </w:pPr>
                            <w:r>
                              <w:rPr>
                                <w:rFonts w:hint="eastAsia" w:ascii="宋体" w:eastAsia="宋体"/>
                                <w:spacing w:val="-5"/>
                                <w:sz w:val="21"/>
                              </w:rPr>
                              <w:t>企业突发环境事件一般会对外环境造成污染，其预案</w:t>
                            </w:r>
                          </w:p>
                          <w:p>
                            <w:pPr>
                              <w:pStyle w:val="24"/>
                              <w:spacing w:before="3" w:line="250" w:lineRule="exact"/>
                              <w:ind w:left="62"/>
                              <w:rPr>
                                <w:rFonts w:ascii="宋体" w:eastAsia="宋体"/>
                                <w:sz w:val="21"/>
                              </w:rPr>
                            </w:pPr>
                            <w:r>
                              <w:rPr>
                                <w:rFonts w:hint="eastAsia" w:ascii="宋体" w:eastAsia="宋体"/>
                                <w:sz w:val="21"/>
                              </w:rPr>
                              <w:t>应与所在地政府环境应急预案协调一致、相互配合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nil"/>
                              <w:left w:val="single" w:color="000000" w:sz="4" w:space="0"/>
                              <w:bottom w:val="nil"/>
                              <w:right w:val="single" w:color="000000" w:sz="4" w:space="0"/>
                            </w:tcBorders>
                          </w:tcPr>
                          <w:p>
                            <w:pPr>
                              <w:pStyle w:val="24"/>
                              <w:spacing w:line="244" w:lineRule="exact"/>
                              <w:ind w:left="92" w:right="74"/>
                              <w:jc w:val="center"/>
                              <w:rPr>
                                <w:rFonts w:ascii="宋体"/>
                                <w:sz w:val="21"/>
                              </w:rPr>
                            </w:pPr>
                            <w:r>
                              <w:rPr>
                                <w:rFonts w:ascii="宋体"/>
                                <w:sz w:val="21"/>
                              </w:rPr>
                              <w:t>10</w:t>
                            </w:r>
                          </w:p>
                        </w:tc>
                        <w:tc>
                          <w:tcPr>
                            <w:tcW w:w="4819" w:type="dxa"/>
                            <w:tcBorders>
                              <w:top w:val="nil"/>
                              <w:left w:val="single" w:color="000000" w:sz="4" w:space="0"/>
                              <w:bottom w:val="nil"/>
                              <w:right w:val="single" w:color="000000" w:sz="4" w:space="0"/>
                            </w:tcBorders>
                          </w:tcPr>
                          <w:p>
                            <w:pPr>
                              <w:pStyle w:val="24"/>
                              <w:spacing w:line="244" w:lineRule="exact"/>
                              <w:ind w:left="60"/>
                              <w:rPr>
                                <w:rFonts w:ascii="宋体" w:eastAsia="宋体"/>
                                <w:sz w:val="21"/>
                              </w:rPr>
                            </w:pPr>
                            <w:r>
                              <w:rPr>
                                <w:rFonts w:hint="eastAsia" w:ascii="宋体" w:eastAsia="宋体"/>
                                <w:sz w:val="21"/>
                              </w:rPr>
                              <w:t>要编制综合预案、专项预案，且定位清晰、有机衔</w:t>
                            </w:r>
                          </w:p>
                        </w:tc>
                        <w:tc>
                          <w:tcPr>
                            <w:tcW w:w="1276" w:type="dxa"/>
                            <w:tcBorders>
                              <w:top w:val="nil"/>
                              <w:left w:val="single" w:color="000000" w:sz="4" w:space="0"/>
                              <w:bottom w:val="nil"/>
                              <w:right w:val="single" w:color="000000" w:sz="4" w:space="0"/>
                            </w:tcBorders>
                          </w:tcPr>
                          <w:p>
                            <w:pPr>
                              <w:pStyle w:val="24"/>
                              <w:spacing w:line="244" w:lineRule="exact"/>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nil"/>
                              <w:left w:val="single" w:color="000000" w:sz="4" w:space="0"/>
                              <w:bottom w:val="single" w:color="000000" w:sz="4" w:space="0"/>
                              <w:right w:val="single" w:color="000000" w:sz="4" w:space="0"/>
                            </w:tcBorders>
                          </w:tcPr>
                          <w:p>
                            <w:pPr>
                              <w:pStyle w:val="24"/>
                              <w:rPr>
                                <w:rFonts w:ascii="Times New Roman"/>
                                <w:sz w:val="20"/>
                              </w:rPr>
                            </w:pPr>
                          </w:p>
                        </w:tc>
                        <w:tc>
                          <w:tcPr>
                            <w:tcW w:w="4819" w:type="dxa"/>
                            <w:tcBorders>
                              <w:top w:val="nil"/>
                              <w:left w:val="single" w:color="000000" w:sz="4" w:space="0"/>
                              <w:bottom w:val="single" w:color="000000" w:sz="4" w:space="0"/>
                              <w:right w:val="single" w:color="000000" w:sz="4" w:space="0"/>
                            </w:tcBorders>
                          </w:tcPr>
                          <w:p>
                            <w:pPr>
                              <w:pStyle w:val="24"/>
                              <w:spacing w:line="265" w:lineRule="exact"/>
                              <w:ind w:left="60"/>
                              <w:rPr>
                                <w:rFonts w:ascii="宋体" w:eastAsia="宋体"/>
                                <w:sz w:val="21"/>
                              </w:rPr>
                            </w:pPr>
                            <w:r>
                              <w:rPr>
                                <w:rFonts w:hint="eastAsia" w:ascii="宋体" w:eastAsia="宋体"/>
                                <w:w w:val="99"/>
                                <w:sz w:val="21"/>
                              </w:rPr>
                              <w:t>接</w:t>
                            </w:r>
                          </w:p>
                        </w:tc>
                        <w:tc>
                          <w:tcPr>
                            <w:tcW w:w="1276" w:type="dxa"/>
                            <w:tcBorders>
                              <w:top w:val="nil"/>
                              <w:left w:val="single" w:color="000000" w:sz="4" w:space="0"/>
                              <w:bottom w:val="single" w:color="000000" w:sz="4" w:space="0"/>
                              <w:right w:val="single" w:color="000000" w:sz="4" w:space="0"/>
                            </w:tcBorders>
                          </w:tcPr>
                          <w:p>
                            <w:pPr>
                              <w:pStyle w:val="24"/>
                              <w:spacing w:line="265" w:lineRule="exact"/>
                              <w:ind w:left="60"/>
                              <w:rPr>
                                <w:rFonts w:ascii="宋体" w:hAnsi="宋体" w:eastAsia="宋体"/>
                                <w:sz w:val="21"/>
                              </w:rPr>
                            </w:pPr>
                            <w:r>
                              <w:rPr>
                                <w:rFonts w:hint="eastAsia" w:ascii="宋体" w:hAnsi="宋体" w:eastAsia="宋体"/>
                                <w:sz w:val="21"/>
                              </w:rPr>
                              <w:t>□不符合</w:t>
                            </w: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2"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nil"/>
                              <w:right w:val="single" w:color="000000" w:sz="4" w:space="0"/>
                            </w:tcBorders>
                          </w:tcPr>
                          <w:p>
                            <w:pPr>
                              <w:pStyle w:val="24"/>
                              <w:rPr>
                                <w:rFonts w:ascii="Times New Roman"/>
                                <w:sz w:val="20"/>
                              </w:rPr>
                            </w:pPr>
                          </w:p>
                        </w:tc>
                        <w:tc>
                          <w:tcPr>
                            <w:tcW w:w="4819" w:type="dxa"/>
                            <w:tcBorders>
                              <w:top w:val="single" w:color="000000" w:sz="4" w:space="0"/>
                              <w:left w:val="single" w:color="000000" w:sz="4" w:space="0"/>
                              <w:bottom w:val="nil"/>
                              <w:right w:val="single" w:color="000000" w:sz="4" w:space="0"/>
                            </w:tcBorders>
                          </w:tcPr>
                          <w:p>
                            <w:pPr>
                              <w:pStyle w:val="24"/>
                              <w:spacing w:before="85" w:line="247" w:lineRule="exact"/>
                              <w:ind w:left="60"/>
                              <w:rPr>
                                <w:rFonts w:ascii="宋体" w:eastAsia="宋体"/>
                                <w:sz w:val="21"/>
                              </w:rPr>
                            </w:pPr>
                            <w:r>
                              <w:rPr>
                                <w:rFonts w:hint="eastAsia" w:ascii="宋体" w:eastAsia="宋体"/>
                                <w:sz w:val="21"/>
                              </w:rPr>
                              <w:t>预案整体定位清晰，与内部生产安全事故预案等其</w:t>
                            </w:r>
                          </w:p>
                        </w:tc>
                        <w:tc>
                          <w:tcPr>
                            <w:tcW w:w="1276" w:type="dxa"/>
                            <w:tcBorders>
                              <w:top w:val="single" w:color="000000" w:sz="4" w:space="0"/>
                              <w:left w:val="single" w:color="000000" w:sz="4" w:space="0"/>
                              <w:bottom w:val="nil"/>
                              <w:right w:val="single" w:color="000000" w:sz="4" w:space="0"/>
                            </w:tcBorders>
                          </w:tcPr>
                          <w:p>
                            <w:pPr>
                              <w:pStyle w:val="24"/>
                              <w:spacing w:before="85" w:line="247" w:lineRule="exact"/>
                              <w:ind w:left="60"/>
                              <w:rPr>
                                <w:rFonts w:ascii="宋体" w:hAnsi="宋体" w:eastAsia="宋体"/>
                                <w:sz w:val="21"/>
                              </w:rPr>
                            </w:pPr>
                            <w:r>
                              <w:rPr>
                                <w:rFonts w:hint="eastAsia" w:ascii="宋体" w:hAnsi="宋体" w:eastAsia="宋体"/>
                                <w:sz w:val="21"/>
                              </w:rPr>
                              <w:t>□符合</w:t>
                            </w:r>
                          </w:p>
                        </w:tc>
                        <w:tc>
                          <w:tcPr>
                            <w:tcW w:w="607"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nil"/>
                              <w:left w:val="single" w:color="000000" w:sz="4" w:space="0"/>
                              <w:bottom w:val="nil"/>
                              <w:right w:val="single" w:color="000000" w:sz="4" w:space="0"/>
                            </w:tcBorders>
                          </w:tcPr>
                          <w:p>
                            <w:pPr>
                              <w:pStyle w:val="24"/>
                              <w:spacing w:line="242" w:lineRule="exact"/>
                              <w:ind w:left="92" w:right="74"/>
                              <w:jc w:val="center"/>
                              <w:rPr>
                                <w:rFonts w:ascii="宋体"/>
                                <w:sz w:val="21"/>
                              </w:rPr>
                            </w:pPr>
                            <w:r>
                              <w:rPr>
                                <w:rFonts w:ascii="宋体"/>
                                <w:sz w:val="21"/>
                              </w:rPr>
                              <w:t>11</w:t>
                            </w:r>
                          </w:p>
                        </w:tc>
                        <w:tc>
                          <w:tcPr>
                            <w:tcW w:w="4819" w:type="dxa"/>
                            <w:tcBorders>
                              <w:top w:val="nil"/>
                              <w:left w:val="single" w:color="000000" w:sz="4" w:space="0"/>
                              <w:bottom w:val="nil"/>
                              <w:right w:val="single" w:color="000000" w:sz="4" w:space="0"/>
                            </w:tcBorders>
                          </w:tcPr>
                          <w:p>
                            <w:pPr>
                              <w:pStyle w:val="24"/>
                              <w:spacing w:line="242" w:lineRule="exact"/>
                              <w:ind w:left="60"/>
                              <w:rPr>
                                <w:rFonts w:ascii="宋体" w:eastAsia="宋体"/>
                                <w:sz w:val="21"/>
                              </w:rPr>
                            </w:pPr>
                            <w:r>
                              <w:rPr>
                                <w:rFonts w:hint="eastAsia" w:ascii="宋体" w:eastAsia="宋体"/>
                                <w:sz w:val="21"/>
                              </w:rPr>
                              <w:t>他预案清晰界定、相互支持，与地方人民政府环境</w:t>
                            </w:r>
                          </w:p>
                        </w:tc>
                        <w:tc>
                          <w:tcPr>
                            <w:tcW w:w="1276" w:type="dxa"/>
                            <w:tcBorders>
                              <w:top w:val="nil"/>
                              <w:left w:val="single" w:color="000000" w:sz="4" w:space="0"/>
                              <w:bottom w:val="nil"/>
                              <w:right w:val="single" w:color="000000" w:sz="4" w:space="0"/>
                            </w:tcBorders>
                          </w:tcPr>
                          <w:p>
                            <w:pPr>
                              <w:pStyle w:val="24"/>
                              <w:spacing w:line="242" w:lineRule="exact"/>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nil"/>
                              <w:left w:val="single" w:color="000000" w:sz="4" w:space="0"/>
                              <w:bottom w:val="single" w:color="000000" w:sz="4" w:space="0"/>
                              <w:right w:val="single" w:color="000000" w:sz="4" w:space="0"/>
                            </w:tcBorders>
                          </w:tcPr>
                          <w:p>
                            <w:pPr>
                              <w:pStyle w:val="24"/>
                              <w:rPr>
                                <w:rFonts w:ascii="Times New Roman"/>
                                <w:sz w:val="20"/>
                              </w:rPr>
                            </w:pPr>
                          </w:p>
                        </w:tc>
                        <w:tc>
                          <w:tcPr>
                            <w:tcW w:w="4819" w:type="dxa"/>
                            <w:tcBorders>
                              <w:top w:val="nil"/>
                              <w:left w:val="single" w:color="000000" w:sz="4" w:space="0"/>
                              <w:bottom w:val="single" w:color="000000" w:sz="4" w:space="0"/>
                              <w:right w:val="single" w:color="000000" w:sz="4" w:space="0"/>
                            </w:tcBorders>
                          </w:tcPr>
                          <w:p>
                            <w:pPr>
                              <w:pStyle w:val="24"/>
                              <w:spacing w:line="265" w:lineRule="exact"/>
                              <w:ind w:left="60"/>
                              <w:rPr>
                                <w:rFonts w:ascii="宋体" w:eastAsia="宋体"/>
                                <w:sz w:val="21"/>
                              </w:rPr>
                            </w:pPr>
                            <w:r>
                              <w:rPr>
                                <w:rFonts w:hint="eastAsia" w:ascii="宋体" w:eastAsia="宋体"/>
                                <w:sz w:val="21"/>
                              </w:rPr>
                              <w:t>应急预案有机衔接</w:t>
                            </w:r>
                          </w:p>
                        </w:tc>
                        <w:tc>
                          <w:tcPr>
                            <w:tcW w:w="1276" w:type="dxa"/>
                            <w:tcBorders>
                              <w:top w:val="nil"/>
                              <w:left w:val="single" w:color="000000" w:sz="4" w:space="0"/>
                              <w:bottom w:val="single" w:color="000000" w:sz="4" w:space="0"/>
                              <w:right w:val="single" w:color="000000" w:sz="4" w:space="0"/>
                            </w:tcBorders>
                          </w:tcPr>
                          <w:p>
                            <w:pPr>
                              <w:pStyle w:val="24"/>
                              <w:spacing w:line="265" w:lineRule="exact"/>
                              <w:ind w:left="60"/>
                              <w:rPr>
                                <w:rFonts w:ascii="宋体" w:hAnsi="宋体" w:eastAsia="宋体"/>
                                <w:sz w:val="21"/>
                              </w:rPr>
                            </w:pPr>
                            <w:r>
                              <w:rPr>
                                <w:rFonts w:hint="eastAsia" w:ascii="宋体" w:hAnsi="宋体" w:eastAsia="宋体"/>
                                <w:sz w:val="21"/>
                              </w:rPr>
                              <w:t>□不符合</w:t>
                            </w: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2" w:hRule="atLeast"/>
                        </w:trPr>
                        <w:tc>
                          <w:tcPr>
                            <w:tcW w:w="1134" w:type="dxa"/>
                            <w:tcBorders>
                              <w:top w:val="single" w:color="000000" w:sz="4" w:space="0"/>
                              <w:bottom w:val="nil"/>
                              <w:right w:val="single" w:color="000000" w:sz="4" w:space="0"/>
                            </w:tcBorders>
                          </w:tcPr>
                          <w:p>
                            <w:pPr>
                              <w:pStyle w:val="24"/>
                              <w:rPr>
                                <w:rFonts w:ascii="Times New Roman"/>
                                <w:sz w:val="20"/>
                              </w:rPr>
                            </w:pPr>
                          </w:p>
                        </w:tc>
                        <w:tc>
                          <w:tcPr>
                            <w:tcW w:w="426" w:type="dxa"/>
                            <w:tcBorders>
                              <w:top w:val="single" w:color="000000" w:sz="4" w:space="0"/>
                              <w:left w:val="single" w:color="000000" w:sz="4" w:space="0"/>
                              <w:bottom w:val="nil"/>
                              <w:right w:val="single" w:color="000000" w:sz="4" w:space="0"/>
                            </w:tcBorders>
                          </w:tcPr>
                          <w:p>
                            <w:pPr>
                              <w:pStyle w:val="24"/>
                              <w:rPr>
                                <w:rFonts w:ascii="Times New Roman"/>
                                <w:sz w:val="20"/>
                              </w:rPr>
                            </w:pPr>
                          </w:p>
                        </w:tc>
                        <w:tc>
                          <w:tcPr>
                            <w:tcW w:w="4819" w:type="dxa"/>
                            <w:tcBorders>
                              <w:top w:val="single" w:color="000000" w:sz="4" w:space="0"/>
                              <w:left w:val="single" w:color="000000" w:sz="4" w:space="0"/>
                              <w:bottom w:val="nil"/>
                              <w:right w:val="single" w:color="000000" w:sz="4" w:space="0"/>
                            </w:tcBorders>
                          </w:tcPr>
                          <w:p>
                            <w:pPr>
                              <w:pStyle w:val="24"/>
                              <w:spacing w:before="10"/>
                              <w:rPr>
                                <w:rFonts w:ascii="宋体"/>
                                <w:sz w:val="27"/>
                              </w:rPr>
                            </w:pPr>
                          </w:p>
                          <w:p>
                            <w:pPr>
                              <w:pStyle w:val="24"/>
                              <w:spacing w:line="247" w:lineRule="exact"/>
                              <w:ind w:left="60"/>
                              <w:rPr>
                                <w:rFonts w:ascii="宋体" w:eastAsia="宋体"/>
                                <w:sz w:val="21"/>
                              </w:rPr>
                            </w:pPr>
                            <w:r>
                              <w:rPr>
                                <w:rFonts w:hint="eastAsia" w:ascii="宋体" w:eastAsia="宋体"/>
                                <w:sz w:val="21"/>
                              </w:rPr>
                              <w:t>以应急组织体系结构图、应急响应流程图的形式，</w:t>
                            </w:r>
                          </w:p>
                        </w:tc>
                        <w:tc>
                          <w:tcPr>
                            <w:tcW w:w="1276" w:type="dxa"/>
                            <w:tcBorders>
                              <w:top w:val="single" w:color="000000" w:sz="4" w:space="0"/>
                              <w:left w:val="single" w:color="000000" w:sz="4" w:space="0"/>
                              <w:bottom w:val="nil"/>
                              <w:right w:val="single" w:color="000000" w:sz="4" w:space="0"/>
                            </w:tcBorders>
                          </w:tcPr>
                          <w:p>
                            <w:pPr>
                              <w:pStyle w:val="24"/>
                              <w:spacing w:before="10"/>
                              <w:rPr>
                                <w:rFonts w:ascii="宋体"/>
                                <w:sz w:val="27"/>
                              </w:rPr>
                            </w:pPr>
                          </w:p>
                          <w:p>
                            <w:pPr>
                              <w:pStyle w:val="24"/>
                              <w:spacing w:line="247" w:lineRule="exact"/>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tc>
                        <w:tc>
                          <w:tcPr>
                            <w:tcW w:w="607"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vMerge w:val="restart"/>
                            <w:tcBorders>
                              <w:top w:val="single" w:color="000000" w:sz="4" w:space="0"/>
                              <w:left w:val="single" w:color="000000" w:sz="4" w:space="0"/>
                              <w:bottom w:val="single" w:color="000000" w:sz="4" w:space="0"/>
                            </w:tcBorders>
                          </w:tcPr>
                          <w:p>
                            <w:pPr>
                              <w:pStyle w:val="24"/>
                              <w:rPr>
                                <w:rFonts w:ascii="宋体"/>
                                <w:sz w:val="20"/>
                              </w:rPr>
                            </w:pPr>
                          </w:p>
                          <w:p>
                            <w:pPr>
                              <w:pStyle w:val="24"/>
                              <w:spacing w:before="6"/>
                              <w:rPr>
                                <w:rFonts w:ascii="宋体"/>
                                <w:sz w:val="18"/>
                              </w:rPr>
                            </w:pPr>
                          </w:p>
                          <w:p>
                            <w:pPr>
                              <w:pStyle w:val="24"/>
                              <w:spacing w:line="244" w:lineRule="auto"/>
                              <w:ind w:left="62" w:right="35"/>
                              <w:rPr>
                                <w:rFonts w:ascii="宋体" w:eastAsia="宋体"/>
                                <w:sz w:val="21"/>
                              </w:rPr>
                            </w:pPr>
                            <w:r>
                              <w:rPr>
                                <w:rFonts w:hint="eastAsia" w:ascii="宋体" w:eastAsia="宋体"/>
                                <w:spacing w:val="-9"/>
                                <w:w w:val="95"/>
                                <w:sz w:val="21"/>
                              </w:rPr>
                              <w:t xml:space="preserve">以图表形式，说明应急组织体系构成、运行机制、联 </w:t>
                            </w:r>
                            <w:r>
                              <w:rPr>
                                <w:rFonts w:hint="eastAsia" w:ascii="宋体" w:eastAsia="宋体"/>
                                <w:spacing w:val="-9"/>
                                <w:sz w:val="21"/>
                              </w:rPr>
                              <w:t>系人及联系方式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1134" w:type="dxa"/>
                            <w:tcBorders>
                              <w:top w:val="nil"/>
                              <w:bottom w:val="nil"/>
                              <w:right w:val="single" w:color="000000" w:sz="4" w:space="0"/>
                            </w:tcBorders>
                          </w:tcPr>
                          <w:p>
                            <w:pPr>
                              <w:pStyle w:val="24"/>
                              <w:rPr>
                                <w:rFonts w:ascii="Times New Roman"/>
                                <w:sz w:val="18"/>
                              </w:rPr>
                            </w:pPr>
                          </w:p>
                        </w:tc>
                        <w:tc>
                          <w:tcPr>
                            <w:tcW w:w="426" w:type="dxa"/>
                            <w:tcBorders>
                              <w:top w:val="nil"/>
                              <w:left w:val="single" w:color="000000" w:sz="4" w:space="0"/>
                              <w:bottom w:val="nil"/>
                              <w:right w:val="single" w:color="000000" w:sz="4" w:space="0"/>
                            </w:tcBorders>
                          </w:tcPr>
                          <w:p>
                            <w:pPr>
                              <w:pStyle w:val="24"/>
                              <w:spacing w:line="242" w:lineRule="exact"/>
                              <w:ind w:left="92" w:right="74"/>
                              <w:jc w:val="center"/>
                              <w:rPr>
                                <w:rFonts w:ascii="宋体"/>
                                <w:sz w:val="21"/>
                              </w:rPr>
                            </w:pPr>
                            <w:r>
                              <w:rPr>
                                <w:rFonts w:ascii="宋体"/>
                                <w:sz w:val="21"/>
                              </w:rPr>
                              <w:t>12</w:t>
                            </w:r>
                          </w:p>
                        </w:tc>
                        <w:tc>
                          <w:tcPr>
                            <w:tcW w:w="4819" w:type="dxa"/>
                            <w:tcBorders>
                              <w:top w:val="nil"/>
                              <w:left w:val="single" w:color="000000" w:sz="4" w:space="0"/>
                              <w:bottom w:val="nil"/>
                              <w:right w:val="single" w:color="000000" w:sz="4" w:space="0"/>
                            </w:tcBorders>
                          </w:tcPr>
                          <w:p>
                            <w:pPr>
                              <w:pStyle w:val="24"/>
                              <w:spacing w:line="242" w:lineRule="exact"/>
                              <w:ind w:left="60"/>
                              <w:rPr>
                                <w:rFonts w:ascii="宋体" w:eastAsia="宋体"/>
                                <w:sz w:val="21"/>
                              </w:rPr>
                            </w:pPr>
                            <w:r>
                              <w:rPr>
                                <w:rFonts w:hint="eastAsia" w:ascii="宋体" w:eastAsia="宋体"/>
                                <w:sz w:val="21"/>
                              </w:rPr>
                              <w:t>说明组织体系构成、应急指挥运行机制，配有应急</w:t>
                            </w:r>
                          </w:p>
                        </w:tc>
                        <w:tc>
                          <w:tcPr>
                            <w:tcW w:w="1276" w:type="dxa"/>
                            <w:tcBorders>
                              <w:top w:val="nil"/>
                              <w:left w:val="single" w:color="000000" w:sz="4" w:space="0"/>
                              <w:bottom w:val="nil"/>
                              <w:right w:val="single" w:color="000000" w:sz="4" w:space="0"/>
                            </w:tcBorders>
                          </w:tcPr>
                          <w:p>
                            <w:pPr>
                              <w:pStyle w:val="24"/>
                              <w:spacing w:line="242" w:lineRule="exact"/>
                              <w:ind w:left="60"/>
                              <w:rPr>
                                <w:rFonts w:ascii="宋体" w:hAnsi="宋体" w:eastAsia="宋体"/>
                                <w:sz w:val="21"/>
                              </w:rPr>
                            </w:pPr>
                            <w:r>
                              <w:rPr>
                                <w:rFonts w:hint="eastAsia" w:ascii="宋体" w:hAnsi="宋体" w:eastAsia="宋体"/>
                                <w:sz w:val="21"/>
                              </w:rPr>
                              <w:t>□部分符合</w:t>
                            </w: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1134" w:type="dxa"/>
                            <w:tcBorders>
                              <w:top w:val="nil"/>
                              <w:bottom w:val="nil"/>
                              <w:right w:val="single" w:color="000000" w:sz="4" w:space="0"/>
                            </w:tcBorders>
                          </w:tcPr>
                          <w:p>
                            <w:pPr>
                              <w:pStyle w:val="24"/>
                              <w:rPr>
                                <w:rFonts w:ascii="Times New Roman"/>
                                <w:sz w:val="20"/>
                              </w:rPr>
                            </w:pPr>
                          </w:p>
                        </w:tc>
                        <w:tc>
                          <w:tcPr>
                            <w:tcW w:w="426" w:type="dxa"/>
                            <w:tcBorders>
                              <w:top w:val="nil"/>
                              <w:left w:val="single" w:color="000000" w:sz="4" w:space="0"/>
                              <w:bottom w:val="nil"/>
                              <w:right w:val="single" w:color="000000" w:sz="4" w:space="0"/>
                            </w:tcBorders>
                          </w:tcPr>
                          <w:p>
                            <w:pPr>
                              <w:pStyle w:val="24"/>
                              <w:rPr>
                                <w:rFonts w:ascii="Times New Roman"/>
                                <w:sz w:val="20"/>
                              </w:rPr>
                            </w:pPr>
                          </w:p>
                        </w:tc>
                        <w:tc>
                          <w:tcPr>
                            <w:tcW w:w="4819" w:type="dxa"/>
                            <w:tcBorders>
                              <w:top w:val="nil"/>
                              <w:left w:val="single" w:color="000000" w:sz="4" w:space="0"/>
                              <w:bottom w:val="nil"/>
                              <w:right w:val="single" w:color="000000" w:sz="4" w:space="0"/>
                            </w:tcBorders>
                          </w:tcPr>
                          <w:p>
                            <w:pPr>
                              <w:pStyle w:val="24"/>
                              <w:spacing w:line="265" w:lineRule="exact"/>
                              <w:ind w:left="60"/>
                              <w:rPr>
                                <w:rFonts w:ascii="宋体" w:eastAsia="宋体"/>
                                <w:sz w:val="21"/>
                              </w:rPr>
                            </w:pPr>
                            <w:r>
                              <w:rPr>
                                <w:rFonts w:hint="eastAsia" w:ascii="宋体" w:eastAsia="宋体"/>
                                <w:sz w:val="21"/>
                              </w:rPr>
                              <w:t>队伍成员名单和联系方式表</w:t>
                            </w:r>
                          </w:p>
                        </w:tc>
                        <w:tc>
                          <w:tcPr>
                            <w:tcW w:w="1276" w:type="dxa"/>
                            <w:tcBorders>
                              <w:top w:val="nil"/>
                              <w:left w:val="single" w:color="000000" w:sz="4" w:space="0"/>
                              <w:bottom w:val="nil"/>
                              <w:right w:val="single" w:color="000000" w:sz="4" w:space="0"/>
                            </w:tcBorders>
                          </w:tcPr>
                          <w:p>
                            <w:pPr>
                              <w:pStyle w:val="24"/>
                              <w:spacing w:line="265" w:lineRule="exact"/>
                              <w:ind w:left="60"/>
                              <w:rPr>
                                <w:rFonts w:ascii="宋体" w:hAnsi="宋体" w:eastAsia="宋体"/>
                                <w:sz w:val="21"/>
                              </w:rPr>
                            </w:pPr>
                            <w:r>
                              <w:rPr>
                                <w:rFonts w:hint="eastAsia" w:ascii="宋体" w:hAnsi="宋体" w:eastAsia="宋体"/>
                                <w:sz w:val="21"/>
                              </w:rPr>
                              <w:t>□不符合</w:t>
                            </w: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8" w:hRule="atLeast"/>
                        </w:trPr>
                        <w:tc>
                          <w:tcPr>
                            <w:tcW w:w="1134" w:type="dxa"/>
                            <w:tcBorders>
                              <w:top w:val="nil"/>
                              <w:bottom w:val="nil"/>
                              <w:right w:val="single" w:color="000000" w:sz="4" w:space="0"/>
                            </w:tcBorders>
                          </w:tcPr>
                          <w:p>
                            <w:pPr>
                              <w:pStyle w:val="24"/>
                              <w:spacing w:before="41" w:line="248" w:lineRule="exact"/>
                              <w:ind w:left="125" w:right="113"/>
                              <w:jc w:val="center"/>
                              <w:rPr>
                                <w:rFonts w:ascii="宋体" w:eastAsia="宋体"/>
                                <w:sz w:val="21"/>
                              </w:rPr>
                            </w:pPr>
                            <w:r>
                              <w:rPr>
                                <w:rFonts w:hint="eastAsia" w:ascii="宋体" w:eastAsia="宋体"/>
                                <w:sz w:val="21"/>
                              </w:rPr>
                              <w:t>组织指挥</w:t>
                            </w:r>
                          </w:p>
                        </w:tc>
                        <w:tc>
                          <w:tcPr>
                            <w:tcW w:w="426" w:type="dxa"/>
                            <w:tcBorders>
                              <w:top w:val="nil"/>
                              <w:left w:val="single" w:color="000000" w:sz="4" w:space="0"/>
                              <w:bottom w:val="single" w:color="000000" w:sz="4" w:space="0"/>
                              <w:right w:val="single" w:color="000000" w:sz="4" w:space="0"/>
                            </w:tcBorders>
                          </w:tcPr>
                          <w:p>
                            <w:pPr>
                              <w:pStyle w:val="24"/>
                              <w:rPr>
                                <w:rFonts w:ascii="Times New Roman"/>
                                <w:sz w:val="20"/>
                              </w:rPr>
                            </w:pPr>
                          </w:p>
                        </w:tc>
                        <w:tc>
                          <w:tcPr>
                            <w:tcW w:w="4819" w:type="dxa"/>
                            <w:tcBorders>
                              <w:top w:val="nil"/>
                              <w:left w:val="single" w:color="000000" w:sz="4" w:space="0"/>
                              <w:bottom w:val="single" w:color="000000" w:sz="4" w:space="0"/>
                              <w:right w:val="single" w:color="000000" w:sz="4" w:space="0"/>
                            </w:tcBorders>
                          </w:tcPr>
                          <w:p>
                            <w:pPr>
                              <w:pStyle w:val="24"/>
                              <w:rPr>
                                <w:rFonts w:ascii="Times New Roman"/>
                                <w:sz w:val="20"/>
                              </w:rPr>
                            </w:pPr>
                          </w:p>
                        </w:tc>
                        <w:tc>
                          <w:tcPr>
                            <w:tcW w:w="1276" w:type="dxa"/>
                            <w:tcBorders>
                              <w:top w:val="nil"/>
                              <w:left w:val="single" w:color="000000" w:sz="4" w:space="0"/>
                              <w:bottom w:val="single" w:color="000000" w:sz="4" w:space="0"/>
                              <w:right w:val="single" w:color="000000" w:sz="4" w:space="0"/>
                            </w:tcBorders>
                          </w:tcPr>
                          <w:p>
                            <w:pPr>
                              <w:pStyle w:val="24"/>
                              <w:rPr>
                                <w:rFonts w:ascii="Times New Roman"/>
                                <w:sz w:val="20"/>
                              </w:rPr>
                            </w:pP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8" w:hRule="atLeast"/>
                        </w:trPr>
                        <w:tc>
                          <w:tcPr>
                            <w:tcW w:w="1134" w:type="dxa"/>
                            <w:tcBorders>
                              <w:top w:val="nil"/>
                              <w:bottom w:val="nil"/>
                              <w:right w:val="single" w:color="000000" w:sz="4" w:space="0"/>
                            </w:tcBorders>
                          </w:tcPr>
                          <w:p>
                            <w:pPr>
                              <w:pStyle w:val="24"/>
                              <w:spacing w:line="219" w:lineRule="exact"/>
                              <w:ind w:left="122" w:right="113"/>
                              <w:jc w:val="center"/>
                              <w:rPr>
                                <w:rFonts w:ascii="宋体" w:eastAsia="宋体"/>
                                <w:sz w:val="21"/>
                              </w:rPr>
                            </w:pPr>
                            <w:r>
                              <w:rPr>
                                <w:rFonts w:hint="eastAsia" w:ascii="宋体" w:eastAsia="宋体"/>
                                <w:sz w:val="21"/>
                              </w:rPr>
                              <w:t>机制</w:t>
                            </w:r>
                          </w:p>
                        </w:tc>
                        <w:tc>
                          <w:tcPr>
                            <w:tcW w:w="426" w:type="dxa"/>
                            <w:tcBorders>
                              <w:top w:val="single" w:color="000000" w:sz="4" w:space="0"/>
                              <w:left w:val="single" w:color="000000" w:sz="4" w:space="0"/>
                              <w:bottom w:val="nil"/>
                              <w:right w:val="single" w:color="000000" w:sz="4" w:space="0"/>
                            </w:tcBorders>
                          </w:tcPr>
                          <w:p>
                            <w:pPr>
                              <w:pStyle w:val="24"/>
                              <w:rPr>
                                <w:rFonts w:ascii="Times New Roman"/>
                                <w:sz w:val="16"/>
                              </w:rPr>
                            </w:pPr>
                          </w:p>
                        </w:tc>
                        <w:tc>
                          <w:tcPr>
                            <w:tcW w:w="4819" w:type="dxa"/>
                            <w:tcBorders>
                              <w:top w:val="single" w:color="000000" w:sz="4" w:space="0"/>
                              <w:left w:val="single" w:color="000000" w:sz="4" w:space="0"/>
                              <w:bottom w:val="nil"/>
                              <w:right w:val="single" w:color="000000" w:sz="4" w:space="0"/>
                            </w:tcBorders>
                          </w:tcPr>
                          <w:p>
                            <w:pPr>
                              <w:pStyle w:val="24"/>
                              <w:rPr>
                                <w:rFonts w:ascii="Times New Roman"/>
                                <w:sz w:val="16"/>
                              </w:rPr>
                            </w:pPr>
                          </w:p>
                        </w:tc>
                        <w:tc>
                          <w:tcPr>
                            <w:tcW w:w="1276" w:type="dxa"/>
                            <w:tcBorders>
                              <w:top w:val="single" w:color="000000" w:sz="4" w:space="0"/>
                              <w:left w:val="single" w:color="000000" w:sz="4" w:space="0"/>
                              <w:bottom w:val="nil"/>
                              <w:right w:val="single" w:color="000000" w:sz="4" w:space="0"/>
                            </w:tcBorders>
                          </w:tcPr>
                          <w:p>
                            <w:pPr>
                              <w:pStyle w:val="24"/>
                              <w:rPr>
                                <w:rFonts w:ascii="Times New Roman"/>
                                <w:sz w:val="16"/>
                              </w:rPr>
                            </w:pPr>
                          </w:p>
                        </w:tc>
                        <w:tc>
                          <w:tcPr>
                            <w:tcW w:w="607"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nil"/>
                            </w:tcBorders>
                          </w:tcPr>
                          <w:p>
                            <w:pPr>
                              <w:pStyle w:val="24"/>
                              <w:rPr>
                                <w:rFonts w:ascii="Times New Roman"/>
                                <w:sz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0" w:hRule="atLeast"/>
                        </w:trPr>
                        <w:tc>
                          <w:tcPr>
                            <w:tcW w:w="1134" w:type="dxa"/>
                            <w:tcBorders>
                              <w:top w:val="nil"/>
                              <w:bottom w:val="single" w:color="000000" w:sz="4" w:space="0"/>
                              <w:right w:val="single" w:color="000000" w:sz="4" w:space="0"/>
                            </w:tcBorders>
                          </w:tcPr>
                          <w:p>
                            <w:pPr>
                              <w:pStyle w:val="24"/>
                              <w:rPr>
                                <w:rFonts w:ascii="Times New Roman"/>
                                <w:sz w:val="20"/>
                              </w:rPr>
                            </w:pPr>
                          </w:p>
                        </w:tc>
                        <w:tc>
                          <w:tcPr>
                            <w:tcW w:w="426" w:type="dxa"/>
                            <w:tcBorders>
                              <w:top w:val="nil"/>
                              <w:left w:val="single" w:color="000000" w:sz="4" w:space="0"/>
                              <w:bottom w:val="single" w:color="000000" w:sz="4" w:space="0"/>
                              <w:right w:val="single" w:color="000000" w:sz="4" w:space="0"/>
                            </w:tcBorders>
                          </w:tcPr>
                          <w:p>
                            <w:pPr>
                              <w:pStyle w:val="24"/>
                              <w:spacing w:before="9"/>
                              <w:rPr>
                                <w:rFonts w:ascii="宋体"/>
                                <w:sz w:val="29"/>
                              </w:rPr>
                            </w:pPr>
                          </w:p>
                          <w:p>
                            <w:pPr>
                              <w:pStyle w:val="24"/>
                              <w:ind w:left="92" w:right="74"/>
                              <w:jc w:val="center"/>
                              <w:rPr>
                                <w:rFonts w:ascii="宋体"/>
                                <w:sz w:val="21"/>
                              </w:rPr>
                            </w:pPr>
                            <w:r>
                              <w:rPr>
                                <w:rFonts w:ascii="宋体"/>
                                <w:sz w:val="21"/>
                              </w:rPr>
                              <w:t>13</w:t>
                            </w:r>
                          </w:p>
                        </w:tc>
                        <w:tc>
                          <w:tcPr>
                            <w:tcW w:w="4819" w:type="dxa"/>
                            <w:tcBorders>
                              <w:top w:val="nil"/>
                              <w:left w:val="single" w:color="000000" w:sz="4" w:space="0"/>
                              <w:bottom w:val="single" w:color="000000" w:sz="4" w:space="0"/>
                              <w:right w:val="single" w:color="000000" w:sz="4" w:space="0"/>
                            </w:tcBorders>
                          </w:tcPr>
                          <w:p>
                            <w:pPr>
                              <w:pStyle w:val="24"/>
                              <w:spacing w:before="107" w:line="242" w:lineRule="auto"/>
                              <w:ind w:left="60" w:right="128"/>
                              <w:jc w:val="both"/>
                              <w:rPr>
                                <w:rFonts w:ascii="宋体" w:eastAsia="宋体"/>
                                <w:sz w:val="21"/>
                              </w:rPr>
                            </w:pPr>
                            <w:r>
                              <w:rPr>
                                <w:rFonts w:hint="eastAsia" w:ascii="宋体" w:eastAsia="宋体"/>
                                <w:w w:val="95"/>
                                <w:sz w:val="21"/>
                              </w:rPr>
                              <w:t xml:space="preserve">明确组织体系的构成及其职责。一般包括应急指挥 部及其办事机构、现场处置组、环境应急监测组、 </w:t>
                            </w:r>
                            <w:r>
                              <w:rPr>
                                <w:rFonts w:hint="eastAsia" w:ascii="宋体" w:eastAsia="宋体"/>
                                <w:sz w:val="21"/>
                              </w:rPr>
                              <w:t>应急保障组以及其他必要的行动组</w:t>
                            </w:r>
                          </w:p>
                        </w:tc>
                        <w:tc>
                          <w:tcPr>
                            <w:tcW w:w="1276" w:type="dxa"/>
                            <w:tcBorders>
                              <w:top w:val="nil"/>
                              <w:left w:val="single" w:color="000000" w:sz="4" w:space="0"/>
                              <w:bottom w:val="single" w:color="000000" w:sz="4" w:space="0"/>
                              <w:right w:val="single" w:color="000000" w:sz="4" w:space="0"/>
                            </w:tcBorders>
                          </w:tcPr>
                          <w:p>
                            <w:pPr>
                              <w:pStyle w:val="24"/>
                              <w:spacing w:before="107"/>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5"/>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nil"/>
                              <w:left w:val="single" w:color="000000" w:sz="4" w:space="0"/>
                              <w:bottom w:val="single" w:color="000000" w:sz="4" w:space="0"/>
                            </w:tcBorders>
                          </w:tcPr>
                          <w:p>
                            <w:pPr>
                              <w:pStyle w:val="24"/>
                              <w:spacing w:line="242" w:lineRule="exact"/>
                              <w:ind w:left="62"/>
                              <w:rPr>
                                <w:rFonts w:ascii="宋体" w:eastAsia="宋体"/>
                                <w:sz w:val="21"/>
                              </w:rPr>
                            </w:pPr>
                            <w:r>
                              <w:rPr>
                                <w:rFonts w:hint="eastAsia" w:ascii="宋体" w:eastAsia="宋体"/>
                                <w:spacing w:val="-6"/>
                                <w:sz w:val="21"/>
                              </w:rPr>
                              <w:t>企业根据突发环境事件应急工作特点，建立由负责人</w:t>
                            </w:r>
                          </w:p>
                          <w:p>
                            <w:pPr>
                              <w:pStyle w:val="24"/>
                              <w:spacing w:before="2" w:line="242" w:lineRule="auto"/>
                              <w:ind w:left="62" w:right="37"/>
                              <w:jc w:val="both"/>
                              <w:rPr>
                                <w:rFonts w:ascii="宋体" w:eastAsia="宋体"/>
                                <w:sz w:val="21"/>
                              </w:rPr>
                            </w:pPr>
                            <w:r>
                              <w:rPr>
                                <w:rFonts w:hint="eastAsia" w:ascii="宋体" w:eastAsia="宋体"/>
                                <w:spacing w:val="-10"/>
                                <w:w w:val="95"/>
                                <w:sz w:val="21"/>
                              </w:rPr>
                              <w:t xml:space="preserve">和成员组成的、工作职责明确的环境应急组织指挥机 </w:t>
                            </w:r>
                            <w:r>
                              <w:rPr>
                                <w:rFonts w:hint="eastAsia" w:ascii="宋体" w:eastAsia="宋体"/>
                                <w:spacing w:val="-11"/>
                                <w:w w:val="95"/>
                                <w:sz w:val="21"/>
                              </w:rPr>
                              <w:t xml:space="preserve">构。注意与企业突发事件应急预案以及生产安全等预 </w:t>
                            </w:r>
                            <w:r>
                              <w:rPr>
                                <w:rFonts w:hint="eastAsia" w:ascii="宋体" w:eastAsia="宋体"/>
                                <w:spacing w:val="-11"/>
                                <w:sz w:val="21"/>
                              </w:rPr>
                              <w:t>案中组织指挥体系的衔接</w:t>
                            </w:r>
                          </w:p>
                        </w:tc>
                      </w:tr>
                    </w:tbl>
                    <w:p>
                      <w:pPr>
                        <w:pStyle w:val="10"/>
                      </w:pPr>
                    </w:p>
                  </w:txbxContent>
                </v:textbox>
              </v:shape>
            </w:pict>
          </mc:Fallback>
        </mc:AlternateContent>
      </w:r>
      <w:r>
        <w:rPr>
          <w:rFonts w:hint="eastAsia" w:ascii="宋体" w:eastAsia="宋体"/>
          <w:w w:val="99"/>
          <w:sz w:val="21"/>
        </w:rPr>
        <w:t>。</w:t>
      </w:r>
    </w:p>
    <w:p>
      <w:pPr>
        <w:jc w:val="right"/>
        <w:rPr>
          <w:rFonts w:ascii="宋体" w:eastAsia="宋体"/>
          <w:sz w:val="21"/>
        </w:rPr>
        <w:sectPr>
          <w:footerReference r:id="rId19" w:type="default"/>
          <w:pgSz w:w="16840" w:h="11910" w:orient="landscape"/>
          <w:pgMar w:top="1100" w:right="1340" w:bottom="1180" w:left="1340" w:header="882" w:footer="993" w:gutter="0"/>
          <w:pgNumType w:start="90"/>
          <w:cols w:space="720" w:num="1"/>
        </w:sectPr>
      </w:pPr>
    </w:p>
    <w:p>
      <w:pPr>
        <w:pStyle w:val="10"/>
        <w:rPr>
          <w:rFonts w:ascii="宋体"/>
          <w:sz w:val="27"/>
        </w:rPr>
      </w:pPr>
      <w:r>
        <mc:AlternateContent>
          <mc:Choice Requires="wps">
            <w:drawing>
              <wp:anchor distT="0" distB="0" distL="114300" distR="114300" simplePos="0" relativeHeight="251684864" behindDoc="0" locked="0" layoutInCell="1" allowOverlap="1">
                <wp:simplePos x="0" y="0"/>
                <wp:positionH relativeFrom="page">
                  <wp:posOffset>963930</wp:posOffset>
                </wp:positionH>
                <wp:positionV relativeFrom="page">
                  <wp:posOffset>715645</wp:posOffset>
                </wp:positionV>
                <wp:extent cx="8769350" cy="5913120"/>
                <wp:effectExtent l="0" t="0" r="0" b="0"/>
                <wp:wrapNone/>
                <wp:docPr id="27" name="文本框 31"/>
                <wp:cNvGraphicFramePr/>
                <a:graphic xmlns:a="http://schemas.openxmlformats.org/drawingml/2006/main">
                  <a:graphicData uri="http://schemas.microsoft.com/office/word/2010/wordprocessingShape">
                    <wps:wsp>
                      <wps:cNvSpPr txBox="1"/>
                      <wps:spPr>
                        <a:xfrm>
                          <a:off x="0" y="0"/>
                          <a:ext cx="8769350" cy="5913120"/>
                        </a:xfrm>
                        <a:prstGeom prst="rect">
                          <a:avLst/>
                        </a:prstGeom>
                        <a:noFill/>
                        <a:ln>
                          <a:noFill/>
                        </a:ln>
                      </wps:spPr>
                      <wps:txbx>
                        <w:txbxContent>
                          <w:tbl>
                            <w:tblPr>
                              <w:tblStyle w:val="1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34"/>
                              <w:gridCol w:w="426"/>
                              <w:gridCol w:w="4819"/>
                              <w:gridCol w:w="1276"/>
                              <w:gridCol w:w="607"/>
                              <w:gridCol w:w="669"/>
                              <w:gridCol w:w="48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134" w:type="dxa"/>
                                  <w:vMerge w:val="restart"/>
                                  <w:tcBorders>
                                    <w:bottom w:val="single" w:color="000000" w:sz="4" w:space="0"/>
                                    <w:right w:val="single" w:color="000000" w:sz="4" w:space="0"/>
                                  </w:tcBorders>
                                </w:tcPr>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spacing w:before="9"/>
                                    <w:rPr>
                                      <w:rFonts w:ascii="宋体"/>
                                      <w:sz w:val="15"/>
                                    </w:rPr>
                                  </w:pPr>
                                </w:p>
                                <w:p>
                                  <w:pPr>
                                    <w:pStyle w:val="24"/>
                                    <w:spacing w:line="244" w:lineRule="auto"/>
                                    <w:ind w:left="355" w:right="132" w:hanging="209"/>
                                    <w:rPr>
                                      <w:rFonts w:ascii="宋体" w:eastAsia="宋体"/>
                                      <w:sz w:val="21"/>
                                    </w:rPr>
                                  </w:pPr>
                                  <w:r>
                                    <w:rPr>
                                      <w:rFonts w:hint="eastAsia" w:ascii="宋体" w:eastAsia="宋体"/>
                                      <w:sz w:val="21"/>
                                    </w:rPr>
                                    <w:t>组织指挥机制</w:t>
                                  </w:r>
                                </w:p>
                              </w:tc>
                              <w:tc>
                                <w:tcPr>
                                  <w:tcW w:w="426" w:type="dxa"/>
                                  <w:tcBorders>
                                    <w:left w:val="single" w:color="000000" w:sz="4" w:space="0"/>
                                    <w:bottom w:val="single" w:color="000000" w:sz="4" w:space="0"/>
                                    <w:right w:val="single" w:color="000000" w:sz="4" w:space="0"/>
                                  </w:tcBorders>
                                </w:tcPr>
                                <w:p>
                                  <w:pPr>
                                    <w:pStyle w:val="24"/>
                                    <w:rPr>
                                      <w:rFonts w:ascii="宋体"/>
                                      <w:sz w:val="20"/>
                                    </w:rPr>
                                  </w:pPr>
                                </w:p>
                                <w:p>
                                  <w:pPr>
                                    <w:pStyle w:val="24"/>
                                    <w:spacing w:before="5"/>
                                    <w:rPr>
                                      <w:rFonts w:ascii="宋体"/>
                                      <w:sz w:val="20"/>
                                    </w:rPr>
                                  </w:pPr>
                                </w:p>
                                <w:p>
                                  <w:pPr>
                                    <w:pStyle w:val="24"/>
                                    <w:ind w:left="92" w:right="74"/>
                                    <w:jc w:val="center"/>
                                    <w:rPr>
                                      <w:rFonts w:ascii="宋体"/>
                                      <w:sz w:val="21"/>
                                    </w:rPr>
                                  </w:pPr>
                                  <w:r>
                                    <w:rPr>
                                      <w:rFonts w:ascii="宋体"/>
                                      <w:sz w:val="21"/>
                                    </w:rPr>
                                    <w:t>14</w:t>
                                  </w:r>
                                </w:p>
                              </w:tc>
                              <w:tc>
                                <w:tcPr>
                                  <w:tcW w:w="4819" w:type="dxa"/>
                                  <w:tcBorders>
                                    <w:left w:val="single" w:color="000000" w:sz="4" w:space="0"/>
                                    <w:bottom w:val="single" w:color="000000" w:sz="4" w:space="0"/>
                                    <w:right w:val="single" w:color="000000" w:sz="4" w:space="0"/>
                                  </w:tcBorders>
                                </w:tcPr>
                                <w:p>
                                  <w:pPr>
                                    <w:pStyle w:val="24"/>
                                    <w:spacing w:before="9"/>
                                    <w:rPr>
                                      <w:rFonts w:ascii="宋体"/>
                                      <w:sz w:val="29"/>
                                    </w:rPr>
                                  </w:pPr>
                                </w:p>
                                <w:p>
                                  <w:pPr>
                                    <w:pStyle w:val="24"/>
                                    <w:spacing w:line="242" w:lineRule="auto"/>
                                    <w:ind w:left="60" w:right="128"/>
                                    <w:rPr>
                                      <w:rFonts w:ascii="宋体" w:eastAsia="宋体"/>
                                      <w:sz w:val="21"/>
                                    </w:rPr>
                                  </w:pPr>
                                  <w:r>
                                    <w:rPr>
                                      <w:rFonts w:hint="eastAsia" w:ascii="宋体" w:eastAsia="宋体"/>
                                      <w:w w:val="95"/>
                                      <w:sz w:val="21"/>
                                    </w:rPr>
                                    <w:t xml:space="preserve">明确应急状态下指挥运行机制，建立统一的应急指 </w:t>
                                  </w:r>
                                  <w:r>
                                    <w:rPr>
                                      <w:rFonts w:hint="eastAsia" w:ascii="宋体" w:eastAsia="宋体"/>
                                      <w:sz w:val="21"/>
                                    </w:rPr>
                                    <w:t>挥、协调和决策程序</w:t>
                                  </w:r>
                                </w:p>
                              </w:tc>
                              <w:tc>
                                <w:tcPr>
                                  <w:tcW w:w="1276" w:type="dxa"/>
                                  <w:tcBorders>
                                    <w:left w:val="single" w:color="000000" w:sz="4" w:space="0"/>
                                    <w:bottom w:val="single" w:color="000000" w:sz="4" w:space="0"/>
                                    <w:right w:val="single" w:color="000000" w:sz="4" w:space="0"/>
                                  </w:tcBorders>
                                </w:tcPr>
                                <w:p>
                                  <w:pPr>
                                    <w:pStyle w:val="24"/>
                                    <w:rPr>
                                      <w:rFonts w:ascii="宋体"/>
                                      <w:sz w:val="19"/>
                                    </w:rPr>
                                  </w:pPr>
                                </w:p>
                                <w:p>
                                  <w:pPr>
                                    <w:pStyle w:val="24"/>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3"/>
                                    <w:ind w:left="60"/>
                                    <w:rPr>
                                      <w:rFonts w:ascii="宋体" w:hAnsi="宋体" w:eastAsia="宋体"/>
                                      <w:sz w:val="21"/>
                                    </w:rPr>
                                  </w:pPr>
                                  <w:r>
                                    <w:rPr>
                                      <w:rFonts w:hint="eastAsia" w:ascii="宋体" w:hAnsi="宋体" w:eastAsia="宋体"/>
                                      <w:sz w:val="21"/>
                                    </w:rPr>
                                    <w:t>□部分符合</w:t>
                                  </w:r>
                                </w:p>
                                <w:p>
                                  <w:pPr>
                                    <w:pStyle w:val="24"/>
                                    <w:spacing w:before="4"/>
                                    <w:ind w:left="60"/>
                                    <w:rPr>
                                      <w:rFonts w:ascii="宋体" w:hAnsi="宋体" w:eastAsia="宋体"/>
                                      <w:sz w:val="21"/>
                                    </w:rPr>
                                  </w:pPr>
                                  <w:r>
                                    <w:rPr>
                                      <w:rFonts w:hint="eastAsia" w:ascii="宋体" w:hAnsi="宋体" w:eastAsia="宋体"/>
                                      <w:sz w:val="21"/>
                                    </w:rPr>
                                    <w:t>□不符合</w:t>
                                  </w:r>
                                </w:p>
                              </w:tc>
                              <w:tc>
                                <w:tcPr>
                                  <w:tcW w:w="607" w:type="dxa"/>
                                  <w:tcBorders>
                                    <w:left w:val="single" w:color="000000" w:sz="4" w:space="0"/>
                                    <w:bottom w:val="single" w:color="000000" w:sz="4" w:space="0"/>
                                    <w:right w:val="single" w:color="000000" w:sz="4" w:space="0"/>
                                  </w:tcBorders>
                                </w:tcPr>
                                <w:p>
                                  <w:pPr>
                                    <w:pStyle w:val="24"/>
                                    <w:rPr>
                                      <w:rFonts w:ascii="Times New Roman"/>
                                      <w:sz w:val="20"/>
                                    </w:rPr>
                                  </w:pPr>
                                </w:p>
                              </w:tc>
                              <w:tc>
                                <w:tcPr>
                                  <w:tcW w:w="669" w:type="dxa"/>
                                  <w:tcBorders>
                                    <w:left w:val="single" w:color="000000" w:sz="4" w:space="0"/>
                                    <w:bottom w:val="single" w:color="000000" w:sz="4" w:space="0"/>
                                    <w:right w:val="single" w:color="000000" w:sz="4" w:space="0"/>
                                  </w:tcBorders>
                                </w:tcPr>
                                <w:p>
                                  <w:pPr>
                                    <w:pStyle w:val="24"/>
                                    <w:rPr>
                                      <w:rFonts w:ascii="Times New Roman"/>
                                      <w:sz w:val="20"/>
                                    </w:rPr>
                                  </w:pPr>
                                </w:p>
                              </w:tc>
                              <w:tc>
                                <w:tcPr>
                                  <w:tcW w:w="4850" w:type="dxa"/>
                                  <w:tcBorders>
                                    <w:left w:val="single" w:color="000000" w:sz="4" w:space="0"/>
                                    <w:bottom w:val="single" w:color="000000" w:sz="4" w:space="0"/>
                                  </w:tcBorders>
                                </w:tcPr>
                                <w:p>
                                  <w:pPr>
                                    <w:pStyle w:val="24"/>
                                    <w:spacing w:before="107" w:line="242" w:lineRule="auto"/>
                                    <w:ind w:left="62" w:right="37"/>
                                    <w:rPr>
                                      <w:rFonts w:ascii="宋体" w:eastAsia="宋体"/>
                                      <w:sz w:val="21"/>
                                    </w:rPr>
                                  </w:pPr>
                                  <w:r>
                                    <w:rPr>
                                      <w:rFonts w:hint="eastAsia" w:ascii="宋体" w:eastAsia="宋体"/>
                                      <w:spacing w:val="-10"/>
                                      <w:w w:val="95"/>
                                      <w:sz w:val="21"/>
                                    </w:rPr>
                                    <w:t xml:space="preserve">指挥运行机制，指的是总指挥与各行动小组相互作用 </w:t>
                                  </w:r>
                                  <w:r>
                                    <w:rPr>
                                      <w:rFonts w:hint="eastAsia" w:ascii="宋体" w:eastAsia="宋体"/>
                                      <w:spacing w:val="-10"/>
                                      <w:sz w:val="21"/>
                                    </w:rPr>
                                    <w:t>的程序和方式，能够对突发环境事件状态进行评估</w:t>
                                  </w:r>
                                  <w:r>
                                    <w:rPr>
                                      <w:rFonts w:hint="eastAsia" w:ascii="宋体" w:eastAsia="宋体"/>
                                      <w:spacing w:val="-15"/>
                                      <w:w w:val="95"/>
                                      <w:sz w:val="21"/>
                                    </w:rPr>
                                    <w:t xml:space="preserve">迅速有效进行应急响应决策，指挥和协调各行动小组 </w:t>
                                  </w:r>
                                  <w:r>
                                    <w:rPr>
                                      <w:rFonts w:hint="eastAsia" w:ascii="宋体" w:eastAsia="宋体"/>
                                      <w:spacing w:val="-15"/>
                                      <w:sz w:val="21"/>
                                    </w:rPr>
                                    <w:t>活动，合理高效地调配和使用应急资源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55"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5"/>
                                    <w:rPr>
                                      <w:rFonts w:ascii="宋体"/>
                                      <w:sz w:val="14"/>
                                    </w:rPr>
                                  </w:pPr>
                                </w:p>
                                <w:p>
                                  <w:pPr>
                                    <w:pStyle w:val="24"/>
                                    <w:ind w:left="92" w:right="74"/>
                                    <w:jc w:val="center"/>
                                    <w:rPr>
                                      <w:rFonts w:ascii="宋体"/>
                                      <w:sz w:val="21"/>
                                    </w:rPr>
                                  </w:pPr>
                                  <w:r>
                                    <w:rPr>
                                      <w:rFonts w:ascii="宋体"/>
                                      <w:sz w:val="21"/>
                                    </w:rPr>
                                    <w:t>15</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170" w:line="242" w:lineRule="auto"/>
                                    <w:ind w:left="60" w:right="128"/>
                                    <w:jc w:val="both"/>
                                    <w:rPr>
                                      <w:rFonts w:ascii="宋体" w:eastAsia="宋体"/>
                                      <w:sz w:val="21"/>
                                    </w:rPr>
                                  </w:pPr>
                                  <w:r>
                                    <w:rPr>
                                      <w:rFonts w:hint="eastAsia" w:ascii="宋体" w:eastAsia="宋体"/>
                                      <w:w w:val="95"/>
                                      <w:sz w:val="21"/>
                                    </w:rPr>
                                    <w:t xml:space="preserve">根据突发环境事件的危害程度、影响范围、周边环 境敏感点、企业应急响应能力等，建立分级应急响 </w:t>
                                  </w:r>
                                  <w:r>
                                    <w:rPr>
                                      <w:rFonts w:hint="eastAsia" w:ascii="宋体" w:eastAsia="宋体"/>
                                      <w:sz w:val="21"/>
                                    </w:rPr>
                                    <w:t>应机制，明确不同应急响应级别对应的指挥权限</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70"/>
                                    <w:ind w:left="60"/>
                                    <w:rPr>
                                      <w:rFonts w:ascii="宋体" w:hAnsi="宋体" w:eastAsia="宋体"/>
                                      <w:sz w:val="21"/>
                                    </w:rPr>
                                  </w:pP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170" w:line="242" w:lineRule="auto"/>
                                    <w:ind w:left="62" w:right="37"/>
                                    <w:rPr>
                                      <w:rFonts w:ascii="宋体" w:eastAsia="宋体"/>
                                      <w:sz w:val="21"/>
                                    </w:rPr>
                                  </w:pPr>
                                  <w:r>
                                    <w:rPr>
                                      <w:rFonts w:hint="eastAsia" w:ascii="宋体" w:eastAsia="宋体"/>
                                      <w:spacing w:val="-6"/>
                                      <w:w w:val="95"/>
                                      <w:sz w:val="21"/>
                                    </w:rPr>
                                    <w:t xml:space="preserve">例如有的企业将环境应急分为车间级、企业级、社会 </w:t>
                                  </w:r>
                                  <w:r>
                                    <w:rPr>
                                      <w:rFonts w:hint="eastAsia" w:ascii="宋体" w:eastAsia="宋体"/>
                                      <w:spacing w:val="-16"/>
                                      <w:sz w:val="21"/>
                                    </w:rPr>
                                    <w:t>级，明确相应的指挥权限：车间负责人、企业负责人接受当地政府统一指挥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0"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8"/>
                                    <w:rPr>
                                      <w:rFonts w:ascii="宋体"/>
                                      <w:sz w:val="29"/>
                                    </w:rPr>
                                  </w:pPr>
                                </w:p>
                                <w:p>
                                  <w:pPr>
                                    <w:pStyle w:val="24"/>
                                    <w:ind w:left="92" w:right="74"/>
                                    <w:jc w:val="center"/>
                                    <w:rPr>
                                      <w:rFonts w:ascii="宋体"/>
                                      <w:sz w:val="21"/>
                                    </w:rPr>
                                  </w:pPr>
                                  <w:r>
                                    <w:rPr>
                                      <w:rFonts w:ascii="宋体"/>
                                      <w:sz w:val="21"/>
                                    </w:rPr>
                                    <w:t>16</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106" w:line="242" w:lineRule="auto"/>
                                    <w:ind w:left="60" w:right="128"/>
                                    <w:jc w:val="both"/>
                                    <w:rPr>
                                      <w:rFonts w:ascii="宋体" w:eastAsia="宋体"/>
                                      <w:sz w:val="21"/>
                                    </w:rPr>
                                  </w:pPr>
                                  <w:r>
                                    <w:rPr>
                                      <w:rFonts w:hint="eastAsia" w:ascii="宋体" w:eastAsia="宋体"/>
                                      <w:w w:val="95"/>
                                      <w:sz w:val="21"/>
                                    </w:rPr>
                                    <w:t xml:space="preserve">说明企业与政府及其有关部门之间的关系。明确政 府及其有关部门介入后，企业内部指挥协调、配合 </w:t>
                                  </w:r>
                                  <w:r>
                                    <w:rPr>
                                      <w:rFonts w:hint="eastAsia" w:ascii="宋体" w:eastAsia="宋体"/>
                                      <w:sz w:val="21"/>
                                    </w:rPr>
                                    <w:t>处置、参与应急保障等工作任务和责任人</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06"/>
                                    <w:ind w:left="60"/>
                                    <w:rPr>
                                      <w:rFonts w:ascii="宋体" w:hAnsi="宋体" w:eastAsia="宋体"/>
                                      <w:sz w:val="21"/>
                                    </w:rPr>
                                  </w:pPr>
                                  <w:r>
                                    <w:rPr>
                                      <w:rFonts w:hint="eastAsia" w:ascii="宋体" w:hAnsi="宋体" w:eastAsia="宋体"/>
                                      <w:sz w:val="21"/>
                                    </w:rPr>
                                    <w:t>□符合</w:t>
                                  </w:r>
                                </w:p>
                                <w:p>
                                  <w:pPr>
                                    <w:pStyle w:val="24"/>
                                    <w:spacing w:before="5"/>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12"/>
                                    <w:rPr>
                                      <w:rFonts w:ascii="宋体"/>
                                      <w:sz w:val="18"/>
                                    </w:rPr>
                                  </w:pPr>
                                </w:p>
                                <w:p>
                                  <w:pPr>
                                    <w:pStyle w:val="24"/>
                                    <w:spacing w:line="242" w:lineRule="auto"/>
                                    <w:ind w:left="62" w:right="37"/>
                                    <w:rPr>
                                      <w:rFonts w:ascii="宋体" w:eastAsia="宋体"/>
                                      <w:sz w:val="21"/>
                                    </w:rPr>
                                  </w:pPr>
                                  <w:r>
                                    <w:rPr>
                                      <w:rFonts w:hint="eastAsia" w:ascii="宋体" w:eastAsia="宋体"/>
                                      <w:spacing w:val="-7"/>
                                      <w:w w:val="95"/>
                                      <w:sz w:val="21"/>
                                    </w:rPr>
                                    <w:t xml:space="preserve">例如政府及其有关部门介入后，环境应急指挥权的移 </w:t>
                                  </w:r>
                                  <w:r>
                                    <w:rPr>
                                      <w:rFonts w:hint="eastAsia" w:ascii="宋体" w:eastAsia="宋体"/>
                                      <w:spacing w:val="-7"/>
                                      <w:sz w:val="21"/>
                                    </w:rPr>
                                    <w:t>交及企业内部的调整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53" w:hRule="atLeast"/>
                              </w:trPr>
                              <w:tc>
                                <w:tcPr>
                                  <w:tcW w:w="1134" w:type="dxa"/>
                                  <w:vMerge w:val="restart"/>
                                  <w:tcBorders>
                                    <w:top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spacing w:before="148"/>
                                    <w:ind w:left="146"/>
                                    <w:rPr>
                                      <w:rFonts w:ascii="宋体" w:eastAsia="宋体"/>
                                      <w:sz w:val="21"/>
                                    </w:rPr>
                                  </w:pPr>
                                  <w:r>
                                    <w:rPr>
                                      <w:rFonts w:hint="eastAsia" w:ascii="宋体" w:eastAsia="宋体"/>
                                      <w:sz w:val="21"/>
                                    </w:rPr>
                                    <w:t>监测预警</w:t>
                                  </w: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6"/>
                                    <w:rPr>
                                      <w:rFonts w:ascii="宋体"/>
                                      <w:sz w:val="14"/>
                                    </w:rPr>
                                  </w:pPr>
                                </w:p>
                                <w:p>
                                  <w:pPr>
                                    <w:pStyle w:val="24"/>
                                    <w:ind w:left="92" w:right="74"/>
                                    <w:jc w:val="center"/>
                                    <w:rPr>
                                      <w:rFonts w:ascii="宋体"/>
                                      <w:sz w:val="21"/>
                                    </w:rPr>
                                  </w:pPr>
                                  <w:r>
                                    <w:rPr>
                                      <w:rFonts w:ascii="宋体"/>
                                      <w:sz w:val="21"/>
                                    </w:rPr>
                                    <w:t>17</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6"/>
                                    <w:rPr>
                                      <w:rFonts w:ascii="宋体"/>
                                      <w:sz w:val="14"/>
                                    </w:rPr>
                                  </w:pPr>
                                </w:p>
                                <w:p>
                                  <w:pPr>
                                    <w:pStyle w:val="24"/>
                                    <w:ind w:left="60"/>
                                    <w:rPr>
                                      <w:rFonts w:ascii="宋体" w:eastAsia="宋体"/>
                                      <w:sz w:val="21"/>
                                    </w:rPr>
                                  </w:pPr>
                                  <w:r>
                                    <w:rPr>
                                      <w:rFonts w:hint="eastAsia" w:ascii="宋体" w:eastAsia="宋体"/>
                                      <w:sz w:val="21"/>
                                    </w:rPr>
                                    <w:t>建立企业内部监控预警方案</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68"/>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4"/>
                                    <w:ind w:left="60"/>
                                    <w:rPr>
                                      <w:rFonts w:ascii="宋体" w:hAnsi="宋体" w:eastAsia="宋体"/>
                                      <w:sz w:val="21"/>
                                    </w:rPr>
                                  </w:pPr>
                                  <w:r>
                                    <w:rPr>
                                      <w:rFonts w:hint="eastAsia" w:ascii="宋体" w:hAnsi="宋体" w:eastAsia="宋体"/>
                                      <w:sz w:val="21"/>
                                    </w:rPr>
                                    <w:t>□部分符合</w:t>
                                  </w:r>
                                </w:p>
                                <w:p>
                                  <w:pPr>
                                    <w:pStyle w:val="24"/>
                                    <w:spacing w:before="3"/>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168" w:line="242" w:lineRule="auto"/>
                                    <w:ind w:left="62" w:right="37"/>
                                    <w:jc w:val="both"/>
                                    <w:rPr>
                                      <w:rFonts w:ascii="宋体" w:eastAsia="宋体"/>
                                      <w:sz w:val="21"/>
                                    </w:rPr>
                                  </w:pPr>
                                  <w:r>
                                    <w:rPr>
                                      <w:rFonts w:hint="eastAsia" w:ascii="宋体" w:eastAsia="宋体"/>
                                      <w:spacing w:val="-7"/>
                                      <w:w w:val="95"/>
                                      <w:sz w:val="21"/>
                                    </w:rPr>
                                    <w:t xml:space="preserve">根据企业可能面临事件情景，结合事件危害程度、紧 </w:t>
                                  </w:r>
                                  <w:r>
                                    <w:rPr>
                                      <w:rFonts w:hint="eastAsia" w:ascii="宋体" w:eastAsia="宋体"/>
                                      <w:spacing w:val="-12"/>
                                      <w:w w:val="95"/>
                                      <w:sz w:val="21"/>
                                    </w:rPr>
                                    <w:t xml:space="preserve">急程度和发展态势，对企业内部预警级别、预警发布 </w:t>
                                  </w:r>
                                  <w:r>
                                    <w:rPr>
                                      <w:rFonts w:hint="eastAsia" w:ascii="宋体" w:eastAsia="宋体"/>
                                      <w:spacing w:val="-12"/>
                                      <w:sz w:val="21"/>
                                    </w:rPr>
                                    <w:t>与解除、预警措施进行总体安排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6"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2"/>
                                    <w:rPr>
                                      <w:rFonts w:ascii="宋体"/>
                                      <w:sz w:val="24"/>
                                    </w:rPr>
                                  </w:pPr>
                                </w:p>
                                <w:p>
                                  <w:pPr>
                                    <w:pStyle w:val="24"/>
                                    <w:spacing w:before="1"/>
                                    <w:ind w:left="92" w:right="74"/>
                                    <w:jc w:val="center"/>
                                    <w:rPr>
                                      <w:rFonts w:ascii="宋体"/>
                                      <w:sz w:val="21"/>
                                    </w:rPr>
                                  </w:pPr>
                                  <w:r>
                                    <w:rPr>
                                      <w:rFonts w:ascii="宋体"/>
                                      <w:sz w:val="21"/>
                                    </w:rPr>
                                    <w:t>18</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2"/>
                                    <w:rPr>
                                      <w:rFonts w:ascii="宋体"/>
                                      <w:sz w:val="24"/>
                                    </w:rPr>
                                  </w:pPr>
                                </w:p>
                                <w:p>
                                  <w:pPr>
                                    <w:pStyle w:val="24"/>
                                    <w:spacing w:before="1"/>
                                    <w:ind w:left="60"/>
                                    <w:rPr>
                                      <w:rFonts w:ascii="宋体" w:eastAsia="宋体"/>
                                      <w:sz w:val="21"/>
                                    </w:rPr>
                                  </w:pPr>
                                  <w:r>
                                    <w:rPr>
                                      <w:rFonts w:hint="eastAsia" w:ascii="宋体" w:eastAsia="宋体"/>
                                      <w:sz w:val="21"/>
                                    </w:rPr>
                                    <w:t>明确监控信息的获得途径和分析研判的方式方法</w:t>
                                  </w:r>
                                </w:p>
                              </w:tc>
                              <w:tc>
                                <w:tcPr>
                                  <w:tcW w:w="1276" w:type="dxa"/>
                                  <w:tcBorders>
                                    <w:top w:val="single" w:color="000000" w:sz="4" w:space="0"/>
                                    <w:left w:val="single" w:color="000000" w:sz="4" w:space="0"/>
                                    <w:bottom w:val="single" w:color="000000" w:sz="4" w:space="0"/>
                                    <w:right w:val="single" w:color="000000" w:sz="4" w:space="0"/>
                                  </w:tcBorders>
                                </w:tcPr>
                                <w:p>
                                  <w:pPr>
                                    <w:pStyle w:val="24"/>
                                    <w:rPr>
                                      <w:rFonts w:ascii="宋体"/>
                                      <w:sz w:val="23"/>
                                    </w:rPr>
                                  </w:pPr>
                                </w:p>
                                <w:p>
                                  <w:pPr>
                                    <w:pStyle w:val="24"/>
                                    <w:ind w:left="60"/>
                                    <w:rPr>
                                      <w:rFonts w:ascii="宋体" w:hAnsi="宋体" w:eastAsia="宋体"/>
                                      <w:sz w:val="21"/>
                                    </w:rPr>
                                  </w:pPr>
                                  <w:r>
                                    <w:rPr>
                                      <w:rFonts w:hint="eastAsia" w:ascii="宋体" w:hAnsi="宋体" w:eastAsia="宋体"/>
                                      <w:sz w:val="21"/>
                                    </w:rPr>
                                    <w:t>□符合</w:t>
                                  </w:r>
                                </w:p>
                                <w:p>
                                  <w:pPr>
                                    <w:pStyle w:val="24"/>
                                    <w:spacing w:before="3"/>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4"/>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158" w:line="244" w:lineRule="auto"/>
                                    <w:ind w:left="62" w:right="37"/>
                                    <w:rPr>
                                      <w:rFonts w:ascii="宋体" w:eastAsia="宋体"/>
                                      <w:sz w:val="21"/>
                                    </w:rPr>
                                  </w:pPr>
                                  <w:r>
                                    <w:rPr>
                                      <w:rFonts w:hint="eastAsia" w:ascii="宋体" w:eastAsia="宋体"/>
                                      <w:spacing w:val="-7"/>
                                      <w:w w:val="95"/>
                                      <w:sz w:val="21"/>
                                    </w:rPr>
                                    <w:t xml:space="preserve">监控信息的获得途径，例如极端天气等自然灾害、生 </w:t>
                                  </w:r>
                                  <w:r>
                                    <w:rPr>
                                      <w:rFonts w:hint="eastAsia" w:ascii="宋体" w:eastAsia="宋体"/>
                                      <w:spacing w:val="-7"/>
                                      <w:sz w:val="21"/>
                                    </w:rPr>
                                    <w:t>产安全事故等事故灾难、相关监控监测信息等；</w:t>
                                  </w:r>
                                </w:p>
                                <w:p>
                                  <w:pPr>
                                    <w:pStyle w:val="24"/>
                                    <w:spacing w:line="244" w:lineRule="auto"/>
                                    <w:ind w:left="62" w:right="37"/>
                                    <w:rPr>
                                      <w:rFonts w:ascii="宋体" w:eastAsia="宋体"/>
                                      <w:sz w:val="21"/>
                                    </w:rPr>
                                  </w:pPr>
                                  <w:r>
                                    <w:rPr>
                                      <w:rFonts w:hint="eastAsia" w:ascii="宋体" w:eastAsia="宋体"/>
                                      <w:spacing w:val="-10"/>
                                      <w:w w:val="95"/>
                                      <w:sz w:val="21"/>
                                    </w:rPr>
                                    <w:t xml:space="preserve">分析研判的方式方法，例如根据相关信息和应急能力 </w:t>
                                  </w:r>
                                  <w:r>
                                    <w:rPr>
                                      <w:rFonts w:hint="eastAsia" w:ascii="宋体" w:eastAsia="宋体"/>
                                      <w:spacing w:val="-10"/>
                                      <w:sz w:val="21"/>
                                    </w:rPr>
                                    <w:t>等，结合企业自身实际进行分析研判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90"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rPr>
                                      <w:rFonts w:ascii="宋体"/>
                                      <w:sz w:val="20"/>
                                    </w:rPr>
                                  </w:pPr>
                                </w:p>
                                <w:p>
                                  <w:pPr>
                                    <w:pStyle w:val="24"/>
                                    <w:spacing w:before="141"/>
                                    <w:ind w:left="92" w:right="74"/>
                                    <w:jc w:val="center"/>
                                    <w:rPr>
                                      <w:rFonts w:ascii="宋体"/>
                                      <w:sz w:val="21"/>
                                    </w:rPr>
                                  </w:pPr>
                                  <w:r>
                                    <w:rPr>
                                      <w:rFonts w:ascii="宋体"/>
                                      <w:sz w:val="21"/>
                                    </w:rPr>
                                    <w:t>19</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spacing w:before="4"/>
                                    <w:rPr>
                                      <w:rFonts w:ascii="宋体"/>
                                      <w:sz w:val="20"/>
                                    </w:rPr>
                                  </w:pPr>
                                </w:p>
                                <w:p>
                                  <w:pPr>
                                    <w:pStyle w:val="24"/>
                                    <w:spacing w:line="242" w:lineRule="auto"/>
                                    <w:ind w:left="60" w:right="147"/>
                                    <w:rPr>
                                      <w:rFonts w:ascii="宋体" w:eastAsia="宋体"/>
                                      <w:sz w:val="21"/>
                                    </w:rPr>
                                  </w:pPr>
                                  <w:r>
                                    <w:rPr>
                                      <w:rFonts w:hint="eastAsia" w:ascii="宋体" w:eastAsia="宋体"/>
                                      <w:spacing w:val="-2"/>
                                      <w:w w:val="95"/>
                                      <w:sz w:val="21"/>
                                    </w:rPr>
                                    <w:t xml:space="preserve">明确企业内部预警条件，预警等级，预警信息发布 </w:t>
                                  </w:r>
                                  <w:r>
                                    <w:rPr>
                                      <w:rFonts w:hint="eastAsia" w:ascii="宋体" w:eastAsia="宋体"/>
                                      <w:spacing w:val="-2"/>
                                      <w:sz w:val="21"/>
                                    </w:rPr>
                                    <w:t>接收、调整、解除程序、发布内容、责任人</w:t>
                                  </w:r>
                                </w:p>
                              </w:tc>
                              <w:tc>
                                <w:tcPr>
                                  <w:tcW w:w="1276" w:type="dxa"/>
                                  <w:tcBorders>
                                    <w:top w:val="single" w:color="000000" w:sz="4" w:space="0"/>
                                    <w:left w:val="single" w:color="000000" w:sz="4" w:space="0"/>
                                    <w:bottom w:val="single" w:color="000000" w:sz="4" w:space="0"/>
                                    <w:right w:val="single" w:color="000000" w:sz="4" w:space="0"/>
                                  </w:tcBorders>
                                </w:tcPr>
                                <w:p>
                                  <w:pPr>
                                    <w:pStyle w:val="24"/>
                                    <w:rPr>
                                      <w:rFonts w:ascii="宋体"/>
                                      <w:sz w:val="34"/>
                                    </w:rPr>
                                  </w:pPr>
                                </w:p>
                                <w:p>
                                  <w:pPr>
                                    <w:pStyle w:val="24"/>
                                    <w:spacing w:before="224" w:line="156" w:lineRule="auto"/>
                                    <w:ind w:left="-158"/>
                                    <w:rPr>
                                      <w:rFonts w:ascii="宋体" w:hAnsi="宋体" w:eastAsia="宋体"/>
                                      <w:sz w:val="21"/>
                                    </w:rPr>
                                  </w:pPr>
                                  <w:r>
                                    <w:rPr>
                                      <w:rFonts w:hint="eastAsia" w:ascii="宋体" w:hAnsi="宋体" w:eastAsia="宋体"/>
                                      <w:position w:val="-13"/>
                                      <w:sz w:val="21"/>
                                    </w:rPr>
                                    <w:t>、</w:t>
                                  </w:r>
                                  <w:r>
                                    <w:rPr>
                                      <w:rFonts w:hint="eastAsia" w:ascii="宋体" w:hAnsi="宋体" w:eastAsia="宋体"/>
                                      <w:sz w:val="21"/>
                                    </w:rPr>
                                    <w:sym w:font="Wingdings 2" w:char="0052"/>
                                  </w:r>
                                  <w:r>
                                    <w:rPr>
                                      <w:rFonts w:hint="eastAsia" w:ascii="宋体" w:hAnsi="宋体" w:eastAsia="宋体"/>
                                      <w:sz w:val="21"/>
                                    </w:rPr>
                                    <w:t>符合</w:t>
                                  </w:r>
                                </w:p>
                                <w:p>
                                  <w:pPr>
                                    <w:pStyle w:val="24"/>
                                    <w:spacing w:line="201" w:lineRule="exact"/>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10"/>
                                    <w:rPr>
                                      <w:rFonts w:ascii="宋体"/>
                                      <w:sz w:val="17"/>
                                    </w:rPr>
                                  </w:pPr>
                                </w:p>
                                <w:p>
                                  <w:pPr>
                                    <w:pStyle w:val="24"/>
                                    <w:spacing w:line="242" w:lineRule="auto"/>
                                    <w:ind w:left="62" w:right="37"/>
                                    <w:rPr>
                                      <w:rFonts w:ascii="宋体" w:eastAsia="宋体"/>
                                      <w:sz w:val="21"/>
                                    </w:rPr>
                                  </w:pPr>
                                  <w:r>
                                    <w:rPr>
                                      <w:rFonts w:hint="eastAsia" w:ascii="宋体" w:eastAsia="宋体"/>
                                      <w:sz w:val="21"/>
                                    </w:rPr>
                                    <w:t>一般根据企业突发环境事件类型情景和自身的应急</w:t>
                                  </w:r>
                                  <w:r>
                                    <w:rPr>
                                      <w:rFonts w:hint="eastAsia" w:ascii="宋体" w:eastAsia="宋体"/>
                                      <w:spacing w:val="-10"/>
                                      <w:w w:val="95"/>
                                      <w:sz w:val="21"/>
                                    </w:rPr>
                                    <w:t xml:space="preserve">能力等，结合周边环境情况，确定预警等级，做到早 </w:t>
                                  </w:r>
                                  <w:r>
                                    <w:rPr>
                                      <w:rFonts w:hint="eastAsia" w:ascii="宋体" w:eastAsia="宋体"/>
                                      <w:spacing w:val="-10"/>
                                      <w:sz w:val="21"/>
                                    </w:rPr>
                                    <w:t>发现、早报告、早发布；</w:t>
                                  </w:r>
                                </w:p>
                                <w:p>
                                  <w:pPr>
                                    <w:pStyle w:val="24"/>
                                    <w:spacing w:before="1" w:line="242" w:lineRule="auto"/>
                                    <w:ind w:left="62" w:right="35"/>
                                    <w:jc w:val="both"/>
                                    <w:rPr>
                                      <w:rFonts w:ascii="宋体" w:eastAsia="宋体"/>
                                      <w:sz w:val="21"/>
                                    </w:rPr>
                                  </w:pPr>
                                  <w:r>
                                    <w:rPr>
                                      <w:rFonts w:hint="eastAsia" w:ascii="宋体" w:eastAsia="宋体"/>
                                      <w:spacing w:val="-6"/>
                                      <w:w w:val="95"/>
                                      <w:sz w:val="21"/>
                                    </w:rPr>
                                    <w:t xml:space="preserve">红色预警一般为企业自身力量难以应对；橙色预警一 </w:t>
                                  </w:r>
                                  <w:r>
                                    <w:rPr>
                                      <w:rFonts w:hint="eastAsia" w:ascii="宋体" w:eastAsia="宋体"/>
                                      <w:spacing w:val="3"/>
                                      <w:w w:val="95"/>
                                      <w:sz w:val="21"/>
                                    </w:rPr>
                                    <w:t xml:space="preserve">般为企业需要调集内部绝大部分力量参与应对；黄 </w:t>
                                  </w:r>
                                  <w:r>
                                    <w:rPr>
                                      <w:rFonts w:hint="eastAsia" w:ascii="宋体" w:eastAsia="宋体"/>
                                      <w:sz w:val="21"/>
                                    </w:rPr>
                                    <w:t>色、蓝色预警根据企业实际需求确定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7" w:hRule="atLeast"/>
                              </w:trPr>
                              <w:tc>
                                <w:tcPr>
                                  <w:tcW w:w="1134" w:type="dxa"/>
                                  <w:tcBorders>
                                    <w:top w:val="single" w:color="000000" w:sz="4" w:space="0"/>
                                    <w:bottom w:val="single" w:color="000000" w:sz="4" w:space="0"/>
                                    <w:right w:val="single" w:color="000000" w:sz="4" w:space="0"/>
                                  </w:tcBorders>
                                </w:tcPr>
                                <w:p>
                                  <w:pPr>
                                    <w:pStyle w:val="24"/>
                                    <w:rPr>
                                      <w:rFonts w:ascii="宋体"/>
                                      <w:sz w:val="20"/>
                                    </w:rPr>
                                  </w:pPr>
                                </w:p>
                                <w:p>
                                  <w:pPr>
                                    <w:pStyle w:val="24"/>
                                    <w:spacing w:before="152"/>
                                    <w:ind w:left="146"/>
                                    <w:rPr>
                                      <w:rFonts w:ascii="宋体" w:eastAsia="宋体"/>
                                      <w:sz w:val="21"/>
                                    </w:rPr>
                                  </w:pPr>
                                  <w:r>
                                    <w:rPr>
                                      <w:rFonts w:hint="eastAsia" w:ascii="宋体" w:eastAsia="宋体"/>
                                      <w:sz w:val="21"/>
                                    </w:rPr>
                                    <w:t>信息报告</w:t>
                                  </w: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152"/>
                                    <w:ind w:left="92" w:right="74"/>
                                    <w:jc w:val="center"/>
                                    <w:rPr>
                                      <w:rFonts w:ascii="宋体"/>
                                      <w:sz w:val="21"/>
                                    </w:rPr>
                                  </w:pPr>
                                  <w:r>
                                    <w:rPr>
                                      <w:rFonts w:ascii="宋体"/>
                                      <w:sz w:val="21"/>
                                    </w:rPr>
                                    <w:t>20</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137" w:line="242" w:lineRule="auto"/>
                                    <w:ind w:left="60" w:right="128"/>
                                    <w:jc w:val="both"/>
                                    <w:rPr>
                                      <w:rFonts w:ascii="宋体" w:eastAsia="宋体"/>
                                      <w:sz w:val="21"/>
                                    </w:rPr>
                                  </w:pPr>
                                  <w:r>
                                    <w:rPr>
                                      <w:rFonts w:hint="eastAsia" w:ascii="宋体" w:eastAsia="宋体"/>
                                      <w:spacing w:val="-2"/>
                                      <w:sz w:val="21"/>
                                    </w:rPr>
                                    <w:t>明确企业内部事件信息传递的责任人、程序、时限</w:t>
                                  </w:r>
                                  <w:r>
                                    <w:rPr>
                                      <w:rFonts w:hint="eastAsia" w:ascii="宋体" w:eastAsia="宋体"/>
                                      <w:spacing w:val="-2"/>
                                      <w:w w:val="95"/>
                                      <w:sz w:val="21"/>
                                    </w:rPr>
                                    <w:t xml:space="preserve">方式、内容等，包括向协议应急救援单位传递信息 </w:t>
                                  </w:r>
                                  <w:r>
                                    <w:rPr>
                                      <w:rFonts w:hint="eastAsia" w:ascii="宋体" w:eastAsia="宋体"/>
                                      <w:spacing w:val="-2"/>
                                      <w:sz w:val="21"/>
                                    </w:rPr>
                                    <w:t>的方式方法</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37"/>
                                    <w:ind w:left="-158"/>
                                    <w:rPr>
                                      <w:rFonts w:ascii="宋体" w:hAnsi="宋体" w:eastAsia="宋体"/>
                                      <w:sz w:val="21"/>
                                    </w:rPr>
                                  </w:pP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line="242" w:lineRule="auto"/>
                                    <w:ind w:left="62" w:right="35"/>
                                    <w:rPr>
                                      <w:rFonts w:ascii="宋体" w:eastAsia="宋体"/>
                                      <w:sz w:val="21"/>
                                    </w:rPr>
                                  </w:pPr>
                                  <w:r>
                                    <w:rPr>
                                      <w:rFonts w:hint="eastAsia" w:ascii="宋体" w:eastAsia="宋体"/>
                                      <w:spacing w:val="3"/>
                                      <w:w w:val="95"/>
                                      <w:sz w:val="21"/>
                                    </w:rPr>
                                    <w:t xml:space="preserve">从事件第一发现人至事件指挥人之间信息传递的方 </w:t>
                                  </w:r>
                                  <w:r>
                                    <w:rPr>
                                      <w:rFonts w:hint="eastAsia" w:ascii="宋体" w:eastAsia="宋体"/>
                                      <w:sz w:val="21"/>
                                    </w:rPr>
                                    <w:t>式、方法及内容，内容一般包括事件的时间、地点</w:t>
                                  </w:r>
                                  <w:r>
                                    <w:rPr>
                                      <w:rFonts w:hint="eastAsia" w:ascii="宋体" w:eastAsia="宋体"/>
                                      <w:spacing w:val="-11"/>
                                      <w:w w:val="95"/>
                                      <w:sz w:val="21"/>
                                    </w:rPr>
                                    <w:t>涉及物质、简要经过、已造成或者可能造成的污染情</w:t>
                                  </w:r>
                                </w:p>
                                <w:p>
                                  <w:pPr>
                                    <w:pStyle w:val="24"/>
                                    <w:spacing w:before="3" w:line="248" w:lineRule="exact"/>
                                    <w:ind w:left="62"/>
                                    <w:rPr>
                                      <w:rFonts w:ascii="宋体" w:eastAsia="宋体"/>
                                      <w:sz w:val="21"/>
                                    </w:rPr>
                                  </w:pPr>
                                  <w:r>
                                    <w:rPr>
                                      <w:rFonts w:hint="eastAsia" w:ascii="宋体" w:eastAsia="宋体"/>
                                      <w:sz w:val="21"/>
                                    </w:rPr>
                                    <w:t>况、已采取的措施等</w:t>
                                  </w:r>
                                </w:p>
                              </w:tc>
                            </w:tr>
                          </w:tbl>
                          <w:p>
                            <w:pPr>
                              <w:pStyle w:val="10"/>
                            </w:pPr>
                          </w:p>
                        </w:txbxContent>
                      </wps:txbx>
                      <wps:bodyPr lIns="0" tIns="0" rIns="0" bIns="0" upright="1"/>
                    </wps:wsp>
                  </a:graphicData>
                </a:graphic>
              </wp:anchor>
            </w:drawing>
          </mc:Choice>
          <mc:Fallback>
            <w:pict>
              <v:shape id="文本框 31" o:spid="_x0000_s1026" o:spt="202" type="#_x0000_t202" style="position:absolute;left:0pt;margin-left:75.9pt;margin-top:56.35pt;height:465.6pt;width:690.5pt;mso-position-horizontal-relative:page;mso-position-vertical-relative:page;z-index:251684864;mso-width-relative:page;mso-height-relative:page;" filled="f" stroked="f" coordsize="21600,21600" o:gfxdata="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FkO+raAAAADQEAAA8AAAAAAAAAAQAgAAAAIgAAAGRycy9kb3ducmV2Lnht&#10;bFBLAQIUABQAAAAIAIdO4kBKaTkevgEAAHUDAAAOAAAAAAAAAAEAIAAAACkBAABkcnMvZTJvRG9j&#10;LnhtbFBLBQYAAAAABgAGAFkBAABZBQAAAAA=&#10;">
                <v:fill on="f" focussize="0,0"/>
                <v:stroke on="f"/>
                <v:imagedata o:title=""/>
                <o:lock v:ext="edit" aspectratio="f"/>
                <v:textbox inset="0mm,0mm,0mm,0mm">
                  <w:txbxContent>
                    <w:tbl>
                      <w:tblPr>
                        <w:tblStyle w:val="1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34"/>
                        <w:gridCol w:w="426"/>
                        <w:gridCol w:w="4819"/>
                        <w:gridCol w:w="1276"/>
                        <w:gridCol w:w="607"/>
                        <w:gridCol w:w="669"/>
                        <w:gridCol w:w="48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1134" w:type="dxa"/>
                            <w:vMerge w:val="restart"/>
                            <w:tcBorders>
                              <w:bottom w:val="single" w:color="000000" w:sz="4" w:space="0"/>
                              <w:right w:val="single" w:color="000000" w:sz="4" w:space="0"/>
                            </w:tcBorders>
                          </w:tcPr>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spacing w:before="9"/>
                              <w:rPr>
                                <w:rFonts w:ascii="宋体"/>
                                <w:sz w:val="15"/>
                              </w:rPr>
                            </w:pPr>
                          </w:p>
                          <w:p>
                            <w:pPr>
                              <w:pStyle w:val="24"/>
                              <w:spacing w:line="244" w:lineRule="auto"/>
                              <w:ind w:left="355" w:right="132" w:hanging="209"/>
                              <w:rPr>
                                <w:rFonts w:ascii="宋体" w:eastAsia="宋体"/>
                                <w:sz w:val="21"/>
                              </w:rPr>
                            </w:pPr>
                            <w:r>
                              <w:rPr>
                                <w:rFonts w:hint="eastAsia" w:ascii="宋体" w:eastAsia="宋体"/>
                                <w:sz w:val="21"/>
                              </w:rPr>
                              <w:t>组织指挥机制</w:t>
                            </w:r>
                          </w:p>
                        </w:tc>
                        <w:tc>
                          <w:tcPr>
                            <w:tcW w:w="426" w:type="dxa"/>
                            <w:tcBorders>
                              <w:left w:val="single" w:color="000000" w:sz="4" w:space="0"/>
                              <w:bottom w:val="single" w:color="000000" w:sz="4" w:space="0"/>
                              <w:right w:val="single" w:color="000000" w:sz="4" w:space="0"/>
                            </w:tcBorders>
                          </w:tcPr>
                          <w:p>
                            <w:pPr>
                              <w:pStyle w:val="24"/>
                              <w:rPr>
                                <w:rFonts w:ascii="宋体"/>
                                <w:sz w:val="20"/>
                              </w:rPr>
                            </w:pPr>
                          </w:p>
                          <w:p>
                            <w:pPr>
                              <w:pStyle w:val="24"/>
                              <w:spacing w:before="5"/>
                              <w:rPr>
                                <w:rFonts w:ascii="宋体"/>
                                <w:sz w:val="20"/>
                              </w:rPr>
                            </w:pPr>
                          </w:p>
                          <w:p>
                            <w:pPr>
                              <w:pStyle w:val="24"/>
                              <w:ind w:left="92" w:right="74"/>
                              <w:jc w:val="center"/>
                              <w:rPr>
                                <w:rFonts w:ascii="宋体"/>
                                <w:sz w:val="21"/>
                              </w:rPr>
                            </w:pPr>
                            <w:r>
                              <w:rPr>
                                <w:rFonts w:ascii="宋体"/>
                                <w:sz w:val="21"/>
                              </w:rPr>
                              <w:t>14</w:t>
                            </w:r>
                          </w:p>
                        </w:tc>
                        <w:tc>
                          <w:tcPr>
                            <w:tcW w:w="4819" w:type="dxa"/>
                            <w:tcBorders>
                              <w:left w:val="single" w:color="000000" w:sz="4" w:space="0"/>
                              <w:bottom w:val="single" w:color="000000" w:sz="4" w:space="0"/>
                              <w:right w:val="single" w:color="000000" w:sz="4" w:space="0"/>
                            </w:tcBorders>
                          </w:tcPr>
                          <w:p>
                            <w:pPr>
                              <w:pStyle w:val="24"/>
                              <w:spacing w:before="9"/>
                              <w:rPr>
                                <w:rFonts w:ascii="宋体"/>
                                <w:sz w:val="29"/>
                              </w:rPr>
                            </w:pPr>
                          </w:p>
                          <w:p>
                            <w:pPr>
                              <w:pStyle w:val="24"/>
                              <w:spacing w:line="242" w:lineRule="auto"/>
                              <w:ind w:left="60" w:right="128"/>
                              <w:rPr>
                                <w:rFonts w:ascii="宋体" w:eastAsia="宋体"/>
                                <w:sz w:val="21"/>
                              </w:rPr>
                            </w:pPr>
                            <w:r>
                              <w:rPr>
                                <w:rFonts w:hint="eastAsia" w:ascii="宋体" w:eastAsia="宋体"/>
                                <w:w w:val="95"/>
                                <w:sz w:val="21"/>
                              </w:rPr>
                              <w:t xml:space="preserve">明确应急状态下指挥运行机制，建立统一的应急指 </w:t>
                            </w:r>
                            <w:r>
                              <w:rPr>
                                <w:rFonts w:hint="eastAsia" w:ascii="宋体" w:eastAsia="宋体"/>
                                <w:sz w:val="21"/>
                              </w:rPr>
                              <w:t>挥、协调和决策程序</w:t>
                            </w:r>
                          </w:p>
                        </w:tc>
                        <w:tc>
                          <w:tcPr>
                            <w:tcW w:w="1276" w:type="dxa"/>
                            <w:tcBorders>
                              <w:left w:val="single" w:color="000000" w:sz="4" w:space="0"/>
                              <w:bottom w:val="single" w:color="000000" w:sz="4" w:space="0"/>
                              <w:right w:val="single" w:color="000000" w:sz="4" w:space="0"/>
                            </w:tcBorders>
                          </w:tcPr>
                          <w:p>
                            <w:pPr>
                              <w:pStyle w:val="24"/>
                              <w:rPr>
                                <w:rFonts w:ascii="宋体"/>
                                <w:sz w:val="19"/>
                              </w:rPr>
                            </w:pPr>
                          </w:p>
                          <w:p>
                            <w:pPr>
                              <w:pStyle w:val="24"/>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3"/>
                              <w:ind w:left="60"/>
                              <w:rPr>
                                <w:rFonts w:ascii="宋体" w:hAnsi="宋体" w:eastAsia="宋体"/>
                                <w:sz w:val="21"/>
                              </w:rPr>
                            </w:pPr>
                            <w:r>
                              <w:rPr>
                                <w:rFonts w:hint="eastAsia" w:ascii="宋体" w:hAnsi="宋体" w:eastAsia="宋体"/>
                                <w:sz w:val="21"/>
                              </w:rPr>
                              <w:t>□部分符合</w:t>
                            </w:r>
                          </w:p>
                          <w:p>
                            <w:pPr>
                              <w:pStyle w:val="24"/>
                              <w:spacing w:before="4"/>
                              <w:ind w:left="60"/>
                              <w:rPr>
                                <w:rFonts w:ascii="宋体" w:hAnsi="宋体" w:eastAsia="宋体"/>
                                <w:sz w:val="21"/>
                              </w:rPr>
                            </w:pPr>
                            <w:r>
                              <w:rPr>
                                <w:rFonts w:hint="eastAsia" w:ascii="宋体" w:hAnsi="宋体" w:eastAsia="宋体"/>
                                <w:sz w:val="21"/>
                              </w:rPr>
                              <w:t>□不符合</w:t>
                            </w:r>
                          </w:p>
                        </w:tc>
                        <w:tc>
                          <w:tcPr>
                            <w:tcW w:w="607" w:type="dxa"/>
                            <w:tcBorders>
                              <w:left w:val="single" w:color="000000" w:sz="4" w:space="0"/>
                              <w:bottom w:val="single" w:color="000000" w:sz="4" w:space="0"/>
                              <w:right w:val="single" w:color="000000" w:sz="4" w:space="0"/>
                            </w:tcBorders>
                          </w:tcPr>
                          <w:p>
                            <w:pPr>
                              <w:pStyle w:val="24"/>
                              <w:rPr>
                                <w:rFonts w:ascii="Times New Roman"/>
                                <w:sz w:val="20"/>
                              </w:rPr>
                            </w:pPr>
                          </w:p>
                        </w:tc>
                        <w:tc>
                          <w:tcPr>
                            <w:tcW w:w="669" w:type="dxa"/>
                            <w:tcBorders>
                              <w:left w:val="single" w:color="000000" w:sz="4" w:space="0"/>
                              <w:bottom w:val="single" w:color="000000" w:sz="4" w:space="0"/>
                              <w:right w:val="single" w:color="000000" w:sz="4" w:space="0"/>
                            </w:tcBorders>
                          </w:tcPr>
                          <w:p>
                            <w:pPr>
                              <w:pStyle w:val="24"/>
                              <w:rPr>
                                <w:rFonts w:ascii="Times New Roman"/>
                                <w:sz w:val="20"/>
                              </w:rPr>
                            </w:pPr>
                          </w:p>
                        </w:tc>
                        <w:tc>
                          <w:tcPr>
                            <w:tcW w:w="4850" w:type="dxa"/>
                            <w:tcBorders>
                              <w:left w:val="single" w:color="000000" w:sz="4" w:space="0"/>
                              <w:bottom w:val="single" w:color="000000" w:sz="4" w:space="0"/>
                            </w:tcBorders>
                          </w:tcPr>
                          <w:p>
                            <w:pPr>
                              <w:pStyle w:val="24"/>
                              <w:spacing w:before="107" w:line="242" w:lineRule="auto"/>
                              <w:ind w:left="62" w:right="37"/>
                              <w:rPr>
                                <w:rFonts w:ascii="宋体" w:eastAsia="宋体"/>
                                <w:sz w:val="21"/>
                              </w:rPr>
                            </w:pPr>
                            <w:r>
                              <w:rPr>
                                <w:rFonts w:hint="eastAsia" w:ascii="宋体" w:eastAsia="宋体"/>
                                <w:spacing w:val="-10"/>
                                <w:w w:val="95"/>
                                <w:sz w:val="21"/>
                              </w:rPr>
                              <w:t xml:space="preserve">指挥运行机制，指的是总指挥与各行动小组相互作用 </w:t>
                            </w:r>
                            <w:r>
                              <w:rPr>
                                <w:rFonts w:hint="eastAsia" w:ascii="宋体" w:eastAsia="宋体"/>
                                <w:spacing w:val="-10"/>
                                <w:sz w:val="21"/>
                              </w:rPr>
                              <w:t>的程序和方式，能够对突发环境事件状态进行评估</w:t>
                            </w:r>
                            <w:r>
                              <w:rPr>
                                <w:rFonts w:hint="eastAsia" w:ascii="宋体" w:eastAsia="宋体"/>
                                <w:spacing w:val="-15"/>
                                <w:w w:val="95"/>
                                <w:sz w:val="21"/>
                              </w:rPr>
                              <w:t xml:space="preserve">迅速有效进行应急响应决策，指挥和协调各行动小组 </w:t>
                            </w:r>
                            <w:r>
                              <w:rPr>
                                <w:rFonts w:hint="eastAsia" w:ascii="宋体" w:eastAsia="宋体"/>
                                <w:spacing w:val="-15"/>
                                <w:sz w:val="21"/>
                              </w:rPr>
                              <w:t>活动，合理高效地调配和使用应急资源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55"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5"/>
                              <w:rPr>
                                <w:rFonts w:ascii="宋体"/>
                                <w:sz w:val="14"/>
                              </w:rPr>
                            </w:pPr>
                          </w:p>
                          <w:p>
                            <w:pPr>
                              <w:pStyle w:val="24"/>
                              <w:ind w:left="92" w:right="74"/>
                              <w:jc w:val="center"/>
                              <w:rPr>
                                <w:rFonts w:ascii="宋体"/>
                                <w:sz w:val="21"/>
                              </w:rPr>
                            </w:pPr>
                            <w:r>
                              <w:rPr>
                                <w:rFonts w:ascii="宋体"/>
                                <w:sz w:val="21"/>
                              </w:rPr>
                              <w:t>15</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170" w:line="242" w:lineRule="auto"/>
                              <w:ind w:left="60" w:right="128"/>
                              <w:jc w:val="both"/>
                              <w:rPr>
                                <w:rFonts w:ascii="宋体" w:eastAsia="宋体"/>
                                <w:sz w:val="21"/>
                              </w:rPr>
                            </w:pPr>
                            <w:r>
                              <w:rPr>
                                <w:rFonts w:hint="eastAsia" w:ascii="宋体" w:eastAsia="宋体"/>
                                <w:w w:val="95"/>
                                <w:sz w:val="21"/>
                              </w:rPr>
                              <w:t xml:space="preserve">根据突发环境事件的危害程度、影响范围、周边环 境敏感点、企业应急响应能力等，建立分级应急响 </w:t>
                            </w:r>
                            <w:r>
                              <w:rPr>
                                <w:rFonts w:hint="eastAsia" w:ascii="宋体" w:eastAsia="宋体"/>
                                <w:sz w:val="21"/>
                              </w:rPr>
                              <w:t>应机制，明确不同应急响应级别对应的指挥权限</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70"/>
                              <w:ind w:left="60"/>
                              <w:rPr>
                                <w:rFonts w:ascii="宋体" w:hAnsi="宋体" w:eastAsia="宋体"/>
                                <w:sz w:val="21"/>
                              </w:rPr>
                            </w:pP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170" w:line="242" w:lineRule="auto"/>
                              <w:ind w:left="62" w:right="37"/>
                              <w:rPr>
                                <w:rFonts w:ascii="宋体" w:eastAsia="宋体"/>
                                <w:sz w:val="21"/>
                              </w:rPr>
                            </w:pPr>
                            <w:r>
                              <w:rPr>
                                <w:rFonts w:hint="eastAsia" w:ascii="宋体" w:eastAsia="宋体"/>
                                <w:spacing w:val="-6"/>
                                <w:w w:val="95"/>
                                <w:sz w:val="21"/>
                              </w:rPr>
                              <w:t xml:space="preserve">例如有的企业将环境应急分为车间级、企业级、社会 </w:t>
                            </w:r>
                            <w:r>
                              <w:rPr>
                                <w:rFonts w:hint="eastAsia" w:ascii="宋体" w:eastAsia="宋体"/>
                                <w:spacing w:val="-16"/>
                                <w:sz w:val="21"/>
                              </w:rPr>
                              <w:t>级，明确相应的指挥权限：车间负责人、企业负责人接受当地政府统一指挥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0"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8"/>
                              <w:rPr>
                                <w:rFonts w:ascii="宋体"/>
                                <w:sz w:val="29"/>
                              </w:rPr>
                            </w:pPr>
                          </w:p>
                          <w:p>
                            <w:pPr>
                              <w:pStyle w:val="24"/>
                              <w:ind w:left="92" w:right="74"/>
                              <w:jc w:val="center"/>
                              <w:rPr>
                                <w:rFonts w:ascii="宋体"/>
                                <w:sz w:val="21"/>
                              </w:rPr>
                            </w:pPr>
                            <w:r>
                              <w:rPr>
                                <w:rFonts w:ascii="宋体"/>
                                <w:sz w:val="21"/>
                              </w:rPr>
                              <w:t>16</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106" w:line="242" w:lineRule="auto"/>
                              <w:ind w:left="60" w:right="128"/>
                              <w:jc w:val="both"/>
                              <w:rPr>
                                <w:rFonts w:ascii="宋体" w:eastAsia="宋体"/>
                                <w:sz w:val="21"/>
                              </w:rPr>
                            </w:pPr>
                            <w:r>
                              <w:rPr>
                                <w:rFonts w:hint="eastAsia" w:ascii="宋体" w:eastAsia="宋体"/>
                                <w:w w:val="95"/>
                                <w:sz w:val="21"/>
                              </w:rPr>
                              <w:t xml:space="preserve">说明企业与政府及其有关部门之间的关系。明确政 府及其有关部门介入后，企业内部指挥协调、配合 </w:t>
                            </w:r>
                            <w:r>
                              <w:rPr>
                                <w:rFonts w:hint="eastAsia" w:ascii="宋体" w:eastAsia="宋体"/>
                                <w:sz w:val="21"/>
                              </w:rPr>
                              <w:t>处置、参与应急保障等工作任务和责任人</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06"/>
                              <w:ind w:left="60"/>
                              <w:rPr>
                                <w:rFonts w:ascii="宋体" w:hAnsi="宋体" w:eastAsia="宋体"/>
                                <w:sz w:val="21"/>
                              </w:rPr>
                            </w:pPr>
                            <w:r>
                              <w:rPr>
                                <w:rFonts w:hint="eastAsia" w:ascii="宋体" w:hAnsi="宋体" w:eastAsia="宋体"/>
                                <w:sz w:val="21"/>
                              </w:rPr>
                              <w:t>□符合</w:t>
                            </w:r>
                          </w:p>
                          <w:p>
                            <w:pPr>
                              <w:pStyle w:val="24"/>
                              <w:spacing w:before="5"/>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12"/>
                              <w:rPr>
                                <w:rFonts w:ascii="宋体"/>
                                <w:sz w:val="18"/>
                              </w:rPr>
                            </w:pPr>
                          </w:p>
                          <w:p>
                            <w:pPr>
                              <w:pStyle w:val="24"/>
                              <w:spacing w:line="242" w:lineRule="auto"/>
                              <w:ind w:left="62" w:right="37"/>
                              <w:rPr>
                                <w:rFonts w:ascii="宋体" w:eastAsia="宋体"/>
                                <w:sz w:val="21"/>
                              </w:rPr>
                            </w:pPr>
                            <w:r>
                              <w:rPr>
                                <w:rFonts w:hint="eastAsia" w:ascii="宋体" w:eastAsia="宋体"/>
                                <w:spacing w:val="-7"/>
                                <w:w w:val="95"/>
                                <w:sz w:val="21"/>
                              </w:rPr>
                              <w:t xml:space="preserve">例如政府及其有关部门介入后，环境应急指挥权的移 </w:t>
                            </w:r>
                            <w:r>
                              <w:rPr>
                                <w:rFonts w:hint="eastAsia" w:ascii="宋体" w:eastAsia="宋体"/>
                                <w:spacing w:val="-7"/>
                                <w:sz w:val="21"/>
                              </w:rPr>
                              <w:t>交及企业内部的调整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53" w:hRule="atLeast"/>
                        </w:trPr>
                        <w:tc>
                          <w:tcPr>
                            <w:tcW w:w="1134" w:type="dxa"/>
                            <w:vMerge w:val="restart"/>
                            <w:tcBorders>
                              <w:top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spacing w:before="148"/>
                              <w:ind w:left="146"/>
                              <w:rPr>
                                <w:rFonts w:ascii="宋体" w:eastAsia="宋体"/>
                                <w:sz w:val="21"/>
                              </w:rPr>
                            </w:pPr>
                            <w:r>
                              <w:rPr>
                                <w:rFonts w:hint="eastAsia" w:ascii="宋体" w:eastAsia="宋体"/>
                                <w:sz w:val="21"/>
                              </w:rPr>
                              <w:t>监测预警</w:t>
                            </w: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6"/>
                              <w:rPr>
                                <w:rFonts w:ascii="宋体"/>
                                <w:sz w:val="14"/>
                              </w:rPr>
                            </w:pPr>
                          </w:p>
                          <w:p>
                            <w:pPr>
                              <w:pStyle w:val="24"/>
                              <w:ind w:left="92" w:right="74"/>
                              <w:jc w:val="center"/>
                              <w:rPr>
                                <w:rFonts w:ascii="宋体"/>
                                <w:sz w:val="21"/>
                              </w:rPr>
                            </w:pPr>
                            <w:r>
                              <w:rPr>
                                <w:rFonts w:ascii="宋体"/>
                                <w:sz w:val="21"/>
                              </w:rPr>
                              <w:t>17</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6"/>
                              <w:rPr>
                                <w:rFonts w:ascii="宋体"/>
                                <w:sz w:val="14"/>
                              </w:rPr>
                            </w:pPr>
                          </w:p>
                          <w:p>
                            <w:pPr>
                              <w:pStyle w:val="24"/>
                              <w:ind w:left="60"/>
                              <w:rPr>
                                <w:rFonts w:ascii="宋体" w:eastAsia="宋体"/>
                                <w:sz w:val="21"/>
                              </w:rPr>
                            </w:pPr>
                            <w:r>
                              <w:rPr>
                                <w:rFonts w:hint="eastAsia" w:ascii="宋体" w:eastAsia="宋体"/>
                                <w:sz w:val="21"/>
                              </w:rPr>
                              <w:t>建立企业内部监控预警方案</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68"/>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4"/>
                              <w:ind w:left="60"/>
                              <w:rPr>
                                <w:rFonts w:ascii="宋体" w:hAnsi="宋体" w:eastAsia="宋体"/>
                                <w:sz w:val="21"/>
                              </w:rPr>
                            </w:pPr>
                            <w:r>
                              <w:rPr>
                                <w:rFonts w:hint="eastAsia" w:ascii="宋体" w:hAnsi="宋体" w:eastAsia="宋体"/>
                                <w:sz w:val="21"/>
                              </w:rPr>
                              <w:t>□部分符合</w:t>
                            </w:r>
                          </w:p>
                          <w:p>
                            <w:pPr>
                              <w:pStyle w:val="24"/>
                              <w:spacing w:before="3"/>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168" w:line="242" w:lineRule="auto"/>
                              <w:ind w:left="62" w:right="37"/>
                              <w:jc w:val="both"/>
                              <w:rPr>
                                <w:rFonts w:ascii="宋体" w:eastAsia="宋体"/>
                                <w:sz w:val="21"/>
                              </w:rPr>
                            </w:pPr>
                            <w:r>
                              <w:rPr>
                                <w:rFonts w:hint="eastAsia" w:ascii="宋体" w:eastAsia="宋体"/>
                                <w:spacing w:val="-7"/>
                                <w:w w:val="95"/>
                                <w:sz w:val="21"/>
                              </w:rPr>
                              <w:t xml:space="preserve">根据企业可能面临事件情景，结合事件危害程度、紧 </w:t>
                            </w:r>
                            <w:r>
                              <w:rPr>
                                <w:rFonts w:hint="eastAsia" w:ascii="宋体" w:eastAsia="宋体"/>
                                <w:spacing w:val="-12"/>
                                <w:w w:val="95"/>
                                <w:sz w:val="21"/>
                              </w:rPr>
                              <w:t xml:space="preserve">急程度和发展态势，对企业内部预警级别、预警发布 </w:t>
                            </w:r>
                            <w:r>
                              <w:rPr>
                                <w:rFonts w:hint="eastAsia" w:ascii="宋体" w:eastAsia="宋体"/>
                                <w:spacing w:val="-12"/>
                                <w:sz w:val="21"/>
                              </w:rPr>
                              <w:t>与解除、预警措施进行总体安排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6"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2"/>
                              <w:rPr>
                                <w:rFonts w:ascii="宋体"/>
                                <w:sz w:val="24"/>
                              </w:rPr>
                            </w:pPr>
                          </w:p>
                          <w:p>
                            <w:pPr>
                              <w:pStyle w:val="24"/>
                              <w:spacing w:before="1"/>
                              <w:ind w:left="92" w:right="74"/>
                              <w:jc w:val="center"/>
                              <w:rPr>
                                <w:rFonts w:ascii="宋体"/>
                                <w:sz w:val="21"/>
                              </w:rPr>
                            </w:pPr>
                            <w:r>
                              <w:rPr>
                                <w:rFonts w:ascii="宋体"/>
                                <w:sz w:val="21"/>
                              </w:rPr>
                              <w:t>18</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2"/>
                              <w:rPr>
                                <w:rFonts w:ascii="宋体"/>
                                <w:sz w:val="24"/>
                              </w:rPr>
                            </w:pPr>
                          </w:p>
                          <w:p>
                            <w:pPr>
                              <w:pStyle w:val="24"/>
                              <w:spacing w:before="1"/>
                              <w:ind w:left="60"/>
                              <w:rPr>
                                <w:rFonts w:ascii="宋体" w:eastAsia="宋体"/>
                                <w:sz w:val="21"/>
                              </w:rPr>
                            </w:pPr>
                            <w:r>
                              <w:rPr>
                                <w:rFonts w:hint="eastAsia" w:ascii="宋体" w:eastAsia="宋体"/>
                                <w:sz w:val="21"/>
                              </w:rPr>
                              <w:t>明确监控信息的获得途径和分析研判的方式方法</w:t>
                            </w:r>
                          </w:p>
                        </w:tc>
                        <w:tc>
                          <w:tcPr>
                            <w:tcW w:w="1276" w:type="dxa"/>
                            <w:tcBorders>
                              <w:top w:val="single" w:color="000000" w:sz="4" w:space="0"/>
                              <w:left w:val="single" w:color="000000" w:sz="4" w:space="0"/>
                              <w:bottom w:val="single" w:color="000000" w:sz="4" w:space="0"/>
                              <w:right w:val="single" w:color="000000" w:sz="4" w:space="0"/>
                            </w:tcBorders>
                          </w:tcPr>
                          <w:p>
                            <w:pPr>
                              <w:pStyle w:val="24"/>
                              <w:rPr>
                                <w:rFonts w:ascii="宋体"/>
                                <w:sz w:val="23"/>
                              </w:rPr>
                            </w:pPr>
                          </w:p>
                          <w:p>
                            <w:pPr>
                              <w:pStyle w:val="24"/>
                              <w:ind w:left="60"/>
                              <w:rPr>
                                <w:rFonts w:ascii="宋体" w:hAnsi="宋体" w:eastAsia="宋体"/>
                                <w:sz w:val="21"/>
                              </w:rPr>
                            </w:pPr>
                            <w:r>
                              <w:rPr>
                                <w:rFonts w:hint="eastAsia" w:ascii="宋体" w:hAnsi="宋体" w:eastAsia="宋体"/>
                                <w:sz w:val="21"/>
                              </w:rPr>
                              <w:t>□符合</w:t>
                            </w:r>
                          </w:p>
                          <w:p>
                            <w:pPr>
                              <w:pStyle w:val="24"/>
                              <w:spacing w:before="3"/>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4"/>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158" w:line="244" w:lineRule="auto"/>
                              <w:ind w:left="62" w:right="37"/>
                              <w:rPr>
                                <w:rFonts w:ascii="宋体" w:eastAsia="宋体"/>
                                <w:sz w:val="21"/>
                              </w:rPr>
                            </w:pPr>
                            <w:r>
                              <w:rPr>
                                <w:rFonts w:hint="eastAsia" w:ascii="宋体" w:eastAsia="宋体"/>
                                <w:spacing w:val="-7"/>
                                <w:w w:val="95"/>
                                <w:sz w:val="21"/>
                              </w:rPr>
                              <w:t xml:space="preserve">监控信息的获得途径，例如极端天气等自然灾害、生 </w:t>
                            </w:r>
                            <w:r>
                              <w:rPr>
                                <w:rFonts w:hint="eastAsia" w:ascii="宋体" w:eastAsia="宋体"/>
                                <w:spacing w:val="-7"/>
                                <w:sz w:val="21"/>
                              </w:rPr>
                              <w:t>产安全事故等事故灾难、相关监控监测信息等；</w:t>
                            </w:r>
                          </w:p>
                          <w:p>
                            <w:pPr>
                              <w:pStyle w:val="24"/>
                              <w:spacing w:line="244" w:lineRule="auto"/>
                              <w:ind w:left="62" w:right="37"/>
                              <w:rPr>
                                <w:rFonts w:ascii="宋体" w:eastAsia="宋体"/>
                                <w:sz w:val="21"/>
                              </w:rPr>
                            </w:pPr>
                            <w:r>
                              <w:rPr>
                                <w:rFonts w:hint="eastAsia" w:ascii="宋体" w:eastAsia="宋体"/>
                                <w:spacing w:val="-10"/>
                                <w:w w:val="95"/>
                                <w:sz w:val="21"/>
                              </w:rPr>
                              <w:t xml:space="preserve">分析研判的方式方法，例如根据相关信息和应急能力 </w:t>
                            </w:r>
                            <w:r>
                              <w:rPr>
                                <w:rFonts w:hint="eastAsia" w:ascii="宋体" w:eastAsia="宋体"/>
                                <w:spacing w:val="-10"/>
                                <w:sz w:val="21"/>
                              </w:rPr>
                              <w:t>等，结合企业自身实际进行分析研判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90"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rPr>
                                <w:rFonts w:ascii="宋体"/>
                                <w:sz w:val="20"/>
                              </w:rPr>
                            </w:pPr>
                          </w:p>
                          <w:p>
                            <w:pPr>
                              <w:pStyle w:val="24"/>
                              <w:spacing w:before="141"/>
                              <w:ind w:left="92" w:right="74"/>
                              <w:jc w:val="center"/>
                              <w:rPr>
                                <w:rFonts w:ascii="宋体"/>
                                <w:sz w:val="21"/>
                              </w:rPr>
                            </w:pPr>
                            <w:r>
                              <w:rPr>
                                <w:rFonts w:ascii="宋体"/>
                                <w:sz w:val="21"/>
                              </w:rPr>
                              <w:t>19</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spacing w:before="4"/>
                              <w:rPr>
                                <w:rFonts w:ascii="宋体"/>
                                <w:sz w:val="20"/>
                              </w:rPr>
                            </w:pPr>
                          </w:p>
                          <w:p>
                            <w:pPr>
                              <w:pStyle w:val="24"/>
                              <w:spacing w:line="242" w:lineRule="auto"/>
                              <w:ind w:left="60" w:right="147"/>
                              <w:rPr>
                                <w:rFonts w:ascii="宋体" w:eastAsia="宋体"/>
                                <w:sz w:val="21"/>
                              </w:rPr>
                            </w:pPr>
                            <w:r>
                              <w:rPr>
                                <w:rFonts w:hint="eastAsia" w:ascii="宋体" w:eastAsia="宋体"/>
                                <w:spacing w:val="-2"/>
                                <w:w w:val="95"/>
                                <w:sz w:val="21"/>
                              </w:rPr>
                              <w:t xml:space="preserve">明确企业内部预警条件，预警等级，预警信息发布 </w:t>
                            </w:r>
                            <w:r>
                              <w:rPr>
                                <w:rFonts w:hint="eastAsia" w:ascii="宋体" w:eastAsia="宋体"/>
                                <w:spacing w:val="-2"/>
                                <w:sz w:val="21"/>
                              </w:rPr>
                              <w:t>接收、调整、解除程序、发布内容、责任人</w:t>
                            </w:r>
                          </w:p>
                        </w:tc>
                        <w:tc>
                          <w:tcPr>
                            <w:tcW w:w="1276" w:type="dxa"/>
                            <w:tcBorders>
                              <w:top w:val="single" w:color="000000" w:sz="4" w:space="0"/>
                              <w:left w:val="single" w:color="000000" w:sz="4" w:space="0"/>
                              <w:bottom w:val="single" w:color="000000" w:sz="4" w:space="0"/>
                              <w:right w:val="single" w:color="000000" w:sz="4" w:space="0"/>
                            </w:tcBorders>
                          </w:tcPr>
                          <w:p>
                            <w:pPr>
                              <w:pStyle w:val="24"/>
                              <w:rPr>
                                <w:rFonts w:ascii="宋体"/>
                                <w:sz w:val="34"/>
                              </w:rPr>
                            </w:pPr>
                          </w:p>
                          <w:p>
                            <w:pPr>
                              <w:pStyle w:val="24"/>
                              <w:spacing w:before="224" w:line="156" w:lineRule="auto"/>
                              <w:ind w:left="-158"/>
                              <w:rPr>
                                <w:rFonts w:ascii="宋体" w:hAnsi="宋体" w:eastAsia="宋体"/>
                                <w:sz w:val="21"/>
                              </w:rPr>
                            </w:pPr>
                            <w:r>
                              <w:rPr>
                                <w:rFonts w:hint="eastAsia" w:ascii="宋体" w:hAnsi="宋体" w:eastAsia="宋体"/>
                                <w:position w:val="-13"/>
                                <w:sz w:val="21"/>
                              </w:rPr>
                              <w:t>、</w:t>
                            </w:r>
                            <w:r>
                              <w:rPr>
                                <w:rFonts w:hint="eastAsia" w:ascii="宋体" w:hAnsi="宋体" w:eastAsia="宋体"/>
                                <w:sz w:val="21"/>
                              </w:rPr>
                              <w:sym w:font="Wingdings 2" w:char="0052"/>
                            </w:r>
                            <w:r>
                              <w:rPr>
                                <w:rFonts w:hint="eastAsia" w:ascii="宋体" w:hAnsi="宋体" w:eastAsia="宋体"/>
                                <w:sz w:val="21"/>
                              </w:rPr>
                              <w:t>符合</w:t>
                            </w:r>
                          </w:p>
                          <w:p>
                            <w:pPr>
                              <w:pStyle w:val="24"/>
                              <w:spacing w:line="201" w:lineRule="exact"/>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10"/>
                              <w:rPr>
                                <w:rFonts w:ascii="宋体"/>
                                <w:sz w:val="17"/>
                              </w:rPr>
                            </w:pPr>
                          </w:p>
                          <w:p>
                            <w:pPr>
                              <w:pStyle w:val="24"/>
                              <w:spacing w:line="242" w:lineRule="auto"/>
                              <w:ind w:left="62" w:right="37"/>
                              <w:rPr>
                                <w:rFonts w:ascii="宋体" w:eastAsia="宋体"/>
                                <w:sz w:val="21"/>
                              </w:rPr>
                            </w:pPr>
                            <w:r>
                              <w:rPr>
                                <w:rFonts w:hint="eastAsia" w:ascii="宋体" w:eastAsia="宋体"/>
                                <w:sz w:val="21"/>
                              </w:rPr>
                              <w:t>一般根据企业突发环境事件类型情景和自身的应急</w:t>
                            </w:r>
                            <w:r>
                              <w:rPr>
                                <w:rFonts w:hint="eastAsia" w:ascii="宋体" w:eastAsia="宋体"/>
                                <w:spacing w:val="-10"/>
                                <w:w w:val="95"/>
                                <w:sz w:val="21"/>
                              </w:rPr>
                              <w:t xml:space="preserve">能力等，结合周边环境情况，确定预警等级，做到早 </w:t>
                            </w:r>
                            <w:r>
                              <w:rPr>
                                <w:rFonts w:hint="eastAsia" w:ascii="宋体" w:eastAsia="宋体"/>
                                <w:spacing w:val="-10"/>
                                <w:sz w:val="21"/>
                              </w:rPr>
                              <w:t>发现、早报告、早发布；</w:t>
                            </w:r>
                          </w:p>
                          <w:p>
                            <w:pPr>
                              <w:pStyle w:val="24"/>
                              <w:spacing w:before="1" w:line="242" w:lineRule="auto"/>
                              <w:ind w:left="62" w:right="35"/>
                              <w:jc w:val="both"/>
                              <w:rPr>
                                <w:rFonts w:ascii="宋体" w:eastAsia="宋体"/>
                                <w:sz w:val="21"/>
                              </w:rPr>
                            </w:pPr>
                            <w:r>
                              <w:rPr>
                                <w:rFonts w:hint="eastAsia" w:ascii="宋体" w:eastAsia="宋体"/>
                                <w:spacing w:val="-6"/>
                                <w:w w:val="95"/>
                                <w:sz w:val="21"/>
                              </w:rPr>
                              <w:t xml:space="preserve">红色预警一般为企业自身力量难以应对；橙色预警一 </w:t>
                            </w:r>
                            <w:r>
                              <w:rPr>
                                <w:rFonts w:hint="eastAsia" w:ascii="宋体" w:eastAsia="宋体"/>
                                <w:spacing w:val="3"/>
                                <w:w w:val="95"/>
                                <w:sz w:val="21"/>
                              </w:rPr>
                              <w:t xml:space="preserve">般为企业需要调集内部绝大部分力量参与应对；黄 </w:t>
                            </w:r>
                            <w:r>
                              <w:rPr>
                                <w:rFonts w:hint="eastAsia" w:ascii="宋体" w:eastAsia="宋体"/>
                                <w:sz w:val="21"/>
                              </w:rPr>
                              <w:t>色、蓝色预警根据企业实际需求确定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7" w:hRule="atLeast"/>
                        </w:trPr>
                        <w:tc>
                          <w:tcPr>
                            <w:tcW w:w="1134" w:type="dxa"/>
                            <w:tcBorders>
                              <w:top w:val="single" w:color="000000" w:sz="4" w:space="0"/>
                              <w:bottom w:val="single" w:color="000000" w:sz="4" w:space="0"/>
                              <w:right w:val="single" w:color="000000" w:sz="4" w:space="0"/>
                            </w:tcBorders>
                          </w:tcPr>
                          <w:p>
                            <w:pPr>
                              <w:pStyle w:val="24"/>
                              <w:rPr>
                                <w:rFonts w:ascii="宋体"/>
                                <w:sz w:val="20"/>
                              </w:rPr>
                            </w:pPr>
                          </w:p>
                          <w:p>
                            <w:pPr>
                              <w:pStyle w:val="24"/>
                              <w:spacing w:before="152"/>
                              <w:ind w:left="146"/>
                              <w:rPr>
                                <w:rFonts w:ascii="宋体" w:eastAsia="宋体"/>
                                <w:sz w:val="21"/>
                              </w:rPr>
                            </w:pPr>
                            <w:r>
                              <w:rPr>
                                <w:rFonts w:hint="eastAsia" w:ascii="宋体" w:eastAsia="宋体"/>
                                <w:sz w:val="21"/>
                              </w:rPr>
                              <w:t>信息报告</w:t>
                            </w: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152"/>
                              <w:ind w:left="92" w:right="74"/>
                              <w:jc w:val="center"/>
                              <w:rPr>
                                <w:rFonts w:ascii="宋体"/>
                                <w:sz w:val="21"/>
                              </w:rPr>
                            </w:pPr>
                            <w:r>
                              <w:rPr>
                                <w:rFonts w:ascii="宋体"/>
                                <w:sz w:val="21"/>
                              </w:rPr>
                              <w:t>20</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137" w:line="242" w:lineRule="auto"/>
                              <w:ind w:left="60" w:right="128"/>
                              <w:jc w:val="both"/>
                              <w:rPr>
                                <w:rFonts w:ascii="宋体" w:eastAsia="宋体"/>
                                <w:sz w:val="21"/>
                              </w:rPr>
                            </w:pPr>
                            <w:r>
                              <w:rPr>
                                <w:rFonts w:hint="eastAsia" w:ascii="宋体" w:eastAsia="宋体"/>
                                <w:spacing w:val="-2"/>
                                <w:sz w:val="21"/>
                              </w:rPr>
                              <w:t>明确企业内部事件信息传递的责任人、程序、时限</w:t>
                            </w:r>
                            <w:r>
                              <w:rPr>
                                <w:rFonts w:hint="eastAsia" w:ascii="宋体" w:eastAsia="宋体"/>
                                <w:spacing w:val="-2"/>
                                <w:w w:val="95"/>
                                <w:sz w:val="21"/>
                              </w:rPr>
                              <w:t xml:space="preserve">方式、内容等，包括向协议应急救援单位传递信息 </w:t>
                            </w:r>
                            <w:r>
                              <w:rPr>
                                <w:rFonts w:hint="eastAsia" w:ascii="宋体" w:eastAsia="宋体"/>
                                <w:spacing w:val="-2"/>
                                <w:sz w:val="21"/>
                              </w:rPr>
                              <w:t>的方式方法</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37"/>
                              <w:ind w:left="-158"/>
                              <w:rPr>
                                <w:rFonts w:ascii="宋体" w:hAnsi="宋体" w:eastAsia="宋体"/>
                                <w:sz w:val="21"/>
                              </w:rPr>
                            </w:pP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line="242" w:lineRule="auto"/>
                              <w:ind w:left="62" w:right="35"/>
                              <w:rPr>
                                <w:rFonts w:ascii="宋体" w:eastAsia="宋体"/>
                                <w:sz w:val="21"/>
                              </w:rPr>
                            </w:pPr>
                            <w:r>
                              <w:rPr>
                                <w:rFonts w:hint="eastAsia" w:ascii="宋体" w:eastAsia="宋体"/>
                                <w:spacing w:val="3"/>
                                <w:w w:val="95"/>
                                <w:sz w:val="21"/>
                              </w:rPr>
                              <w:t xml:space="preserve">从事件第一发现人至事件指挥人之间信息传递的方 </w:t>
                            </w:r>
                            <w:r>
                              <w:rPr>
                                <w:rFonts w:hint="eastAsia" w:ascii="宋体" w:eastAsia="宋体"/>
                                <w:sz w:val="21"/>
                              </w:rPr>
                              <w:t>式、方法及内容，内容一般包括事件的时间、地点</w:t>
                            </w:r>
                            <w:r>
                              <w:rPr>
                                <w:rFonts w:hint="eastAsia" w:ascii="宋体" w:eastAsia="宋体"/>
                                <w:spacing w:val="-11"/>
                                <w:w w:val="95"/>
                                <w:sz w:val="21"/>
                              </w:rPr>
                              <w:t>涉及物质、简要经过、已造成或者可能造成的污染情</w:t>
                            </w:r>
                          </w:p>
                          <w:p>
                            <w:pPr>
                              <w:pStyle w:val="24"/>
                              <w:spacing w:before="3" w:line="248" w:lineRule="exact"/>
                              <w:ind w:left="62"/>
                              <w:rPr>
                                <w:rFonts w:ascii="宋体" w:eastAsia="宋体"/>
                                <w:sz w:val="21"/>
                              </w:rPr>
                            </w:pPr>
                            <w:r>
                              <w:rPr>
                                <w:rFonts w:hint="eastAsia" w:ascii="宋体" w:eastAsia="宋体"/>
                                <w:sz w:val="21"/>
                              </w:rPr>
                              <w:t>况、已采取的措施等</w:t>
                            </w:r>
                          </w:p>
                        </w:tc>
                      </w:tr>
                    </w:tbl>
                    <w:p>
                      <w:pPr>
                        <w:pStyle w:val="10"/>
                      </w:pPr>
                    </w:p>
                  </w:txbxContent>
                </v:textbox>
              </v:shape>
            </w:pict>
          </mc:Fallback>
        </mc:AlternateContent>
      </w:r>
    </w:p>
    <w:p>
      <w:pPr>
        <w:spacing w:before="70"/>
        <w:ind w:right="150"/>
        <w:jc w:val="right"/>
        <w:rPr>
          <w:rFonts w:ascii="宋体" w:eastAsia="宋体"/>
          <w:sz w:val="21"/>
        </w:rPr>
      </w:pPr>
      <w:r>
        <w:rPr>
          <w:rFonts w:hint="eastAsia" w:ascii="宋体" w:eastAsia="宋体"/>
          <w:w w:val="99"/>
          <w:sz w:val="21"/>
        </w:rPr>
        <w:t>，</w:t>
      </w:r>
    </w:p>
    <w:p>
      <w:pPr>
        <w:pStyle w:val="10"/>
        <w:rPr>
          <w:rFonts w:ascii="宋体"/>
          <w:sz w:val="20"/>
        </w:rPr>
      </w:pPr>
    </w:p>
    <w:p>
      <w:pPr>
        <w:pStyle w:val="10"/>
        <w:rPr>
          <w:rFonts w:ascii="宋体"/>
          <w:sz w:val="20"/>
        </w:rPr>
      </w:pPr>
    </w:p>
    <w:p>
      <w:pPr>
        <w:pStyle w:val="10"/>
        <w:rPr>
          <w:rFonts w:ascii="宋体"/>
          <w:sz w:val="20"/>
        </w:rPr>
      </w:pPr>
    </w:p>
    <w:p>
      <w:pPr>
        <w:pStyle w:val="10"/>
        <w:spacing w:before="12"/>
        <w:rPr>
          <w:rFonts w:ascii="宋体"/>
          <w:sz w:val="25"/>
        </w:rPr>
      </w:pPr>
    </w:p>
    <w:p>
      <w:pPr>
        <w:ind w:right="138"/>
        <w:jc w:val="right"/>
        <w:rPr>
          <w:rFonts w:ascii="宋体" w:eastAsia="宋体"/>
          <w:sz w:val="21"/>
        </w:rPr>
      </w:pPr>
      <w:r>
        <w:rPr>
          <w:rFonts w:hint="eastAsia" w:ascii="宋体" w:eastAsia="宋体"/>
          <w:w w:val="99"/>
          <w:sz w:val="21"/>
        </w:rPr>
        <w:t>、</w:t>
      </w: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spacing w:before="4"/>
        <w:rPr>
          <w:rFonts w:ascii="宋体"/>
          <w:sz w:val="23"/>
        </w:rPr>
      </w:pPr>
    </w:p>
    <w:p>
      <w:pPr>
        <w:ind w:right="150"/>
        <w:jc w:val="right"/>
        <w:rPr>
          <w:rFonts w:ascii="宋体" w:eastAsia="宋体"/>
          <w:sz w:val="21"/>
        </w:rPr>
      </w:pPr>
      <w:r>
        <w:rPr>
          <w:rFonts w:hint="eastAsia" w:ascii="宋体" w:eastAsia="宋体"/>
          <w:w w:val="99"/>
          <w:sz w:val="21"/>
        </w:rPr>
        <w:t>、</w:t>
      </w:r>
    </w:p>
    <w:p>
      <w:pPr>
        <w:jc w:val="right"/>
        <w:rPr>
          <w:rFonts w:ascii="宋体" w:eastAsia="宋体"/>
          <w:sz w:val="21"/>
        </w:rPr>
        <w:sectPr>
          <w:pgSz w:w="16840" w:h="11910" w:orient="landscape"/>
          <w:pgMar w:top="1100" w:right="1340" w:bottom="1180" w:left="1340" w:header="882" w:footer="993" w:gutter="0"/>
          <w:cols w:space="720" w:num="1"/>
        </w:sectPr>
      </w:pPr>
    </w:p>
    <w:p>
      <w:pPr>
        <w:pStyle w:val="10"/>
        <w:rPr>
          <w:rFonts w:ascii="宋体"/>
          <w:sz w:val="20"/>
        </w:rPr>
      </w:pPr>
      <w:r>
        <mc:AlternateContent>
          <mc:Choice Requires="wps">
            <w:drawing>
              <wp:anchor distT="0" distB="0" distL="114300" distR="114300" simplePos="0" relativeHeight="251685888" behindDoc="0" locked="0" layoutInCell="1" allowOverlap="1">
                <wp:simplePos x="0" y="0"/>
                <wp:positionH relativeFrom="page">
                  <wp:posOffset>963930</wp:posOffset>
                </wp:positionH>
                <wp:positionV relativeFrom="page">
                  <wp:posOffset>715645</wp:posOffset>
                </wp:positionV>
                <wp:extent cx="8769350" cy="5967730"/>
                <wp:effectExtent l="0" t="0" r="0" b="0"/>
                <wp:wrapNone/>
                <wp:docPr id="28" name="文本框 32"/>
                <wp:cNvGraphicFramePr/>
                <a:graphic xmlns:a="http://schemas.openxmlformats.org/drawingml/2006/main">
                  <a:graphicData uri="http://schemas.microsoft.com/office/word/2010/wordprocessingShape">
                    <wps:wsp>
                      <wps:cNvSpPr txBox="1"/>
                      <wps:spPr>
                        <a:xfrm>
                          <a:off x="0" y="0"/>
                          <a:ext cx="8769350" cy="5967730"/>
                        </a:xfrm>
                        <a:prstGeom prst="rect">
                          <a:avLst/>
                        </a:prstGeom>
                        <a:noFill/>
                        <a:ln>
                          <a:noFill/>
                        </a:ln>
                      </wps:spPr>
                      <wps:txbx>
                        <w:txbxContent>
                          <w:tbl>
                            <w:tblPr>
                              <w:tblStyle w:val="1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34"/>
                              <w:gridCol w:w="426"/>
                              <w:gridCol w:w="4819"/>
                              <w:gridCol w:w="1276"/>
                              <w:gridCol w:w="607"/>
                              <w:gridCol w:w="669"/>
                              <w:gridCol w:w="48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7" w:hRule="atLeast"/>
                              </w:trPr>
                              <w:tc>
                                <w:tcPr>
                                  <w:tcW w:w="1134" w:type="dxa"/>
                                  <w:vMerge w:val="restart"/>
                                  <w:tcBorders>
                                    <w:bottom w:val="single" w:color="000000" w:sz="4" w:space="0"/>
                                    <w:right w:val="single" w:color="000000" w:sz="4" w:space="0"/>
                                  </w:tcBorders>
                                </w:tcPr>
                                <w:p>
                                  <w:pPr>
                                    <w:pStyle w:val="24"/>
                                    <w:rPr>
                                      <w:rFonts w:ascii="Times New Roman"/>
                                      <w:sz w:val="20"/>
                                    </w:rPr>
                                  </w:pPr>
                                </w:p>
                              </w:tc>
                              <w:tc>
                                <w:tcPr>
                                  <w:tcW w:w="426" w:type="dxa"/>
                                  <w:tcBorders>
                                    <w:left w:val="single" w:color="000000" w:sz="4" w:space="0"/>
                                    <w:bottom w:val="single" w:color="000000" w:sz="4" w:space="0"/>
                                    <w:right w:val="single" w:color="000000" w:sz="4" w:space="0"/>
                                  </w:tcBorders>
                                </w:tcPr>
                                <w:p>
                                  <w:pPr>
                                    <w:pStyle w:val="24"/>
                                    <w:rPr>
                                      <w:rFonts w:ascii="宋体"/>
                                      <w:sz w:val="20"/>
                                    </w:rPr>
                                  </w:pPr>
                                </w:p>
                                <w:p>
                                  <w:pPr>
                                    <w:pStyle w:val="24"/>
                                    <w:rPr>
                                      <w:rFonts w:ascii="宋体"/>
                                      <w:sz w:val="23"/>
                                    </w:rPr>
                                  </w:pPr>
                                </w:p>
                                <w:p>
                                  <w:pPr>
                                    <w:pStyle w:val="24"/>
                                    <w:ind w:left="112"/>
                                    <w:rPr>
                                      <w:rFonts w:ascii="宋体"/>
                                      <w:sz w:val="21"/>
                                    </w:rPr>
                                  </w:pPr>
                                  <w:r>
                                    <w:rPr>
                                      <w:rFonts w:ascii="宋体"/>
                                      <w:sz w:val="21"/>
                                    </w:rPr>
                                    <w:t>21</w:t>
                                  </w:r>
                                </w:p>
                              </w:tc>
                              <w:tc>
                                <w:tcPr>
                                  <w:tcW w:w="4819" w:type="dxa"/>
                                  <w:tcBorders>
                                    <w:left w:val="single" w:color="000000" w:sz="4" w:space="0"/>
                                    <w:bottom w:val="single" w:color="000000" w:sz="4" w:space="0"/>
                                    <w:right w:val="single" w:color="000000" w:sz="4" w:space="0"/>
                                  </w:tcBorders>
                                </w:tcPr>
                                <w:p>
                                  <w:pPr>
                                    <w:pStyle w:val="24"/>
                                    <w:spacing w:before="8"/>
                                    <w:rPr>
                                      <w:rFonts w:ascii="宋体"/>
                                      <w:sz w:val="21"/>
                                    </w:rPr>
                                  </w:pPr>
                                </w:p>
                                <w:p>
                                  <w:pPr>
                                    <w:pStyle w:val="24"/>
                                    <w:spacing w:line="242" w:lineRule="auto"/>
                                    <w:ind w:left="60" w:right="128"/>
                                    <w:jc w:val="both"/>
                                    <w:rPr>
                                      <w:rFonts w:ascii="宋体" w:eastAsia="宋体"/>
                                      <w:sz w:val="21"/>
                                    </w:rPr>
                                  </w:pPr>
                                  <w:r>
                                    <w:rPr>
                                      <w:rFonts w:hint="eastAsia" w:ascii="宋体" w:eastAsia="宋体"/>
                                      <w:w w:val="95"/>
                                      <w:sz w:val="21"/>
                                    </w:rPr>
                                    <w:t xml:space="preserve">明确企业向当地人民政府及其环保等部门报告的责 任人、程序、时限方式、内容等，辅以信息报告格 </w:t>
                                  </w:r>
                                  <w:r>
                                    <w:rPr>
                                      <w:rFonts w:hint="eastAsia" w:ascii="宋体" w:eastAsia="宋体"/>
                                      <w:sz w:val="21"/>
                                    </w:rPr>
                                    <w:t>式规范</w:t>
                                  </w:r>
                                </w:p>
                              </w:tc>
                              <w:tc>
                                <w:tcPr>
                                  <w:tcW w:w="1276" w:type="dxa"/>
                                  <w:tcBorders>
                                    <w:left w:val="single" w:color="000000" w:sz="4" w:space="0"/>
                                    <w:bottom w:val="single" w:color="000000" w:sz="4" w:space="0"/>
                                    <w:right w:val="single" w:color="000000" w:sz="4" w:space="0"/>
                                  </w:tcBorders>
                                </w:tcPr>
                                <w:p>
                                  <w:pPr>
                                    <w:pStyle w:val="24"/>
                                    <w:spacing w:before="8"/>
                                    <w:rPr>
                                      <w:rFonts w:ascii="宋体"/>
                                      <w:sz w:val="21"/>
                                    </w:rPr>
                                  </w:pPr>
                                </w:p>
                                <w:p>
                                  <w:pPr>
                                    <w:pStyle w:val="24"/>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3"/>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left w:val="single" w:color="000000" w:sz="4" w:space="0"/>
                                    <w:bottom w:val="single" w:color="000000" w:sz="4" w:space="0"/>
                                    <w:right w:val="single" w:color="000000" w:sz="4" w:space="0"/>
                                  </w:tcBorders>
                                </w:tcPr>
                                <w:p>
                                  <w:pPr>
                                    <w:pStyle w:val="24"/>
                                    <w:rPr>
                                      <w:rFonts w:ascii="Times New Roman"/>
                                      <w:sz w:val="20"/>
                                    </w:rPr>
                                  </w:pPr>
                                </w:p>
                              </w:tc>
                              <w:tc>
                                <w:tcPr>
                                  <w:tcW w:w="669" w:type="dxa"/>
                                  <w:tcBorders>
                                    <w:left w:val="single" w:color="000000" w:sz="4" w:space="0"/>
                                    <w:bottom w:val="single" w:color="000000" w:sz="4" w:space="0"/>
                                    <w:right w:val="single" w:color="000000" w:sz="4" w:space="0"/>
                                  </w:tcBorders>
                                </w:tcPr>
                                <w:p>
                                  <w:pPr>
                                    <w:pStyle w:val="24"/>
                                    <w:rPr>
                                      <w:rFonts w:ascii="Times New Roman"/>
                                      <w:sz w:val="20"/>
                                    </w:rPr>
                                  </w:pPr>
                                </w:p>
                              </w:tc>
                              <w:tc>
                                <w:tcPr>
                                  <w:tcW w:w="4850" w:type="dxa"/>
                                  <w:tcBorders>
                                    <w:left w:val="single" w:color="000000" w:sz="4" w:space="0"/>
                                    <w:bottom w:val="single" w:color="000000" w:sz="4" w:space="0"/>
                                  </w:tcBorders>
                                </w:tcPr>
                                <w:p>
                                  <w:pPr>
                                    <w:pStyle w:val="24"/>
                                    <w:spacing w:before="6" w:line="242" w:lineRule="auto"/>
                                    <w:ind w:left="62" w:right="35"/>
                                    <w:rPr>
                                      <w:rFonts w:ascii="宋体" w:eastAsia="宋体"/>
                                      <w:sz w:val="21"/>
                                    </w:rPr>
                                  </w:pPr>
                                  <w:r>
                                    <w:rPr>
                                      <w:rFonts w:hint="eastAsia" w:ascii="宋体" w:eastAsia="宋体"/>
                                      <w:spacing w:val="-10"/>
                                      <w:w w:val="95"/>
                                      <w:sz w:val="21"/>
                                    </w:rPr>
                                    <w:t xml:space="preserve">从企业报告决策人、报告负责人到当地人民政府及其 </w:t>
                                  </w:r>
                                  <w:r>
                                    <w:rPr>
                                      <w:rFonts w:hint="eastAsia" w:ascii="宋体" w:eastAsia="宋体"/>
                                      <w:spacing w:val="-14"/>
                                      <w:w w:val="95"/>
                                      <w:sz w:val="21"/>
                                    </w:rPr>
                                    <w:t>环保部门负责人</w:t>
                                  </w:r>
                                  <w:r>
                                    <w:rPr>
                                      <w:rFonts w:hint="eastAsia" w:ascii="宋体" w:eastAsia="宋体"/>
                                      <w:w w:val="95"/>
                                      <w:sz w:val="21"/>
                                    </w:rPr>
                                    <w:t>（单位</w:t>
                                  </w:r>
                                  <w:r>
                                    <w:rPr>
                                      <w:rFonts w:hint="eastAsia" w:ascii="宋体" w:eastAsia="宋体"/>
                                      <w:spacing w:val="-32"/>
                                      <w:w w:val="95"/>
                                      <w:sz w:val="21"/>
                                    </w:rPr>
                                    <w:t>）</w:t>
                                  </w:r>
                                  <w:r>
                                    <w:rPr>
                                      <w:rFonts w:hint="eastAsia" w:ascii="宋体" w:eastAsia="宋体"/>
                                      <w:spacing w:val="-4"/>
                                      <w:w w:val="95"/>
                                      <w:sz w:val="21"/>
                                    </w:rPr>
                                    <w:t xml:space="preserve">之间信息传递的方式、方法 </w:t>
                                  </w:r>
                                  <w:r>
                                    <w:rPr>
                                      <w:rFonts w:hint="eastAsia" w:ascii="宋体" w:eastAsia="宋体"/>
                                      <w:spacing w:val="-17"/>
                                      <w:sz w:val="21"/>
                                    </w:rPr>
                                    <w:t>及内容，内容一般包括企业及周边概况、事件的时间</w:t>
                                  </w:r>
                                  <w:r>
                                    <w:rPr>
                                      <w:rFonts w:hint="eastAsia" w:ascii="宋体" w:eastAsia="宋体"/>
                                      <w:spacing w:val="-13"/>
                                      <w:w w:val="95"/>
                                      <w:sz w:val="21"/>
                                    </w:rPr>
                                    <w:t>地点、涉及物质、简要经过、已造成或者可能造成的</w:t>
                                  </w:r>
                                </w:p>
                                <w:p>
                                  <w:pPr>
                                    <w:pStyle w:val="24"/>
                                    <w:spacing w:before="3" w:line="251" w:lineRule="exact"/>
                                    <w:ind w:left="62"/>
                                    <w:rPr>
                                      <w:rFonts w:ascii="宋体" w:eastAsia="宋体"/>
                                      <w:sz w:val="21"/>
                                    </w:rPr>
                                  </w:pPr>
                                  <w:r>
                                    <w:rPr>
                                      <w:rFonts w:hint="eastAsia" w:ascii="宋体" w:eastAsia="宋体"/>
                                      <w:sz w:val="21"/>
                                    </w:rPr>
                                    <w:t>污染情况、已采取的措施、请求支持的内容等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3"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173"/>
                                    <w:ind w:left="112"/>
                                    <w:rPr>
                                      <w:rFonts w:ascii="宋体"/>
                                      <w:sz w:val="21"/>
                                    </w:rPr>
                                  </w:pPr>
                                  <w:r>
                                    <w:rPr>
                                      <w:rFonts w:ascii="宋体"/>
                                      <w:sz w:val="21"/>
                                    </w:rPr>
                                    <w:t>22</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3"/>
                                    </w:rPr>
                                  </w:pPr>
                                </w:p>
                                <w:p>
                                  <w:pPr>
                                    <w:pStyle w:val="24"/>
                                    <w:spacing w:line="242" w:lineRule="auto"/>
                                    <w:ind w:left="60" w:right="147"/>
                                    <w:rPr>
                                      <w:rFonts w:ascii="宋体" w:eastAsia="宋体"/>
                                      <w:sz w:val="21"/>
                                    </w:rPr>
                                  </w:pPr>
                                  <w:r>
                                    <w:rPr>
                                      <w:rFonts w:hint="eastAsia" w:ascii="宋体" w:eastAsia="宋体"/>
                                      <w:spacing w:val="-2"/>
                                      <w:w w:val="95"/>
                                      <w:sz w:val="21"/>
                                    </w:rPr>
                                    <w:t xml:space="preserve">明确企业向可能受影响的居民、单位通报的责任人 </w:t>
                                  </w:r>
                                  <w:r>
                                    <w:rPr>
                                      <w:rFonts w:hint="eastAsia" w:ascii="宋体" w:eastAsia="宋体"/>
                                      <w:spacing w:val="-2"/>
                                      <w:sz w:val="21"/>
                                    </w:rPr>
                                    <w:t>程序、时限、方式、内容等</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82" w:line="156" w:lineRule="auto"/>
                                    <w:ind w:left="-158"/>
                                    <w:rPr>
                                      <w:rFonts w:ascii="宋体" w:hAnsi="宋体" w:eastAsia="宋体"/>
                                      <w:sz w:val="21"/>
                                    </w:rPr>
                                  </w:pPr>
                                  <w:r>
                                    <w:rPr>
                                      <w:rFonts w:hint="eastAsia" w:ascii="宋体" w:hAnsi="宋体" w:eastAsia="宋体"/>
                                      <w:position w:val="-13"/>
                                      <w:sz w:val="21"/>
                                    </w:rPr>
                                    <w:t>、</w:t>
                                  </w:r>
                                  <w:r>
                                    <w:rPr>
                                      <w:rFonts w:hint="eastAsia" w:ascii="宋体" w:hAnsi="宋体" w:eastAsia="宋体"/>
                                      <w:sz w:val="21"/>
                                    </w:rPr>
                                    <w:sym w:font="Wingdings 2" w:char="0052"/>
                                  </w:r>
                                  <w:r>
                                    <w:rPr>
                                      <w:rFonts w:hint="eastAsia" w:ascii="宋体" w:hAnsi="宋体" w:eastAsia="宋体"/>
                                      <w:sz w:val="21"/>
                                    </w:rPr>
                                    <w:t>符合</w:t>
                                  </w:r>
                                </w:p>
                                <w:p>
                                  <w:pPr>
                                    <w:pStyle w:val="24"/>
                                    <w:spacing w:line="201" w:lineRule="exact"/>
                                    <w:ind w:left="60"/>
                                    <w:rPr>
                                      <w:rFonts w:ascii="宋体" w:hAnsi="宋体" w:eastAsia="宋体"/>
                                      <w:sz w:val="21"/>
                                    </w:rPr>
                                  </w:pPr>
                                  <w:r>
                                    <w:rPr>
                                      <w:rFonts w:hint="eastAsia" w:ascii="宋体" w:hAnsi="宋体" w:eastAsia="宋体"/>
                                      <w:sz w:val="21"/>
                                    </w:rPr>
                                    <w:t>□部分符合</w:t>
                                  </w:r>
                                </w:p>
                                <w:p>
                                  <w:pPr>
                                    <w:pStyle w:val="24"/>
                                    <w:spacing w:before="5"/>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21" w:line="242" w:lineRule="auto"/>
                                    <w:ind w:left="62" w:right="37"/>
                                    <w:jc w:val="both"/>
                                    <w:rPr>
                                      <w:rFonts w:ascii="宋体" w:eastAsia="宋体"/>
                                      <w:sz w:val="21"/>
                                    </w:rPr>
                                  </w:pPr>
                                  <w:r>
                                    <w:rPr>
                                      <w:rFonts w:hint="eastAsia" w:ascii="宋体" w:eastAsia="宋体"/>
                                      <w:spacing w:val="-9"/>
                                      <w:w w:val="95"/>
                                      <w:sz w:val="21"/>
                                    </w:rPr>
                                    <w:t xml:space="preserve">从企业通报决策人、通报负责人到周边居民、单位负 </w:t>
                                  </w:r>
                                  <w:r>
                                    <w:rPr>
                                      <w:rFonts w:hint="eastAsia" w:ascii="宋体" w:eastAsia="宋体"/>
                                      <w:spacing w:val="-15"/>
                                      <w:w w:val="95"/>
                                      <w:sz w:val="21"/>
                                    </w:rPr>
                                    <w:t xml:space="preserve">责人之间信息传递的方式、方法及内容，内容一般包 </w:t>
                                  </w:r>
                                  <w:r>
                                    <w:rPr>
                                      <w:rFonts w:hint="eastAsia" w:ascii="宋体" w:eastAsia="宋体"/>
                                      <w:spacing w:val="-19"/>
                                      <w:w w:val="95"/>
                                      <w:sz w:val="21"/>
                                    </w:rPr>
                                    <w:t xml:space="preserve">括事件已造成或者可能造成的污染情况、居民或单位 </w:t>
                                  </w:r>
                                  <w:r>
                                    <w:rPr>
                                      <w:rFonts w:hint="eastAsia" w:ascii="宋体" w:eastAsia="宋体"/>
                                      <w:spacing w:val="-19"/>
                                      <w:sz w:val="21"/>
                                    </w:rPr>
                                    <w:t>避险措施等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1" w:hRule="atLeast"/>
                              </w:trPr>
                              <w:tc>
                                <w:tcPr>
                                  <w:tcW w:w="1134" w:type="dxa"/>
                                  <w:vMerge w:val="restart"/>
                                  <w:tcBorders>
                                    <w:top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spacing w:before="4"/>
                                    <w:rPr>
                                      <w:rFonts w:ascii="宋体"/>
                                      <w:sz w:val="27"/>
                                    </w:rPr>
                                  </w:pPr>
                                </w:p>
                                <w:p>
                                  <w:pPr>
                                    <w:pStyle w:val="24"/>
                                    <w:ind w:left="146"/>
                                    <w:rPr>
                                      <w:rFonts w:ascii="宋体" w:eastAsia="宋体"/>
                                      <w:sz w:val="21"/>
                                    </w:rPr>
                                  </w:pPr>
                                  <w:r>
                                    <w:rPr>
                                      <w:rFonts w:hint="eastAsia" w:ascii="宋体" w:eastAsia="宋体"/>
                                      <w:sz w:val="21"/>
                                    </w:rPr>
                                    <w:t>应急监测</w:t>
                                  </w: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rPr>
                                  </w:pPr>
                                </w:p>
                                <w:p>
                                  <w:pPr>
                                    <w:pStyle w:val="24"/>
                                    <w:spacing w:before="4"/>
                                    <w:rPr>
                                      <w:rFonts w:ascii="宋体"/>
                                      <w:sz w:val="20"/>
                                    </w:rPr>
                                  </w:pPr>
                                </w:p>
                                <w:p>
                                  <w:pPr>
                                    <w:pStyle w:val="24"/>
                                    <w:spacing w:before="1"/>
                                    <w:ind w:left="85"/>
                                    <w:rPr>
                                      <w:rFonts w:ascii="宋体"/>
                                      <w:sz w:val="10"/>
                                    </w:rPr>
                                  </w:pPr>
                                  <w:r>
                                    <w:rPr>
                                      <w:rFonts w:ascii="宋体"/>
                                      <w:spacing w:val="1"/>
                                      <w:w w:val="99"/>
                                      <w:sz w:val="21"/>
                                    </w:rPr>
                                    <w:t>23</w:t>
                                  </w:r>
                                  <w:r>
                                    <w:rPr>
                                      <w:rFonts w:ascii="宋体"/>
                                      <w:w w:val="106"/>
                                      <w:position w:val="10"/>
                                      <w:sz w:val="10"/>
                                    </w:rPr>
                                    <w:t>c</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152" w:line="242" w:lineRule="auto"/>
                                    <w:ind w:left="60" w:right="128"/>
                                    <w:rPr>
                                      <w:rFonts w:ascii="宋体" w:eastAsia="宋体"/>
                                      <w:sz w:val="21"/>
                                    </w:rPr>
                                  </w:pPr>
                                  <w:r>
                                    <w:rPr>
                                      <w:rFonts w:hint="eastAsia" w:ascii="宋体" w:eastAsia="宋体"/>
                                      <w:w w:val="95"/>
                                      <w:sz w:val="21"/>
                                    </w:rPr>
                                    <w:t xml:space="preserve">涉大气污染的，说明排放口和厂界液态监测的一般 </w:t>
                                  </w:r>
                                  <w:r>
                                    <w:rPr>
                                      <w:rFonts w:hint="eastAsia" w:ascii="宋体" w:eastAsia="宋体"/>
                                      <w:sz w:val="21"/>
                                    </w:rPr>
                                    <w:t>原则</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2"/>
                                    <w:rPr>
                                      <w:rFonts w:ascii="宋体"/>
                                      <w:sz w:val="21"/>
                                    </w:rPr>
                                  </w:pPr>
                                </w:p>
                                <w:p>
                                  <w:pPr>
                                    <w:pStyle w:val="24"/>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3"/>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line="242" w:lineRule="auto"/>
                                    <w:ind w:left="62" w:right="37"/>
                                    <w:rPr>
                                      <w:rFonts w:ascii="宋体" w:eastAsia="宋体"/>
                                      <w:sz w:val="21"/>
                                    </w:rPr>
                                  </w:pPr>
                                  <w:r>
                                    <w:rPr>
                                      <w:rFonts w:hint="eastAsia" w:ascii="宋体" w:eastAsia="宋体"/>
                                      <w:spacing w:val="-16"/>
                                      <w:sz w:val="21"/>
                                    </w:rPr>
                                    <w:t>按照《突发环境事件应急监测技术规范》等有关要求</w:t>
                                  </w:r>
                                  <w:r>
                                    <w:rPr>
                                      <w:rFonts w:hint="eastAsia" w:ascii="宋体" w:eastAsia="宋体"/>
                                      <w:spacing w:val="-19"/>
                                      <w:w w:val="95"/>
                                      <w:sz w:val="21"/>
                                    </w:rPr>
                                    <w:t xml:space="preserve">确定排放口和厂界液态监测一般原则，为针对具体事 </w:t>
                                  </w:r>
                                  <w:r>
                                    <w:rPr>
                                      <w:rFonts w:hint="eastAsia" w:ascii="宋体" w:eastAsia="宋体"/>
                                      <w:spacing w:val="-19"/>
                                      <w:sz w:val="21"/>
                                    </w:rPr>
                                    <w:t>件情景制定监测方案提供指导；</w:t>
                                  </w:r>
                                </w:p>
                                <w:p>
                                  <w:pPr>
                                    <w:pStyle w:val="24"/>
                                    <w:spacing w:before="1"/>
                                    <w:ind w:left="62"/>
                                    <w:rPr>
                                      <w:rFonts w:ascii="宋体" w:eastAsia="宋体"/>
                                      <w:sz w:val="21"/>
                                    </w:rPr>
                                  </w:pPr>
                                  <w:r>
                                    <w:rPr>
                                      <w:rFonts w:hint="eastAsia" w:ascii="宋体" w:eastAsia="宋体"/>
                                      <w:spacing w:val="-5"/>
                                      <w:sz w:val="21"/>
                                    </w:rPr>
                                    <w:t>排放口为突发环境事件中污染物的排放出口，包括按</w:t>
                                  </w:r>
                                </w:p>
                                <w:p>
                                  <w:pPr>
                                    <w:pStyle w:val="24"/>
                                    <w:spacing w:before="5" w:line="251" w:lineRule="exact"/>
                                    <w:ind w:left="62"/>
                                    <w:rPr>
                                      <w:rFonts w:ascii="宋体" w:eastAsia="宋体"/>
                                      <w:sz w:val="21"/>
                                    </w:rPr>
                                  </w:pPr>
                                  <w:r>
                                    <w:rPr>
                                      <w:rFonts w:hint="eastAsia" w:ascii="宋体" w:eastAsia="宋体"/>
                                      <w:sz w:val="21"/>
                                    </w:rPr>
                                    <w:t>照相关环境保护标准设置的排放口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3"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rPr>
                                  </w:pPr>
                                </w:p>
                                <w:p>
                                  <w:pPr>
                                    <w:pStyle w:val="24"/>
                                    <w:spacing w:before="150"/>
                                    <w:ind w:left="85"/>
                                    <w:rPr>
                                      <w:rFonts w:ascii="宋体"/>
                                      <w:sz w:val="10"/>
                                    </w:rPr>
                                  </w:pPr>
                                  <w:r>
                                    <w:rPr>
                                      <w:rFonts w:ascii="宋体"/>
                                      <w:spacing w:val="1"/>
                                      <w:w w:val="99"/>
                                      <w:sz w:val="21"/>
                                    </w:rPr>
                                    <w:t>24</w:t>
                                  </w:r>
                                  <w:r>
                                    <w:rPr>
                                      <w:rFonts w:ascii="宋体"/>
                                      <w:w w:val="106"/>
                                      <w:position w:val="11"/>
                                      <w:sz w:val="10"/>
                                    </w:rPr>
                                    <w:t>c</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3"/>
                                    </w:rPr>
                                  </w:pPr>
                                </w:p>
                                <w:p>
                                  <w:pPr>
                                    <w:pStyle w:val="24"/>
                                    <w:spacing w:line="242" w:lineRule="auto"/>
                                    <w:ind w:left="60" w:right="128"/>
                                    <w:rPr>
                                      <w:rFonts w:ascii="宋体" w:eastAsia="宋体"/>
                                      <w:sz w:val="21"/>
                                    </w:rPr>
                                  </w:pPr>
                                  <w:r>
                                    <w:rPr>
                                      <w:rFonts w:hint="eastAsia" w:ascii="宋体" w:eastAsia="宋体"/>
                                      <w:w w:val="95"/>
                                      <w:sz w:val="21"/>
                                    </w:rPr>
                                    <w:t xml:space="preserve">涉水污染的，说明废水排放口、雨水排放口、清净 </w:t>
                                  </w:r>
                                  <w:r>
                                    <w:rPr>
                                      <w:rFonts w:hint="eastAsia" w:ascii="宋体" w:eastAsia="宋体"/>
                                      <w:sz w:val="21"/>
                                    </w:rPr>
                                    <w:t>下水排放口等可能外排渠道监测的一般原则</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58"/>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5"/>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158" w:line="242" w:lineRule="auto"/>
                                    <w:ind w:left="62" w:right="37"/>
                                    <w:rPr>
                                      <w:rFonts w:ascii="宋体" w:eastAsia="宋体"/>
                                      <w:sz w:val="21"/>
                                    </w:rPr>
                                  </w:pPr>
                                  <w:r>
                                    <w:rPr>
                                      <w:rFonts w:hint="eastAsia" w:ascii="宋体" w:eastAsia="宋体"/>
                                      <w:spacing w:val="-16"/>
                                      <w:sz w:val="21"/>
                                    </w:rPr>
                                    <w:t>按照《突发环境事件应急监测技术规范》等有关要求</w:t>
                                  </w:r>
                                  <w:r>
                                    <w:rPr>
                                      <w:rFonts w:hint="eastAsia" w:ascii="宋体" w:eastAsia="宋体"/>
                                      <w:spacing w:val="-18"/>
                                      <w:w w:val="95"/>
                                      <w:sz w:val="21"/>
                                    </w:rPr>
                                    <w:t xml:space="preserve">确定可能外排渠道监测的一般原则，为针对具体事件 </w:t>
                                  </w:r>
                                  <w:r>
                                    <w:rPr>
                                      <w:rFonts w:hint="eastAsia" w:ascii="宋体" w:eastAsia="宋体"/>
                                      <w:spacing w:val="-18"/>
                                      <w:sz w:val="21"/>
                                    </w:rPr>
                                    <w:t>情景制定监测方案提供指导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2"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7"/>
                                    <w:rPr>
                                      <w:rFonts w:ascii="宋体"/>
                                      <w:sz w:val="24"/>
                                    </w:rPr>
                                  </w:pPr>
                                </w:p>
                                <w:p>
                                  <w:pPr>
                                    <w:pStyle w:val="24"/>
                                    <w:ind w:left="112"/>
                                    <w:rPr>
                                      <w:rFonts w:ascii="宋体"/>
                                      <w:sz w:val="21"/>
                                    </w:rPr>
                                  </w:pPr>
                                  <w:r>
                                    <w:rPr>
                                      <w:rFonts w:ascii="宋体"/>
                                      <w:sz w:val="21"/>
                                    </w:rPr>
                                    <w:t>25</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178" w:line="244" w:lineRule="auto"/>
                                    <w:ind w:left="60" w:right="147"/>
                                    <w:rPr>
                                      <w:rFonts w:ascii="宋体" w:eastAsia="宋体"/>
                                      <w:sz w:val="21"/>
                                    </w:rPr>
                                  </w:pPr>
                                  <w:r>
                                    <w:rPr>
                                      <w:rFonts w:hint="eastAsia" w:ascii="宋体" w:eastAsia="宋体"/>
                                      <w:spacing w:val="-2"/>
                                      <w:w w:val="95"/>
                                      <w:sz w:val="21"/>
                                    </w:rPr>
                                    <w:t>监测方案一般应明确监测项目、采样</w:t>
                                  </w:r>
                                  <w:r>
                                    <w:rPr>
                                      <w:rFonts w:hint="eastAsia" w:ascii="宋体" w:eastAsia="宋体"/>
                                      <w:w w:val="95"/>
                                      <w:sz w:val="21"/>
                                    </w:rPr>
                                    <w:t>（监测</w:t>
                                  </w:r>
                                  <w:r>
                                    <w:rPr>
                                      <w:rFonts w:hint="eastAsia" w:ascii="宋体" w:eastAsia="宋体"/>
                                      <w:spacing w:val="-5"/>
                                      <w:w w:val="95"/>
                                      <w:sz w:val="21"/>
                                    </w:rPr>
                                    <w:t>）</w:t>
                                  </w:r>
                                  <w:r>
                                    <w:rPr>
                                      <w:rFonts w:hint="eastAsia" w:ascii="宋体" w:eastAsia="宋体"/>
                                      <w:w w:val="95"/>
                                      <w:sz w:val="21"/>
                                    </w:rPr>
                                    <w:t xml:space="preserve">人员 </w:t>
                                  </w:r>
                                  <w:r>
                                    <w:rPr>
                                      <w:rFonts w:hint="eastAsia" w:ascii="宋体" w:eastAsia="宋体"/>
                                      <w:sz w:val="21"/>
                                    </w:rPr>
                                    <w:t>监测设备、监测频次等</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71" w:line="158" w:lineRule="auto"/>
                                    <w:ind w:left="-158"/>
                                    <w:rPr>
                                      <w:rFonts w:ascii="宋体" w:hAnsi="宋体" w:eastAsia="宋体"/>
                                      <w:sz w:val="21"/>
                                    </w:rPr>
                                  </w:pPr>
                                  <w:r>
                                    <w:rPr>
                                      <w:rFonts w:hint="eastAsia" w:ascii="宋体" w:hAnsi="宋体" w:eastAsia="宋体"/>
                                      <w:position w:val="-12"/>
                                      <w:sz w:val="21"/>
                                    </w:rPr>
                                    <w:t>、</w:t>
                                  </w:r>
                                  <w:r>
                                    <w:rPr>
                                      <w:rFonts w:hint="eastAsia" w:ascii="宋体" w:hAnsi="宋体" w:eastAsia="宋体"/>
                                      <w:sz w:val="21"/>
                                    </w:rPr>
                                    <w:t>□符合</w:t>
                                  </w:r>
                                </w:p>
                                <w:p>
                                  <w:pPr>
                                    <w:pStyle w:val="24"/>
                                    <w:spacing w:line="205" w:lineRule="exact"/>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7"/>
                                    <w:rPr>
                                      <w:rFonts w:ascii="宋体"/>
                                      <w:sz w:val="24"/>
                                    </w:rPr>
                                  </w:pPr>
                                </w:p>
                                <w:p>
                                  <w:pPr>
                                    <w:pStyle w:val="24"/>
                                    <w:ind w:left="62"/>
                                    <w:rPr>
                                      <w:rFonts w:ascii="宋体" w:eastAsia="宋体"/>
                                      <w:sz w:val="21"/>
                                    </w:rPr>
                                  </w:pPr>
                                  <w:r>
                                    <w:rPr>
                                      <w:rFonts w:hint="eastAsia" w:ascii="宋体" w:eastAsia="宋体"/>
                                      <w:sz w:val="21"/>
                                    </w:rPr>
                                    <w:t>针对具体事件情景制定监测方案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3"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174"/>
                                    <w:ind w:left="112"/>
                                    <w:rPr>
                                      <w:rFonts w:ascii="宋体"/>
                                      <w:sz w:val="21"/>
                                    </w:rPr>
                                  </w:pPr>
                                  <w:r>
                                    <w:rPr>
                                      <w:rFonts w:ascii="宋体"/>
                                      <w:sz w:val="21"/>
                                    </w:rPr>
                                    <w:t>26</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1"/>
                                    <w:rPr>
                                      <w:rFonts w:ascii="宋体"/>
                                      <w:sz w:val="23"/>
                                    </w:rPr>
                                  </w:pPr>
                                </w:p>
                                <w:p>
                                  <w:pPr>
                                    <w:pStyle w:val="24"/>
                                    <w:spacing w:line="242" w:lineRule="auto"/>
                                    <w:ind w:left="60" w:right="128"/>
                                    <w:rPr>
                                      <w:rFonts w:ascii="宋体" w:eastAsia="宋体"/>
                                      <w:sz w:val="21"/>
                                    </w:rPr>
                                  </w:pPr>
                                  <w:r>
                                    <w:rPr>
                                      <w:rFonts w:hint="eastAsia" w:ascii="宋体" w:eastAsia="宋体"/>
                                      <w:w w:val="95"/>
                                      <w:sz w:val="21"/>
                                    </w:rPr>
                                    <w:t xml:space="preserve">明确监测执行单位；自身没有监测能力的，说明协 </w:t>
                                  </w:r>
                                  <w:r>
                                    <w:rPr>
                                      <w:rFonts w:hint="eastAsia" w:ascii="宋体" w:eastAsia="宋体"/>
                                      <w:sz w:val="21"/>
                                    </w:rPr>
                                    <w:t>议监测方案，并附协议</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59"/>
                                    <w:ind w:left="60"/>
                                    <w:rPr>
                                      <w:rFonts w:ascii="宋体" w:hAnsi="宋体" w:eastAsia="宋体"/>
                                      <w:sz w:val="21"/>
                                    </w:rPr>
                                  </w:pP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5"/>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1"/>
                                    <w:rPr>
                                      <w:rFonts w:ascii="宋体"/>
                                      <w:sz w:val="23"/>
                                    </w:rPr>
                                  </w:pPr>
                                </w:p>
                                <w:p>
                                  <w:pPr>
                                    <w:pStyle w:val="24"/>
                                    <w:spacing w:line="242" w:lineRule="auto"/>
                                    <w:ind w:left="62" w:right="37"/>
                                    <w:rPr>
                                      <w:rFonts w:ascii="宋体" w:eastAsia="宋体"/>
                                      <w:sz w:val="21"/>
                                    </w:rPr>
                                  </w:pPr>
                                  <w:r>
                                    <w:rPr>
                                      <w:rFonts w:hint="eastAsia" w:ascii="宋体" w:eastAsia="宋体"/>
                                      <w:spacing w:val="-10"/>
                                      <w:w w:val="95"/>
                                      <w:sz w:val="21"/>
                                    </w:rPr>
                                    <w:t xml:space="preserve">自身没有监测能力的，应与当地环境监测机构或其他 </w:t>
                                  </w:r>
                                  <w:r>
                                    <w:rPr>
                                      <w:rFonts w:hint="eastAsia" w:ascii="宋体" w:eastAsia="宋体"/>
                                      <w:spacing w:val="-10"/>
                                      <w:sz w:val="21"/>
                                    </w:rPr>
                                    <w:t>机构衔接，确保能够迅速获得环境检测支持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3" w:hRule="atLeast"/>
                              </w:trPr>
                              <w:tc>
                                <w:tcPr>
                                  <w:tcW w:w="1134" w:type="dxa"/>
                                  <w:vMerge w:val="restart"/>
                                  <w:tcBorders>
                                    <w:top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spacing w:before="9"/>
                                    <w:rPr>
                                      <w:rFonts w:ascii="宋体"/>
                                      <w:sz w:val="27"/>
                                    </w:rPr>
                                  </w:pPr>
                                </w:p>
                                <w:p>
                                  <w:pPr>
                                    <w:pStyle w:val="24"/>
                                    <w:spacing w:line="242" w:lineRule="auto"/>
                                    <w:ind w:left="252" w:right="132" w:hanging="106"/>
                                    <w:rPr>
                                      <w:rFonts w:ascii="宋体" w:eastAsia="宋体"/>
                                      <w:sz w:val="21"/>
                                    </w:rPr>
                                  </w:pPr>
                                  <w:r>
                                    <w:rPr>
                                      <w:rFonts w:hint="eastAsia" w:ascii="宋体" w:eastAsia="宋体"/>
                                      <w:sz w:val="21"/>
                                    </w:rPr>
                                    <w:t>应对流程和措施</w:t>
                                  </w: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rPr>
                                  </w:pPr>
                                </w:p>
                                <w:p>
                                  <w:pPr>
                                    <w:pStyle w:val="24"/>
                                    <w:spacing w:before="149"/>
                                    <w:ind w:left="85"/>
                                    <w:rPr>
                                      <w:rFonts w:ascii="宋体"/>
                                      <w:sz w:val="10"/>
                                    </w:rPr>
                                  </w:pPr>
                                  <w:r>
                                    <w:rPr>
                                      <w:rFonts w:ascii="宋体"/>
                                      <w:spacing w:val="1"/>
                                      <w:w w:val="99"/>
                                      <w:sz w:val="21"/>
                                    </w:rPr>
                                    <w:t>27</w:t>
                                  </w:r>
                                  <w:r>
                                    <w:rPr>
                                      <w:rFonts w:ascii="宋体"/>
                                      <w:w w:val="106"/>
                                      <w:position w:val="11"/>
                                      <w:sz w:val="10"/>
                                    </w:rPr>
                                    <w:t>b</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23" w:line="242" w:lineRule="auto"/>
                                    <w:ind w:left="60" w:right="128"/>
                                    <w:rPr>
                                      <w:rFonts w:ascii="宋体" w:eastAsia="宋体"/>
                                      <w:sz w:val="21"/>
                                    </w:rPr>
                                  </w:pPr>
                                  <w:r>
                                    <w:rPr>
                                      <w:rFonts w:hint="eastAsia" w:ascii="宋体" w:eastAsia="宋体"/>
                                      <w:w w:val="95"/>
                                      <w:sz w:val="21"/>
                                    </w:rPr>
                                    <w:t xml:space="preserve">根据环境风险评估报告中的风险分析和情景构建内 容，说明应对流程和措施，体现：企业内部控制污 </w:t>
                                  </w:r>
                                  <w:r>
                                    <w:rPr>
                                      <w:rFonts w:hint="eastAsia" w:ascii="宋体" w:eastAsia="宋体"/>
                                      <w:sz w:val="21"/>
                                    </w:rPr>
                                    <w:t>染源-研判污染范围-控制污染扩散-污染处置应对流程和措施</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60"/>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rPr>
                                      <w:rFonts w:ascii="宋体"/>
                                      <w:sz w:val="20"/>
                                    </w:rPr>
                                  </w:pPr>
                                </w:p>
                                <w:p>
                                  <w:pPr>
                                    <w:pStyle w:val="24"/>
                                    <w:spacing w:before="175"/>
                                    <w:ind w:left="62"/>
                                    <w:rPr>
                                      <w:rFonts w:ascii="宋体" w:eastAsia="宋体"/>
                                      <w:sz w:val="21"/>
                                    </w:rPr>
                                  </w:pPr>
                                  <w:r>
                                    <w:rPr>
                                      <w:rFonts w:hint="eastAsia" w:ascii="宋体" w:eastAsia="宋体"/>
                                      <w:sz w:val="21"/>
                                    </w:rPr>
                                    <w:t>企业内部应对突发环境事件的原则性措施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1"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rPr>
                                  </w:pPr>
                                </w:p>
                                <w:p>
                                  <w:pPr>
                                    <w:pStyle w:val="24"/>
                                    <w:spacing w:before="150"/>
                                    <w:ind w:left="85"/>
                                    <w:rPr>
                                      <w:rFonts w:ascii="宋体"/>
                                      <w:sz w:val="10"/>
                                    </w:rPr>
                                  </w:pPr>
                                  <w:r>
                                    <w:rPr>
                                      <w:rFonts w:ascii="宋体"/>
                                      <w:spacing w:val="1"/>
                                      <w:w w:val="99"/>
                                      <w:sz w:val="21"/>
                                    </w:rPr>
                                    <w:t>28</w:t>
                                  </w:r>
                                  <w:r>
                                    <w:rPr>
                                      <w:rFonts w:ascii="宋体"/>
                                      <w:w w:val="106"/>
                                      <w:position w:val="11"/>
                                      <w:sz w:val="10"/>
                                    </w:rPr>
                                    <w:t>b</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3"/>
                                    </w:rPr>
                                  </w:pPr>
                                </w:p>
                                <w:p>
                                  <w:pPr>
                                    <w:pStyle w:val="24"/>
                                    <w:spacing w:line="242" w:lineRule="auto"/>
                                    <w:ind w:left="60" w:right="128"/>
                                    <w:rPr>
                                      <w:rFonts w:ascii="宋体" w:eastAsia="宋体"/>
                                      <w:sz w:val="21"/>
                                    </w:rPr>
                                  </w:pPr>
                                  <w:r>
                                    <w:rPr>
                                      <w:rFonts w:hint="eastAsia" w:ascii="宋体" w:eastAsia="宋体"/>
                                      <w:w w:val="95"/>
                                      <w:sz w:val="21"/>
                                    </w:rPr>
                                    <w:t xml:space="preserve">体现必要的企业外部应急措施、配合当地人民政府 </w:t>
                                  </w:r>
                                  <w:r>
                                    <w:rPr>
                                      <w:rFonts w:hint="eastAsia" w:ascii="宋体" w:eastAsia="宋体"/>
                                      <w:sz w:val="21"/>
                                    </w:rPr>
                                    <w:t>的响应措施及对当地人民政府应急措施的建议</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58"/>
                                    <w:ind w:left="60"/>
                                    <w:rPr>
                                      <w:rFonts w:ascii="宋体" w:hAnsi="宋体" w:eastAsia="宋体"/>
                                      <w:sz w:val="21"/>
                                    </w:rPr>
                                  </w:pPr>
                                  <w:r>
                                    <w:rPr>
                                      <w:rFonts w:hint="eastAsia" w:ascii="宋体" w:hAnsi="宋体" w:eastAsia="宋体"/>
                                      <w:sz w:val="21"/>
                                    </w:rPr>
                                    <w:t>□符合</w:t>
                                  </w:r>
                                </w:p>
                                <w:p>
                                  <w:pPr>
                                    <w:pStyle w:val="24"/>
                                    <w:spacing w:before="5"/>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single" w:color="000000" w:sz="4" w:space="0"/>
                                    <w:left w:val="single" w:color="000000" w:sz="4" w:space="0"/>
                                    <w:bottom w:val="single" w:color="000000" w:sz="4" w:space="0"/>
                                  </w:tcBorders>
                                </w:tcPr>
                                <w:p>
                                  <w:pPr>
                                    <w:pStyle w:val="24"/>
                                    <w:spacing w:before="158" w:line="242" w:lineRule="auto"/>
                                    <w:ind w:left="62" w:right="35"/>
                                    <w:jc w:val="both"/>
                                    <w:rPr>
                                      <w:rFonts w:ascii="宋体" w:eastAsia="宋体"/>
                                      <w:sz w:val="21"/>
                                    </w:rPr>
                                  </w:pPr>
                                  <w:r>
                                    <w:rPr>
                                      <w:rFonts w:hint="eastAsia" w:ascii="宋体" w:eastAsia="宋体"/>
                                      <w:spacing w:val="3"/>
                                      <w:w w:val="95"/>
                                      <w:sz w:val="21"/>
                                    </w:rPr>
                                    <w:t xml:space="preserve">突发环境事件可能或已经对企业外部环境产生影响 </w:t>
                                  </w:r>
                                  <w:r>
                                    <w:rPr>
                                      <w:rFonts w:hint="eastAsia" w:ascii="宋体" w:eastAsia="宋体"/>
                                      <w:spacing w:val="-10"/>
                                      <w:w w:val="95"/>
                                      <w:sz w:val="21"/>
                                    </w:rPr>
                                    <w:t xml:space="preserve">时，企业在外部可以采取的原则性措施、对当地人民 </w:t>
                                  </w:r>
                                  <w:r>
                                    <w:rPr>
                                      <w:rFonts w:hint="eastAsia" w:ascii="宋体" w:eastAsia="宋体"/>
                                      <w:spacing w:val="-10"/>
                                      <w:sz w:val="21"/>
                                    </w:rPr>
                                    <w:t>政府的建议性措施</w:t>
                                  </w:r>
                                </w:p>
                              </w:tc>
                            </w:tr>
                          </w:tbl>
                          <w:p>
                            <w:pPr>
                              <w:pStyle w:val="10"/>
                            </w:pPr>
                          </w:p>
                        </w:txbxContent>
                      </wps:txbx>
                      <wps:bodyPr lIns="0" tIns="0" rIns="0" bIns="0" upright="1"/>
                    </wps:wsp>
                  </a:graphicData>
                </a:graphic>
              </wp:anchor>
            </w:drawing>
          </mc:Choice>
          <mc:Fallback>
            <w:pict>
              <v:shape id="文本框 32" o:spid="_x0000_s1026" o:spt="202" type="#_x0000_t202" style="position:absolute;left:0pt;margin-left:75.9pt;margin-top:56.35pt;height:469.9pt;width:690.5pt;mso-position-horizontal-relative:page;mso-position-vertical-relative:page;z-index:251685888;mso-width-relative:page;mso-height-relative:page;" filled="f" stroked="f" coordsize="21600,21600" o:gfxdata="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7MT/DZAAAADQEAAA8AAAAAAAAAAQAgAAAAIgAAAGRycy9kb3ducmV2Lnht&#10;bFBLAQIUABQAAAAIAIdO4kCm9m5ovwEAAHUDAAAOAAAAAAAAAAEAIAAAACgBAABkcnMvZTJvRG9j&#10;LnhtbFBLBQYAAAAABgAGAFkBAABZBQAAAAA=&#10;">
                <v:fill on="f" focussize="0,0"/>
                <v:stroke on="f"/>
                <v:imagedata o:title=""/>
                <o:lock v:ext="edit" aspectratio="f"/>
                <v:textbox inset="0mm,0mm,0mm,0mm">
                  <w:txbxContent>
                    <w:tbl>
                      <w:tblPr>
                        <w:tblStyle w:val="1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34"/>
                        <w:gridCol w:w="426"/>
                        <w:gridCol w:w="4819"/>
                        <w:gridCol w:w="1276"/>
                        <w:gridCol w:w="607"/>
                        <w:gridCol w:w="669"/>
                        <w:gridCol w:w="48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7" w:hRule="atLeast"/>
                        </w:trPr>
                        <w:tc>
                          <w:tcPr>
                            <w:tcW w:w="1134" w:type="dxa"/>
                            <w:vMerge w:val="restart"/>
                            <w:tcBorders>
                              <w:bottom w:val="single" w:color="000000" w:sz="4" w:space="0"/>
                              <w:right w:val="single" w:color="000000" w:sz="4" w:space="0"/>
                            </w:tcBorders>
                          </w:tcPr>
                          <w:p>
                            <w:pPr>
                              <w:pStyle w:val="24"/>
                              <w:rPr>
                                <w:rFonts w:ascii="Times New Roman"/>
                                <w:sz w:val="20"/>
                              </w:rPr>
                            </w:pPr>
                          </w:p>
                        </w:tc>
                        <w:tc>
                          <w:tcPr>
                            <w:tcW w:w="426" w:type="dxa"/>
                            <w:tcBorders>
                              <w:left w:val="single" w:color="000000" w:sz="4" w:space="0"/>
                              <w:bottom w:val="single" w:color="000000" w:sz="4" w:space="0"/>
                              <w:right w:val="single" w:color="000000" w:sz="4" w:space="0"/>
                            </w:tcBorders>
                          </w:tcPr>
                          <w:p>
                            <w:pPr>
                              <w:pStyle w:val="24"/>
                              <w:rPr>
                                <w:rFonts w:ascii="宋体"/>
                                <w:sz w:val="20"/>
                              </w:rPr>
                            </w:pPr>
                          </w:p>
                          <w:p>
                            <w:pPr>
                              <w:pStyle w:val="24"/>
                              <w:rPr>
                                <w:rFonts w:ascii="宋体"/>
                                <w:sz w:val="23"/>
                              </w:rPr>
                            </w:pPr>
                          </w:p>
                          <w:p>
                            <w:pPr>
                              <w:pStyle w:val="24"/>
                              <w:ind w:left="112"/>
                              <w:rPr>
                                <w:rFonts w:ascii="宋体"/>
                                <w:sz w:val="21"/>
                              </w:rPr>
                            </w:pPr>
                            <w:r>
                              <w:rPr>
                                <w:rFonts w:ascii="宋体"/>
                                <w:sz w:val="21"/>
                              </w:rPr>
                              <w:t>21</w:t>
                            </w:r>
                          </w:p>
                        </w:tc>
                        <w:tc>
                          <w:tcPr>
                            <w:tcW w:w="4819" w:type="dxa"/>
                            <w:tcBorders>
                              <w:left w:val="single" w:color="000000" w:sz="4" w:space="0"/>
                              <w:bottom w:val="single" w:color="000000" w:sz="4" w:space="0"/>
                              <w:right w:val="single" w:color="000000" w:sz="4" w:space="0"/>
                            </w:tcBorders>
                          </w:tcPr>
                          <w:p>
                            <w:pPr>
                              <w:pStyle w:val="24"/>
                              <w:spacing w:before="8"/>
                              <w:rPr>
                                <w:rFonts w:ascii="宋体"/>
                                <w:sz w:val="21"/>
                              </w:rPr>
                            </w:pPr>
                          </w:p>
                          <w:p>
                            <w:pPr>
                              <w:pStyle w:val="24"/>
                              <w:spacing w:line="242" w:lineRule="auto"/>
                              <w:ind w:left="60" w:right="128"/>
                              <w:jc w:val="both"/>
                              <w:rPr>
                                <w:rFonts w:ascii="宋体" w:eastAsia="宋体"/>
                                <w:sz w:val="21"/>
                              </w:rPr>
                            </w:pPr>
                            <w:r>
                              <w:rPr>
                                <w:rFonts w:hint="eastAsia" w:ascii="宋体" w:eastAsia="宋体"/>
                                <w:w w:val="95"/>
                                <w:sz w:val="21"/>
                              </w:rPr>
                              <w:t xml:space="preserve">明确企业向当地人民政府及其环保等部门报告的责 任人、程序、时限方式、内容等，辅以信息报告格 </w:t>
                            </w:r>
                            <w:r>
                              <w:rPr>
                                <w:rFonts w:hint="eastAsia" w:ascii="宋体" w:eastAsia="宋体"/>
                                <w:sz w:val="21"/>
                              </w:rPr>
                              <w:t>式规范</w:t>
                            </w:r>
                          </w:p>
                        </w:tc>
                        <w:tc>
                          <w:tcPr>
                            <w:tcW w:w="1276" w:type="dxa"/>
                            <w:tcBorders>
                              <w:left w:val="single" w:color="000000" w:sz="4" w:space="0"/>
                              <w:bottom w:val="single" w:color="000000" w:sz="4" w:space="0"/>
                              <w:right w:val="single" w:color="000000" w:sz="4" w:space="0"/>
                            </w:tcBorders>
                          </w:tcPr>
                          <w:p>
                            <w:pPr>
                              <w:pStyle w:val="24"/>
                              <w:spacing w:before="8"/>
                              <w:rPr>
                                <w:rFonts w:ascii="宋体"/>
                                <w:sz w:val="21"/>
                              </w:rPr>
                            </w:pPr>
                          </w:p>
                          <w:p>
                            <w:pPr>
                              <w:pStyle w:val="24"/>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3"/>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left w:val="single" w:color="000000" w:sz="4" w:space="0"/>
                              <w:bottom w:val="single" w:color="000000" w:sz="4" w:space="0"/>
                              <w:right w:val="single" w:color="000000" w:sz="4" w:space="0"/>
                            </w:tcBorders>
                          </w:tcPr>
                          <w:p>
                            <w:pPr>
                              <w:pStyle w:val="24"/>
                              <w:rPr>
                                <w:rFonts w:ascii="Times New Roman"/>
                                <w:sz w:val="20"/>
                              </w:rPr>
                            </w:pPr>
                          </w:p>
                        </w:tc>
                        <w:tc>
                          <w:tcPr>
                            <w:tcW w:w="669" w:type="dxa"/>
                            <w:tcBorders>
                              <w:left w:val="single" w:color="000000" w:sz="4" w:space="0"/>
                              <w:bottom w:val="single" w:color="000000" w:sz="4" w:space="0"/>
                              <w:right w:val="single" w:color="000000" w:sz="4" w:space="0"/>
                            </w:tcBorders>
                          </w:tcPr>
                          <w:p>
                            <w:pPr>
                              <w:pStyle w:val="24"/>
                              <w:rPr>
                                <w:rFonts w:ascii="Times New Roman"/>
                                <w:sz w:val="20"/>
                              </w:rPr>
                            </w:pPr>
                          </w:p>
                        </w:tc>
                        <w:tc>
                          <w:tcPr>
                            <w:tcW w:w="4850" w:type="dxa"/>
                            <w:tcBorders>
                              <w:left w:val="single" w:color="000000" w:sz="4" w:space="0"/>
                              <w:bottom w:val="single" w:color="000000" w:sz="4" w:space="0"/>
                            </w:tcBorders>
                          </w:tcPr>
                          <w:p>
                            <w:pPr>
                              <w:pStyle w:val="24"/>
                              <w:spacing w:before="6" w:line="242" w:lineRule="auto"/>
                              <w:ind w:left="62" w:right="35"/>
                              <w:rPr>
                                <w:rFonts w:ascii="宋体" w:eastAsia="宋体"/>
                                <w:sz w:val="21"/>
                              </w:rPr>
                            </w:pPr>
                            <w:r>
                              <w:rPr>
                                <w:rFonts w:hint="eastAsia" w:ascii="宋体" w:eastAsia="宋体"/>
                                <w:spacing w:val="-10"/>
                                <w:w w:val="95"/>
                                <w:sz w:val="21"/>
                              </w:rPr>
                              <w:t xml:space="preserve">从企业报告决策人、报告负责人到当地人民政府及其 </w:t>
                            </w:r>
                            <w:r>
                              <w:rPr>
                                <w:rFonts w:hint="eastAsia" w:ascii="宋体" w:eastAsia="宋体"/>
                                <w:spacing w:val="-14"/>
                                <w:w w:val="95"/>
                                <w:sz w:val="21"/>
                              </w:rPr>
                              <w:t>环保部门负责人</w:t>
                            </w:r>
                            <w:r>
                              <w:rPr>
                                <w:rFonts w:hint="eastAsia" w:ascii="宋体" w:eastAsia="宋体"/>
                                <w:w w:val="95"/>
                                <w:sz w:val="21"/>
                              </w:rPr>
                              <w:t>（单位</w:t>
                            </w:r>
                            <w:r>
                              <w:rPr>
                                <w:rFonts w:hint="eastAsia" w:ascii="宋体" w:eastAsia="宋体"/>
                                <w:spacing w:val="-32"/>
                                <w:w w:val="95"/>
                                <w:sz w:val="21"/>
                              </w:rPr>
                              <w:t>）</w:t>
                            </w:r>
                            <w:r>
                              <w:rPr>
                                <w:rFonts w:hint="eastAsia" w:ascii="宋体" w:eastAsia="宋体"/>
                                <w:spacing w:val="-4"/>
                                <w:w w:val="95"/>
                                <w:sz w:val="21"/>
                              </w:rPr>
                              <w:t xml:space="preserve">之间信息传递的方式、方法 </w:t>
                            </w:r>
                            <w:r>
                              <w:rPr>
                                <w:rFonts w:hint="eastAsia" w:ascii="宋体" w:eastAsia="宋体"/>
                                <w:spacing w:val="-17"/>
                                <w:sz w:val="21"/>
                              </w:rPr>
                              <w:t>及内容，内容一般包括企业及周边概况、事件的时间</w:t>
                            </w:r>
                            <w:r>
                              <w:rPr>
                                <w:rFonts w:hint="eastAsia" w:ascii="宋体" w:eastAsia="宋体"/>
                                <w:spacing w:val="-13"/>
                                <w:w w:val="95"/>
                                <w:sz w:val="21"/>
                              </w:rPr>
                              <w:t>地点、涉及物质、简要经过、已造成或者可能造成的</w:t>
                            </w:r>
                          </w:p>
                          <w:p>
                            <w:pPr>
                              <w:pStyle w:val="24"/>
                              <w:spacing w:before="3" w:line="251" w:lineRule="exact"/>
                              <w:ind w:left="62"/>
                              <w:rPr>
                                <w:rFonts w:ascii="宋体" w:eastAsia="宋体"/>
                                <w:sz w:val="21"/>
                              </w:rPr>
                            </w:pPr>
                            <w:r>
                              <w:rPr>
                                <w:rFonts w:hint="eastAsia" w:ascii="宋体" w:eastAsia="宋体"/>
                                <w:sz w:val="21"/>
                              </w:rPr>
                              <w:t>污染情况、已采取的措施、请求支持的内容等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3"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173"/>
                              <w:ind w:left="112"/>
                              <w:rPr>
                                <w:rFonts w:ascii="宋体"/>
                                <w:sz w:val="21"/>
                              </w:rPr>
                            </w:pPr>
                            <w:r>
                              <w:rPr>
                                <w:rFonts w:ascii="宋体"/>
                                <w:sz w:val="21"/>
                              </w:rPr>
                              <w:t>22</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3"/>
                              </w:rPr>
                            </w:pPr>
                          </w:p>
                          <w:p>
                            <w:pPr>
                              <w:pStyle w:val="24"/>
                              <w:spacing w:line="242" w:lineRule="auto"/>
                              <w:ind w:left="60" w:right="147"/>
                              <w:rPr>
                                <w:rFonts w:ascii="宋体" w:eastAsia="宋体"/>
                                <w:sz w:val="21"/>
                              </w:rPr>
                            </w:pPr>
                            <w:r>
                              <w:rPr>
                                <w:rFonts w:hint="eastAsia" w:ascii="宋体" w:eastAsia="宋体"/>
                                <w:spacing w:val="-2"/>
                                <w:w w:val="95"/>
                                <w:sz w:val="21"/>
                              </w:rPr>
                              <w:t xml:space="preserve">明确企业向可能受影响的居民、单位通报的责任人 </w:t>
                            </w:r>
                            <w:r>
                              <w:rPr>
                                <w:rFonts w:hint="eastAsia" w:ascii="宋体" w:eastAsia="宋体"/>
                                <w:spacing w:val="-2"/>
                                <w:sz w:val="21"/>
                              </w:rPr>
                              <w:t>程序、时限、方式、内容等</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82" w:line="156" w:lineRule="auto"/>
                              <w:ind w:left="-158"/>
                              <w:rPr>
                                <w:rFonts w:ascii="宋体" w:hAnsi="宋体" w:eastAsia="宋体"/>
                                <w:sz w:val="21"/>
                              </w:rPr>
                            </w:pPr>
                            <w:r>
                              <w:rPr>
                                <w:rFonts w:hint="eastAsia" w:ascii="宋体" w:hAnsi="宋体" w:eastAsia="宋体"/>
                                <w:position w:val="-13"/>
                                <w:sz w:val="21"/>
                              </w:rPr>
                              <w:t>、</w:t>
                            </w:r>
                            <w:r>
                              <w:rPr>
                                <w:rFonts w:hint="eastAsia" w:ascii="宋体" w:hAnsi="宋体" w:eastAsia="宋体"/>
                                <w:sz w:val="21"/>
                              </w:rPr>
                              <w:sym w:font="Wingdings 2" w:char="0052"/>
                            </w:r>
                            <w:r>
                              <w:rPr>
                                <w:rFonts w:hint="eastAsia" w:ascii="宋体" w:hAnsi="宋体" w:eastAsia="宋体"/>
                                <w:sz w:val="21"/>
                              </w:rPr>
                              <w:t>符合</w:t>
                            </w:r>
                          </w:p>
                          <w:p>
                            <w:pPr>
                              <w:pStyle w:val="24"/>
                              <w:spacing w:line="201" w:lineRule="exact"/>
                              <w:ind w:left="60"/>
                              <w:rPr>
                                <w:rFonts w:ascii="宋体" w:hAnsi="宋体" w:eastAsia="宋体"/>
                                <w:sz w:val="21"/>
                              </w:rPr>
                            </w:pPr>
                            <w:r>
                              <w:rPr>
                                <w:rFonts w:hint="eastAsia" w:ascii="宋体" w:hAnsi="宋体" w:eastAsia="宋体"/>
                                <w:sz w:val="21"/>
                              </w:rPr>
                              <w:t>□部分符合</w:t>
                            </w:r>
                          </w:p>
                          <w:p>
                            <w:pPr>
                              <w:pStyle w:val="24"/>
                              <w:spacing w:before="5"/>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21" w:line="242" w:lineRule="auto"/>
                              <w:ind w:left="62" w:right="37"/>
                              <w:jc w:val="both"/>
                              <w:rPr>
                                <w:rFonts w:ascii="宋体" w:eastAsia="宋体"/>
                                <w:sz w:val="21"/>
                              </w:rPr>
                            </w:pPr>
                            <w:r>
                              <w:rPr>
                                <w:rFonts w:hint="eastAsia" w:ascii="宋体" w:eastAsia="宋体"/>
                                <w:spacing w:val="-9"/>
                                <w:w w:val="95"/>
                                <w:sz w:val="21"/>
                              </w:rPr>
                              <w:t xml:space="preserve">从企业通报决策人、通报负责人到周边居民、单位负 </w:t>
                            </w:r>
                            <w:r>
                              <w:rPr>
                                <w:rFonts w:hint="eastAsia" w:ascii="宋体" w:eastAsia="宋体"/>
                                <w:spacing w:val="-15"/>
                                <w:w w:val="95"/>
                                <w:sz w:val="21"/>
                              </w:rPr>
                              <w:t xml:space="preserve">责人之间信息传递的方式、方法及内容，内容一般包 </w:t>
                            </w:r>
                            <w:r>
                              <w:rPr>
                                <w:rFonts w:hint="eastAsia" w:ascii="宋体" w:eastAsia="宋体"/>
                                <w:spacing w:val="-19"/>
                                <w:w w:val="95"/>
                                <w:sz w:val="21"/>
                              </w:rPr>
                              <w:t xml:space="preserve">括事件已造成或者可能造成的污染情况、居民或单位 </w:t>
                            </w:r>
                            <w:r>
                              <w:rPr>
                                <w:rFonts w:hint="eastAsia" w:ascii="宋体" w:eastAsia="宋体"/>
                                <w:spacing w:val="-19"/>
                                <w:sz w:val="21"/>
                              </w:rPr>
                              <w:t>避险措施等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1" w:hRule="atLeast"/>
                        </w:trPr>
                        <w:tc>
                          <w:tcPr>
                            <w:tcW w:w="1134" w:type="dxa"/>
                            <w:vMerge w:val="restart"/>
                            <w:tcBorders>
                              <w:top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rPr>
                                <w:rFonts w:ascii="宋体"/>
                                <w:sz w:val="20"/>
                              </w:rPr>
                            </w:pPr>
                          </w:p>
                          <w:p>
                            <w:pPr>
                              <w:pStyle w:val="24"/>
                              <w:spacing w:before="4"/>
                              <w:rPr>
                                <w:rFonts w:ascii="宋体"/>
                                <w:sz w:val="27"/>
                              </w:rPr>
                            </w:pPr>
                          </w:p>
                          <w:p>
                            <w:pPr>
                              <w:pStyle w:val="24"/>
                              <w:ind w:left="146"/>
                              <w:rPr>
                                <w:rFonts w:ascii="宋体" w:eastAsia="宋体"/>
                                <w:sz w:val="21"/>
                              </w:rPr>
                            </w:pPr>
                            <w:r>
                              <w:rPr>
                                <w:rFonts w:hint="eastAsia" w:ascii="宋体" w:eastAsia="宋体"/>
                                <w:sz w:val="21"/>
                              </w:rPr>
                              <w:t>应急监测</w:t>
                            </w: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rPr>
                            </w:pPr>
                          </w:p>
                          <w:p>
                            <w:pPr>
                              <w:pStyle w:val="24"/>
                              <w:spacing w:before="4"/>
                              <w:rPr>
                                <w:rFonts w:ascii="宋体"/>
                                <w:sz w:val="20"/>
                              </w:rPr>
                            </w:pPr>
                          </w:p>
                          <w:p>
                            <w:pPr>
                              <w:pStyle w:val="24"/>
                              <w:spacing w:before="1"/>
                              <w:ind w:left="85"/>
                              <w:rPr>
                                <w:rFonts w:ascii="宋体"/>
                                <w:sz w:val="10"/>
                              </w:rPr>
                            </w:pPr>
                            <w:r>
                              <w:rPr>
                                <w:rFonts w:ascii="宋体"/>
                                <w:spacing w:val="1"/>
                                <w:w w:val="99"/>
                                <w:sz w:val="21"/>
                              </w:rPr>
                              <w:t>23</w:t>
                            </w:r>
                            <w:r>
                              <w:rPr>
                                <w:rFonts w:ascii="宋体"/>
                                <w:w w:val="106"/>
                                <w:position w:val="10"/>
                                <w:sz w:val="10"/>
                              </w:rPr>
                              <w:t>c</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152" w:line="242" w:lineRule="auto"/>
                              <w:ind w:left="60" w:right="128"/>
                              <w:rPr>
                                <w:rFonts w:ascii="宋体" w:eastAsia="宋体"/>
                                <w:sz w:val="21"/>
                              </w:rPr>
                            </w:pPr>
                            <w:r>
                              <w:rPr>
                                <w:rFonts w:hint="eastAsia" w:ascii="宋体" w:eastAsia="宋体"/>
                                <w:w w:val="95"/>
                                <w:sz w:val="21"/>
                              </w:rPr>
                              <w:t xml:space="preserve">涉大气污染的，说明排放口和厂界液态监测的一般 </w:t>
                            </w:r>
                            <w:r>
                              <w:rPr>
                                <w:rFonts w:hint="eastAsia" w:ascii="宋体" w:eastAsia="宋体"/>
                                <w:sz w:val="21"/>
                              </w:rPr>
                              <w:t>原则</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2"/>
                              <w:rPr>
                                <w:rFonts w:ascii="宋体"/>
                                <w:sz w:val="21"/>
                              </w:rPr>
                            </w:pPr>
                          </w:p>
                          <w:p>
                            <w:pPr>
                              <w:pStyle w:val="24"/>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3"/>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line="242" w:lineRule="auto"/>
                              <w:ind w:left="62" w:right="37"/>
                              <w:rPr>
                                <w:rFonts w:ascii="宋体" w:eastAsia="宋体"/>
                                <w:sz w:val="21"/>
                              </w:rPr>
                            </w:pPr>
                            <w:r>
                              <w:rPr>
                                <w:rFonts w:hint="eastAsia" w:ascii="宋体" w:eastAsia="宋体"/>
                                <w:spacing w:val="-16"/>
                                <w:sz w:val="21"/>
                              </w:rPr>
                              <w:t>按照《突发环境事件应急监测技术规范》等有关要求</w:t>
                            </w:r>
                            <w:r>
                              <w:rPr>
                                <w:rFonts w:hint="eastAsia" w:ascii="宋体" w:eastAsia="宋体"/>
                                <w:spacing w:val="-19"/>
                                <w:w w:val="95"/>
                                <w:sz w:val="21"/>
                              </w:rPr>
                              <w:t xml:space="preserve">确定排放口和厂界液态监测一般原则，为针对具体事 </w:t>
                            </w:r>
                            <w:r>
                              <w:rPr>
                                <w:rFonts w:hint="eastAsia" w:ascii="宋体" w:eastAsia="宋体"/>
                                <w:spacing w:val="-19"/>
                                <w:sz w:val="21"/>
                              </w:rPr>
                              <w:t>件情景制定监测方案提供指导；</w:t>
                            </w:r>
                          </w:p>
                          <w:p>
                            <w:pPr>
                              <w:pStyle w:val="24"/>
                              <w:spacing w:before="1"/>
                              <w:ind w:left="62"/>
                              <w:rPr>
                                <w:rFonts w:ascii="宋体" w:eastAsia="宋体"/>
                                <w:sz w:val="21"/>
                              </w:rPr>
                            </w:pPr>
                            <w:r>
                              <w:rPr>
                                <w:rFonts w:hint="eastAsia" w:ascii="宋体" w:eastAsia="宋体"/>
                                <w:spacing w:val="-5"/>
                                <w:sz w:val="21"/>
                              </w:rPr>
                              <w:t>排放口为突发环境事件中污染物的排放出口，包括按</w:t>
                            </w:r>
                          </w:p>
                          <w:p>
                            <w:pPr>
                              <w:pStyle w:val="24"/>
                              <w:spacing w:before="5" w:line="251" w:lineRule="exact"/>
                              <w:ind w:left="62"/>
                              <w:rPr>
                                <w:rFonts w:ascii="宋体" w:eastAsia="宋体"/>
                                <w:sz w:val="21"/>
                              </w:rPr>
                            </w:pPr>
                            <w:r>
                              <w:rPr>
                                <w:rFonts w:hint="eastAsia" w:ascii="宋体" w:eastAsia="宋体"/>
                                <w:sz w:val="21"/>
                              </w:rPr>
                              <w:t>照相关环境保护标准设置的排放口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3"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rPr>
                            </w:pPr>
                          </w:p>
                          <w:p>
                            <w:pPr>
                              <w:pStyle w:val="24"/>
                              <w:spacing w:before="150"/>
                              <w:ind w:left="85"/>
                              <w:rPr>
                                <w:rFonts w:ascii="宋体"/>
                                <w:sz w:val="10"/>
                              </w:rPr>
                            </w:pPr>
                            <w:r>
                              <w:rPr>
                                <w:rFonts w:ascii="宋体"/>
                                <w:spacing w:val="1"/>
                                <w:w w:val="99"/>
                                <w:sz w:val="21"/>
                              </w:rPr>
                              <w:t>24</w:t>
                            </w:r>
                            <w:r>
                              <w:rPr>
                                <w:rFonts w:ascii="宋体"/>
                                <w:w w:val="106"/>
                                <w:position w:val="11"/>
                                <w:sz w:val="10"/>
                              </w:rPr>
                              <w:t>c</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3"/>
                              </w:rPr>
                            </w:pPr>
                          </w:p>
                          <w:p>
                            <w:pPr>
                              <w:pStyle w:val="24"/>
                              <w:spacing w:line="242" w:lineRule="auto"/>
                              <w:ind w:left="60" w:right="128"/>
                              <w:rPr>
                                <w:rFonts w:ascii="宋体" w:eastAsia="宋体"/>
                                <w:sz w:val="21"/>
                              </w:rPr>
                            </w:pPr>
                            <w:r>
                              <w:rPr>
                                <w:rFonts w:hint="eastAsia" w:ascii="宋体" w:eastAsia="宋体"/>
                                <w:w w:val="95"/>
                                <w:sz w:val="21"/>
                              </w:rPr>
                              <w:t xml:space="preserve">涉水污染的，说明废水排放口、雨水排放口、清净 </w:t>
                            </w:r>
                            <w:r>
                              <w:rPr>
                                <w:rFonts w:hint="eastAsia" w:ascii="宋体" w:eastAsia="宋体"/>
                                <w:sz w:val="21"/>
                              </w:rPr>
                              <w:t>下水排放口等可能外排渠道监测的一般原则</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58"/>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5"/>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158" w:line="242" w:lineRule="auto"/>
                              <w:ind w:left="62" w:right="37"/>
                              <w:rPr>
                                <w:rFonts w:ascii="宋体" w:eastAsia="宋体"/>
                                <w:sz w:val="21"/>
                              </w:rPr>
                            </w:pPr>
                            <w:r>
                              <w:rPr>
                                <w:rFonts w:hint="eastAsia" w:ascii="宋体" w:eastAsia="宋体"/>
                                <w:spacing w:val="-16"/>
                                <w:sz w:val="21"/>
                              </w:rPr>
                              <w:t>按照《突发环境事件应急监测技术规范》等有关要求</w:t>
                            </w:r>
                            <w:r>
                              <w:rPr>
                                <w:rFonts w:hint="eastAsia" w:ascii="宋体" w:eastAsia="宋体"/>
                                <w:spacing w:val="-18"/>
                                <w:w w:val="95"/>
                                <w:sz w:val="21"/>
                              </w:rPr>
                              <w:t xml:space="preserve">确定可能外排渠道监测的一般原则，为针对具体事件 </w:t>
                            </w:r>
                            <w:r>
                              <w:rPr>
                                <w:rFonts w:hint="eastAsia" w:ascii="宋体" w:eastAsia="宋体"/>
                                <w:spacing w:val="-18"/>
                                <w:sz w:val="21"/>
                              </w:rPr>
                              <w:t>情景制定监测方案提供指导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2"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7"/>
                              <w:rPr>
                                <w:rFonts w:ascii="宋体"/>
                                <w:sz w:val="24"/>
                              </w:rPr>
                            </w:pPr>
                          </w:p>
                          <w:p>
                            <w:pPr>
                              <w:pStyle w:val="24"/>
                              <w:ind w:left="112"/>
                              <w:rPr>
                                <w:rFonts w:ascii="宋体"/>
                                <w:sz w:val="21"/>
                              </w:rPr>
                            </w:pPr>
                            <w:r>
                              <w:rPr>
                                <w:rFonts w:ascii="宋体"/>
                                <w:sz w:val="21"/>
                              </w:rPr>
                              <w:t>25</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178" w:line="244" w:lineRule="auto"/>
                              <w:ind w:left="60" w:right="147"/>
                              <w:rPr>
                                <w:rFonts w:ascii="宋体" w:eastAsia="宋体"/>
                                <w:sz w:val="21"/>
                              </w:rPr>
                            </w:pPr>
                            <w:r>
                              <w:rPr>
                                <w:rFonts w:hint="eastAsia" w:ascii="宋体" w:eastAsia="宋体"/>
                                <w:spacing w:val="-2"/>
                                <w:w w:val="95"/>
                                <w:sz w:val="21"/>
                              </w:rPr>
                              <w:t>监测方案一般应明确监测项目、采样</w:t>
                            </w:r>
                            <w:r>
                              <w:rPr>
                                <w:rFonts w:hint="eastAsia" w:ascii="宋体" w:eastAsia="宋体"/>
                                <w:w w:val="95"/>
                                <w:sz w:val="21"/>
                              </w:rPr>
                              <w:t>（监测</w:t>
                            </w:r>
                            <w:r>
                              <w:rPr>
                                <w:rFonts w:hint="eastAsia" w:ascii="宋体" w:eastAsia="宋体"/>
                                <w:spacing w:val="-5"/>
                                <w:w w:val="95"/>
                                <w:sz w:val="21"/>
                              </w:rPr>
                              <w:t>）</w:t>
                            </w:r>
                            <w:r>
                              <w:rPr>
                                <w:rFonts w:hint="eastAsia" w:ascii="宋体" w:eastAsia="宋体"/>
                                <w:w w:val="95"/>
                                <w:sz w:val="21"/>
                              </w:rPr>
                              <w:t xml:space="preserve">人员 </w:t>
                            </w:r>
                            <w:r>
                              <w:rPr>
                                <w:rFonts w:hint="eastAsia" w:ascii="宋体" w:eastAsia="宋体"/>
                                <w:sz w:val="21"/>
                              </w:rPr>
                              <w:t>监测设备、监测频次等</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71" w:line="158" w:lineRule="auto"/>
                              <w:ind w:left="-158"/>
                              <w:rPr>
                                <w:rFonts w:ascii="宋体" w:hAnsi="宋体" w:eastAsia="宋体"/>
                                <w:sz w:val="21"/>
                              </w:rPr>
                            </w:pPr>
                            <w:r>
                              <w:rPr>
                                <w:rFonts w:hint="eastAsia" w:ascii="宋体" w:hAnsi="宋体" w:eastAsia="宋体"/>
                                <w:position w:val="-12"/>
                                <w:sz w:val="21"/>
                              </w:rPr>
                              <w:t>、</w:t>
                            </w:r>
                            <w:r>
                              <w:rPr>
                                <w:rFonts w:hint="eastAsia" w:ascii="宋体" w:hAnsi="宋体" w:eastAsia="宋体"/>
                                <w:sz w:val="21"/>
                              </w:rPr>
                              <w:t>□符合</w:t>
                            </w:r>
                          </w:p>
                          <w:p>
                            <w:pPr>
                              <w:pStyle w:val="24"/>
                              <w:spacing w:line="205" w:lineRule="exact"/>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7"/>
                              <w:rPr>
                                <w:rFonts w:ascii="宋体"/>
                                <w:sz w:val="24"/>
                              </w:rPr>
                            </w:pPr>
                          </w:p>
                          <w:p>
                            <w:pPr>
                              <w:pStyle w:val="24"/>
                              <w:ind w:left="62"/>
                              <w:rPr>
                                <w:rFonts w:ascii="宋体" w:eastAsia="宋体"/>
                                <w:sz w:val="21"/>
                              </w:rPr>
                            </w:pPr>
                            <w:r>
                              <w:rPr>
                                <w:rFonts w:hint="eastAsia" w:ascii="宋体" w:eastAsia="宋体"/>
                                <w:sz w:val="21"/>
                              </w:rPr>
                              <w:t>针对具体事件情景制定监测方案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3"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174"/>
                              <w:ind w:left="112"/>
                              <w:rPr>
                                <w:rFonts w:ascii="宋体"/>
                                <w:sz w:val="21"/>
                              </w:rPr>
                            </w:pPr>
                            <w:r>
                              <w:rPr>
                                <w:rFonts w:ascii="宋体"/>
                                <w:sz w:val="21"/>
                              </w:rPr>
                              <w:t>26</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1"/>
                              <w:rPr>
                                <w:rFonts w:ascii="宋体"/>
                                <w:sz w:val="23"/>
                              </w:rPr>
                            </w:pPr>
                          </w:p>
                          <w:p>
                            <w:pPr>
                              <w:pStyle w:val="24"/>
                              <w:spacing w:line="242" w:lineRule="auto"/>
                              <w:ind w:left="60" w:right="128"/>
                              <w:rPr>
                                <w:rFonts w:ascii="宋体" w:eastAsia="宋体"/>
                                <w:sz w:val="21"/>
                              </w:rPr>
                            </w:pPr>
                            <w:r>
                              <w:rPr>
                                <w:rFonts w:hint="eastAsia" w:ascii="宋体" w:eastAsia="宋体"/>
                                <w:w w:val="95"/>
                                <w:sz w:val="21"/>
                              </w:rPr>
                              <w:t xml:space="preserve">明确监测执行单位；自身没有监测能力的，说明协 </w:t>
                            </w:r>
                            <w:r>
                              <w:rPr>
                                <w:rFonts w:hint="eastAsia" w:ascii="宋体" w:eastAsia="宋体"/>
                                <w:sz w:val="21"/>
                              </w:rPr>
                              <w:t>议监测方案，并附协议</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59"/>
                              <w:ind w:left="60"/>
                              <w:rPr>
                                <w:rFonts w:ascii="宋体" w:hAnsi="宋体" w:eastAsia="宋体"/>
                                <w:sz w:val="21"/>
                              </w:rPr>
                            </w:pP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5"/>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1"/>
                              <w:rPr>
                                <w:rFonts w:ascii="宋体"/>
                                <w:sz w:val="23"/>
                              </w:rPr>
                            </w:pPr>
                          </w:p>
                          <w:p>
                            <w:pPr>
                              <w:pStyle w:val="24"/>
                              <w:spacing w:line="242" w:lineRule="auto"/>
                              <w:ind w:left="62" w:right="37"/>
                              <w:rPr>
                                <w:rFonts w:ascii="宋体" w:eastAsia="宋体"/>
                                <w:sz w:val="21"/>
                              </w:rPr>
                            </w:pPr>
                            <w:r>
                              <w:rPr>
                                <w:rFonts w:hint="eastAsia" w:ascii="宋体" w:eastAsia="宋体"/>
                                <w:spacing w:val="-10"/>
                                <w:w w:val="95"/>
                                <w:sz w:val="21"/>
                              </w:rPr>
                              <w:t xml:space="preserve">自身没有监测能力的，应与当地环境监测机构或其他 </w:t>
                            </w:r>
                            <w:r>
                              <w:rPr>
                                <w:rFonts w:hint="eastAsia" w:ascii="宋体" w:eastAsia="宋体"/>
                                <w:spacing w:val="-10"/>
                                <w:sz w:val="21"/>
                              </w:rPr>
                              <w:t>机构衔接，确保能够迅速获得环境检测支持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3" w:hRule="atLeast"/>
                        </w:trPr>
                        <w:tc>
                          <w:tcPr>
                            <w:tcW w:w="1134" w:type="dxa"/>
                            <w:vMerge w:val="restart"/>
                            <w:tcBorders>
                              <w:top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spacing w:before="9"/>
                              <w:rPr>
                                <w:rFonts w:ascii="宋体"/>
                                <w:sz w:val="27"/>
                              </w:rPr>
                            </w:pPr>
                          </w:p>
                          <w:p>
                            <w:pPr>
                              <w:pStyle w:val="24"/>
                              <w:spacing w:line="242" w:lineRule="auto"/>
                              <w:ind w:left="252" w:right="132" w:hanging="106"/>
                              <w:rPr>
                                <w:rFonts w:ascii="宋体" w:eastAsia="宋体"/>
                                <w:sz w:val="21"/>
                              </w:rPr>
                            </w:pPr>
                            <w:r>
                              <w:rPr>
                                <w:rFonts w:hint="eastAsia" w:ascii="宋体" w:eastAsia="宋体"/>
                                <w:sz w:val="21"/>
                              </w:rPr>
                              <w:t>应对流程和措施</w:t>
                            </w: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rPr>
                            </w:pPr>
                          </w:p>
                          <w:p>
                            <w:pPr>
                              <w:pStyle w:val="24"/>
                              <w:spacing w:before="149"/>
                              <w:ind w:left="85"/>
                              <w:rPr>
                                <w:rFonts w:ascii="宋体"/>
                                <w:sz w:val="10"/>
                              </w:rPr>
                            </w:pPr>
                            <w:r>
                              <w:rPr>
                                <w:rFonts w:ascii="宋体"/>
                                <w:spacing w:val="1"/>
                                <w:w w:val="99"/>
                                <w:sz w:val="21"/>
                              </w:rPr>
                              <w:t>27</w:t>
                            </w:r>
                            <w:r>
                              <w:rPr>
                                <w:rFonts w:ascii="宋体"/>
                                <w:w w:val="106"/>
                                <w:position w:val="11"/>
                                <w:sz w:val="10"/>
                              </w:rPr>
                              <w:t>b</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23" w:line="242" w:lineRule="auto"/>
                              <w:ind w:left="60" w:right="128"/>
                              <w:rPr>
                                <w:rFonts w:ascii="宋体" w:eastAsia="宋体"/>
                                <w:sz w:val="21"/>
                              </w:rPr>
                            </w:pPr>
                            <w:r>
                              <w:rPr>
                                <w:rFonts w:hint="eastAsia" w:ascii="宋体" w:eastAsia="宋体"/>
                                <w:w w:val="95"/>
                                <w:sz w:val="21"/>
                              </w:rPr>
                              <w:t xml:space="preserve">根据环境风险评估报告中的风险分析和情景构建内 容，说明应对流程和措施，体现：企业内部控制污 </w:t>
                            </w:r>
                            <w:r>
                              <w:rPr>
                                <w:rFonts w:hint="eastAsia" w:ascii="宋体" w:eastAsia="宋体"/>
                                <w:sz w:val="21"/>
                              </w:rPr>
                              <w:t>染源-研判污染范围-控制污染扩散-污染处置应对流程和措施</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60"/>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vMerge w:val="restart"/>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rPr>
                                <w:rFonts w:ascii="宋体"/>
                                <w:sz w:val="20"/>
                              </w:rPr>
                            </w:pPr>
                          </w:p>
                          <w:p>
                            <w:pPr>
                              <w:pStyle w:val="24"/>
                              <w:spacing w:before="175"/>
                              <w:ind w:left="62"/>
                              <w:rPr>
                                <w:rFonts w:ascii="宋体" w:eastAsia="宋体"/>
                                <w:sz w:val="21"/>
                              </w:rPr>
                            </w:pPr>
                            <w:r>
                              <w:rPr>
                                <w:rFonts w:hint="eastAsia" w:ascii="宋体" w:eastAsia="宋体"/>
                                <w:sz w:val="21"/>
                              </w:rPr>
                              <w:t>企业内部应对突发环境事件的原则性措施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1"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rPr>
                            </w:pPr>
                          </w:p>
                          <w:p>
                            <w:pPr>
                              <w:pStyle w:val="24"/>
                              <w:spacing w:before="150"/>
                              <w:ind w:left="85"/>
                              <w:rPr>
                                <w:rFonts w:ascii="宋体"/>
                                <w:sz w:val="10"/>
                              </w:rPr>
                            </w:pPr>
                            <w:r>
                              <w:rPr>
                                <w:rFonts w:ascii="宋体"/>
                                <w:spacing w:val="1"/>
                                <w:w w:val="99"/>
                                <w:sz w:val="21"/>
                              </w:rPr>
                              <w:t>28</w:t>
                            </w:r>
                            <w:r>
                              <w:rPr>
                                <w:rFonts w:ascii="宋体"/>
                                <w:w w:val="106"/>
                                <w:position w:val="11"/>
                                <w:sz w:val="10"/>
                              </w:rPr>
                              <w:t>b</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3"/>
                              </w:rPr>
                            </w:pPr>
                          </w:p>
                          <w:p>
                            <w:pPr>
                              <w:pStyle w:val="24"/>
                              <w:spacing w:line="242" w:lineRule="auto"/>
                              <w:ind w:left="60" w:right="128"/>
                              <w:rPr>
                                <w:rFonts w:ascii="宋体" w:eastAsia="宋体"/>
                                <w:sz w:val="21"/>
                              </w:rPr>
                            </w:pPr>
                            <w:r>
                              <w:rPr>
                                <w:rFonts w:hint="eastAsia" w:ascii="宋体" w:eastAsia="宋体"/>
                                <w:w w:val="95"/>
                                <w:sz w:val="21"/>
                              </w:rPr>
                              <w:t xml:space="preserve">体现必要的企业外部应急措施、配合当地人民政府 </w:t>
                            </w:r>
                            <w:r>
                              <w:rPr>
                                <w:rFonts w:hint="eastAsia" w:ascii="宋体" w:eastAsia="宋体"/>
                                <w:sz w:val="21"/>
                              </w:rPr>
                              <w:t>的响应措施及对当地人民政府应急措施的建议</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58"/>
                              <w:ind w:left="60"/>
                              <w:rPr>
                                <w:rFonts w:ascii="宋体" w:hAnsi="宋体" w:eastAsia="宋体"/>
                                <w:sz w:val="21"/>
                              </w:rPr>
                            </w:pPr>
                            <w:r>
                              <w:rPr>
                                <w:rFonts w:hint="eastAsia" w:ascii="宋体" w:hAnsi="宋体" w:eastAsia="宋体"/>
                                <w:sz w:val="21"/>
                              </w:rPr>
                              <w:t>□符合</w:t>
                            </w:r>
                          </w:p>
                          <w:p>
                            <w:pPr>
                              <w:pStyle w:val="24"/>
                              <w:spacing w:before="5"/>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vMerge w:val="continue"/>
                            <w:tcBorders>
                              <w:top w:val="nil"/>
                              <w:left w:val="single" w:color="000000" w:sz="4" w:space="0"/>
                              <w:bottom w:val="single" w:color="000000" w:sz="4" w:space="0"/>
                              <w:right w:val="single" w:color="000000" w:sz="4" w:space="0"/>
                            </w:tcBorders>
                          </w:tcPr>
                          <w:p>
                            <w:pPr>
                              <w:rPr>
                                <w:sz w:val="2"/>
                                <w:szCs w:val="2"/>
                              </w:rPr>
                            </w:pPr>
                          </w:p>
                        </w:tc>
                        <w:tc>
                          <w:tcPr>
                            <w:tcW w:w="669" w:type="dxa"/>
                            <w:vMerge w:val="continue"/>
                            <w:tcBorders>
                              <w:top w:val="nil"/>
                              <w:left w:val="single" w:color="000000" w:sz="4" w:space="0"/>
                              <w:bottom w:val="single" w:color="000000" w:sz="4" w:space="0"/>
                              <w:right w:val="single" w:color="000000" w:sz="4" w:space="0"/>
                            </w:tcBorders>
                          </w:tcPr>
                          <w:p>
                            <w:pPr>
                              <w:rPr>
                                <w:sz w:val="2"/>
                                <w:szCs w:val="2"/>
                              </w:rPr>
                            </w:pPr>
                          </w:p>
                        </w:tc>
                        <w:tc>
                          <w:tcPr>
                            <w:tcW w:w="4850" w:type="dxa"/>
                            <w:tcBorders>
                              <w:top w:val="single" w:color="000000" w:sz="4" w:space="0"/>
                              <w:left w:val="single" w:color="000000" w:sz="4" w:space="0"/>
                              <w:bottom w:val="single" w:color="000000" w:sz="4" w:space="0"/>
                            </w:tcBorders>
                          </w:tcPr>
                          <w:p>
                            <w:pPr>
                              <w:pStyle w:val="24"/>
                              <w:spacing w:before="158" w:line="242" w:lineRule="auto"/>
                              <w:ind w:left="62" w:right="35"/>
                              <w:jc w:val="both"/>
                              <w:rPr>
                                <w:rFonts w:ascii="宋体" w:eastAsia="宋体"/>
                                <w:sz w:val="21"/>
                              </w:rPr>
                            </w:pPr>
                            <w:r>
                              <w:rPr>
                                <w:rFonts w:hint="eastAsia" w:ascii="宋体" w:eastAsia="宋体"/>
                                <w:spacing w:val="3"/>
                                <w:w w:val="95"/>
                                <w:sz w:val="21"/>
                              </w:rPr>
                              <w:t xml:space="preserve">突发环境事件可能或已经对企业外部环境产生影响 </w:t>
                            </w:r>
                            <w:r>
                              <w:rPr>
                                <w:rFonts w:hint="eastAsia" w:ascii="宋体" w:eastAsia="宋体"/>
                                <w:spacing w:val="-10"/>
                                <w:w w:val="95"/>
                                <w:sz w:val="21"/>
                              </w:rPr>
                              <w:t xml:space="preserve">时，企业在外部可以采取的原则性措施、对当地人民 </w:t>
                            </w:r>
                            <w:r>
                              <w:rPr>
                                <w:rFonts w:hint="eastAsia" w:ascii="宋体" w:eastAsia="宋体"/>
                                <w:spacing w:val="-10"/>
                                <w:sz w:val="21"/>
                              </w:rPr>
                              <w:t>政府的建议性措施</w:t>
                            </w:r>
                          </w:p>
                        </w:tc>
                      </w:tr>
                    </w:tbl>
                    <w:p>
                      <w:pPr>
                        <w:pStyle w:val="10"/>
                      </w:pPr>
                    </w:p>
                  </w:txbxContent>
                </v:textbox>
              </v:shape>
            </w:pict>
          </mc:Fallback>
        </mc:AlternateContent>
      </w:r>
    </w:p>
    <w:p>
      <w:pPr>
        <w:pStyle w:val="10"/>
        <w:spacing w:before="4"/>
        <w:rPr>
          <w:rFonts w:ascii="宋体"/>
          <w:sz w:val="20"/>
        </w:rPr>
      </w:pPr>
    </w:p>
    <w:p>
      <w:pPr>
        <w:spacing w:before="70"/>
        <w:ind w:right="138"/>
        <w:jc w:val="right"/>
        <w:rPr>
          <w:rFonts w:ascii="宋体" w:eastAsia="宋体"/>
          <w:sz w:val="21"/>
        </w:rPr>
      </w:pPr>
      <w:r>
        <w:rPr>
          <w:rFonts w:hint="eastAsia" w:ascii="宋体" w:eastAsia="宋体"/>
          <w:w w:val="99"/>
          <w:sz w:val="21"/>
        </w:rPr>
        <w:t>、</w:t>
      </w: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spacing w:before="163"/>
        <w:ind w:right="138"/>
        <w:jc w:val="right"/>
        <w:rPr>
          <w:rFonts w:ascii="宋体" w:eastAsia="宋体"/>
          <w:sz w:val="21"/>
        </w:rPr>
      </w:pPr>
      <w:r>
        <w:rPr>
          <w:rFonts w:hint="eastAsia" w:ascii="宋体" w:eastAsia="宋体"/>
          <w:w w:val="99"/>
          <w:sz w:val="21"/>
        </w:rPr>
        <w:t>，</w:t>
      </w: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spacing w:before="4"/>
        <w:rPr>
          <w:rFonts w:ascii="宋体"/>
          <w:sz w:val="18"/>
        </w:rPr>
      </w:pPr>
    </w:p>
    <w:p>
      <w:pPr>
        <w:spacing w:before="1"/>
        <w:ind w:right="138"/>
        <w:jc w:val="right"/>
        <w:rPr>
          <w:rFonts w:ascii="宋体" w:eastAsia="宋体"/>
          <w:sz w:val="21"/>
        </w:rPr>
      </w:pPr>
      <w:r>
        <w:rPr>
          <w:rFonts w:hint="eastAsia" w:ascii="宋体" w:eastAsia="宋体"/>
          <w:w w:val="99"/>
          <w:sz w:val="21"/>
        </w:rPr>
        <w:t>，</w:t>
      </w:r>
    </w:p>
    <w:p>
      <w:pPr>
        <w:jc w:val="right"/>
        <w:rPr>
          <w:rFonts w:ascii="宋体" w:eastAsia="宋体"/>
          <w:sz w:val="21"/>
        </w:rPr>
        <w:sectPr>
          <w:pgSz w:w="16840" w:h="11910" w:orient="landscape"/>
          <w:pgMar w:top="1100" w:right="1340" w:bottom="1180" w:left="1340" w:header="882" w:footer="993" w:gutter="0"/>
          <w:cols w:space="720" w:num="1"/>
        </w:sectPr>
      </w:pPr>
    </w:p>
    <w:p>
      <w:pPr>
        <w:pStyle w:val="10"/>
        <w:rPr>
          <w:rFonts w:ascii="宋体"/>
          <w:sz w:val="20"/>
        </w:rPr>
      </w:pPr>
      <w:r>
        <mc:AlternateContent>
          <mc:Choice Requires="wps">
            <w:drawing>
              <wp:anchor distT="0" distB="0" distL="114300" distR="114300" simplePos="0" relativeHeight="251686912" behindDoc="0" locked="0" layoutInCell="1" allowOverlap="1">
                <wp:simplePos x="0" y="0"/>
                <wp:positionH relativeFrom="page">
                  <wp:posOffset>963930</wp:posOffset>
                </wp:positionH>
                <wp:positionV relativeFrom="page">
                  <wp:posOffset>715645</wp:posOffset>
                </wp:positionV>
                <wp:extent cx="8769350" cy="5554345"/>
                <wp:effectExtent l="0" t="0" r="0" b="0"/>
                <wp:wrapNone/>
                <wp:docPr id="29" name="文本框 33"/>
                <wp:cNvGraphicFramePr/>
                <a:graphic xmlns:a="http://schemas.openxmlformats.org/drawingml/2006/main">
                  <a:graphicData uri="http://schemas.microsoft.com/office/word/2010/wordprocessingShape">
                    <wps:wsp>
                      <wps:cNvSpPr txBox="1"/>
                      <wps:spPr>
                        <a:xfrm>
                          <a:off x="0" y="0"/>
                          <a:ext cx="8769350" cy="5554345"/>
                        </a:xfrm>
                        <a:prstGeom prst="rect">
                          <a:avLst/>
                        </a:prstGeom>
                        <a:noFill/>
                        <a:ln>
                          <a:noFill/>
                        </a:ln>
                      </wps:spPr>
                      <wps:txbx>
                        <w:txbxContent>
                          <w:tbl>
                            <w:tblPr>
                              <w:tblStyle w:val="1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34"/>
                              <w:gridCol w:w="426"/>
                              <w:gridCol w:w="4819"/>
                              <w:gridCol w:w="1276"/>
                              <w:gridCol w:w="607"/>
                              <w:gridCol w:w="669"/>
                              <w:gridCol w:w="48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6" w:hRule="atLeast"/>
                              </w:trPr>
                              <w:tc>
                                <w:tcPr>
                                  <w:tcW w:w="1134" w:type="dxa"/>
                                  <w:vMerge w:val="restart"/>
                                  <w:tcBorders>
                                    <w:bottom w:val="single" w:color="000000" w:sz="4" w:space="0"/>
                                    <w:right w:val="single" w:color="000000" w:sz="4" w:space="0"/>
                                  </w:tcBorders>
                                </w:tcPr>
                                <w:p>
                                  <w:pPr>
                                    <w:pStyle w:val="24"/>
                                    <w:rPr>
                                      <w:rFonts w:ascii="Times New Roman"/>
                                      <w:sz w:val="20"/>
                                    </w:rPr>
                                  </w:pPr>
                                </w:p>
                              </w:tc>
                              <w:tc>
                                <w:tcPr>
                                  <w:tcW w:w="426" w:type="dxa"/>
                                  <w:tcBorders>
                                    <w:left w:val="single" w:color="000000" w:sz="4" w:space="0"/>
                                    <w:bottom w:val="single" w:color="000000" w:sz="4" w:space="0"/>
                                    <w:right w:val="single" w:color="000000" w:sz="4" w:space="0"/>
                                  </w:tcBorders>
                                </w:tcPr>
                                <w:p>
                                  <w:pPr>
                                    <w:pStyle w:val="24"/>
                                    <w:spacing w:before="7"/>
                                    <w:rPr>
                                      <w:rFonts w:ascii="宋体"/>
                                      <w:sz w:val="31"/>
                                    </w:rPr>
                                  </w:pPr>
                                </w:p>
                                <w:p>
                                  <w:pPr>
                                    <w:pStyle w:val="24"/>
                                    <w:spacing w:before="1"/>
                                    <w:ind w:left="85"/>
                                    <w:rPr>
                                      <w:rFonts w:ascii="宋体"/>
                                      <w:sz w:val="10"/>
                                    </w:rPr>
                                  </w:pPr>
                                  <w:r>
                                    <w:rPr>
                                      <w:rFonts w:ascii="宋体"/>
                                      <w:spacing w:val="1"/>
                                      <w:w w:val="99"/>
                                      <w:sz w:val="21"/>
                                    </w:rPr>
                                    <w:t>29</w:t>
                                  </w:r>
                                  <w:r>
                                    <w:rPr>
                                      <w:rFonts w:ascii="宋体"/>
                                      <w:w w:val="106"/>
                                      <w:position w:val="11"/>
                                      <w:sz w:val="10"/>
                                    </w:rPr>
                                    <w:t>c</w:t>
                                  </w:r>
                                </w:p>
                              </w:tc>
                              <w:tc>
                                <w:tcPr>
                                  <w:tcW w:w="4819" w:type="dxa"/>
                                  <w:tcBorders>
                                    <w:left w:val="single" w:color="000000" w:sz="4" w:space="0"/>
                                    <w:bottom w:val="single" w:color="000000" w:sz="4" w:space="0"/>
                                    <w:right w:val="single" w:color="000000" w:sz="4" w:space="0"/>
                                  </w:tcBorders>
                                </w:tcPr>
                                <w:p>
                                  <w:pPr>
                                    <w:pStyle w:val="24"/>
                                    <w:spacing w:before="131" w:line="242" w:lineRule="auto"/>
                                    <w:ind w:left="60" w:right="128"/>
                                    <w:jc w:val="both"/>
                                    <w:rPr>
                                      <w:rFonts w:ascii="宋体" w:eastAsia="宋体"/>
                                      <w:sz w:val="21"/>
                                    </w:rPr>
                                  </w:pPr>
                                  <w:r>
                                    <w:rPr>
                                      <w:rFonts w:hint="eastAsia" w:ascii="宋体" w:eastAsia="宋体"/>
                                      <w:w w:val="95"/>
                                      <w:sz w:val="21"/>
                                    </w:rPr>
                                    <w:t xml:space="preserve">涉及大气污染的，应重点说明受威胁范围、组织公 众避险的方式方法，涉及疏散的一般应辅以疏散路 </w:t>
                                  </w:r>
                                  <w:r>
                                    <w:rPr>
                                      <w:rFonts w:hint="eastAsia" w:ascii="宋体" w:eastAsia="宋体"/>
                                      <w:sz w:val="21"/>
                                    </w:rPr>
                                    <w:t>线图；如果装备风向标，应配有风向标分布图</w:t>
                                  </w:r>
                                </w:p>
                              </w:tc>
                              <w:tc>
                                <w:tcPr>
                                  <w:tcW w:w="1276" w:type="dxa"/>
                                  <w:tcBorders>
                                    <w:left w:val="single" w:color="000000" w:sz="4" w:space="0"/>
                                    <w:bottom w:val="single" w:color="000000" w:sz="4" w:space="0"/>
                                    <w:right w:val="single" w:color="000000" w:sz="4" w:space="0"/>
                                  </w:tcBorders>
                                </w:tcPr>
                                <w:p>
                                  <w:pPr>
                                    <w:pStyle w:val="24"/>
                                    <w:spacing w:before="131"/>
                                    <w:ind w:left="60"/>
                                    <w:rPr>
                                      <w:rFonts w:ascii="宋体" w:hAnsi="宋体" w:eastAsia="宋体"/>
                                      <w:sz w:val="21"/>
                                    </w:rPr>
                                  </w:pPr>
                                  <w:r>
                                    <w:rPr>
                                      <w:rFonts w:hint="eastAsia" w:ascii="宋体" w:hAnsi="宋体" w:eastAsia="宋体"/>
                                      <w:sz w:val="21"/>
                                    </w:rPr>
                                    <w:t>□符合</w:t>
                                  </w:r>
                                </w:p>
                                <w:p>
                                  <w:pPr>
                                    <w:pStyle w:val="24"/>
                                    <w:spacing w:before="5"/>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left w:val="single" w:color="000000" w:sz="4" w:space="0"/>
                                    <w:bottom w:val="single" w:color="000000" w:sz="4" w:space="0"/>
                                    <w:right w:val="single" w:color="000000" w:sz="4" w:space="0"/>
                                  </w:tcBorders>
                                </w:tcPr>
                                <w:p>
                                  <w:pPr>
                                    <w:pStyle w:val="24"/>
                                    <w:rPr>
                                      <w:rFonts w:ascii="Times New Roman"/>
                                      <w:sz w:val="20"/>
                                    </w:rPr>
                                  </w:pPr>
                                </w:p>
                              </w:tc>
                              <w:tc>
                                <w:tcPr>
                                  <w:tcW w:w="669" w:type="dxa"/>
                                  <w:tcBorders>
                                    <w:left w:val="single" w:color="000000" w:sz="4" w:space="0"/>
                                    <w:bottom w:val="single" w:color="000000" w:sz="4" w:space="0"/>
                                    <w:right w:val="single" w:color="000000" w:sz="4" w:space="0"/>
                                  </w:tcBorders>
                                </w:tcPr>
                                <w:p>
                                  <w:pPr>
                                    <w:pStyle w:val="24"/>
                                    <w:rPr>
                                      <w:rFonts w:ascii="Times New Roman"/>
                                      <w:sz w:val="20"/>
                                    </w:rPr>
                                  </w:pPr>
                                </w:p>
                              </w:tc>
                              <w:tc>
                                <w:tcPr>
                                  <w:tcW w:w="4850" w:type="dxa"/>
                                  <w:tcBorders>
                                    <w:left w:val="single" w:color="000000" w:sz="4" w:space="0"/>
                                    <w:bottom w:val="single" w:color="000000" w:sz="4" w:space="0"/>
                                  </w:tcBorders>
                                </w:tcPr>
                                <w:p>
                                  <w:pPr>
                                    <w:pStyle w:val="24"/>
                                    <w:spacing w:before="11"/>
                                    <w:rPr>
                                      <w:rFonts w:ascii="宋体"/>
                                      <w:sz w:val="20"/>
                                    </w:rPr>
                                  </w:pPr>
                                </w:p>
                                <w:p>
                                  <w:pPr>
                                    <w:pStyle w:val="24"/>
                                    <w:spacing w:before="1" w:line="244" w:lineRule="auto"/>
                                    <w:ind w:left="62" w:right="37"/>
                                    <w:rPr>
                                      <w:rFonts w:ascii="宋体" w:eastAsia="宋体"/>
                                      <w:sz w:val="21"/>
                                    </w:rPr>
                                  </w:pPr>
                                  <w:r>
                                    <w:rPr>
                                      <w:rFonts w:hint="eastAsia" w:ascii="宋体" w:eastAsia="宋体"/>
                                      <w:spacing w:val="-9"/>
                                      <w:w w:val="95"/>
                                      <w:sz w:val="21"/>
                                    </w:rPr>
                                    <w:t xml:space="preserve">避险的方式包括疏散、防护等，说明避险措施的原则 </w:t>
                                  </w:r>
                                  <w:r>
                                    <w:rPr>
                                      <w:rFonts w:hint="eastAsia" w:ascii="宋体" w:eastAsia="宋体"/>
                                      <w:spacing w:val="-9"/>
                                      <w:sz w:val="21"/>
                                    </w:rPr>
                                    <w:t>性安排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8"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11"/>
                                    <w:rPr>
                                      <w:rFonts w:ascii="宋体"/>
                                      <w:sz w:val="31"/>
                                    </w:rPr>
                                  </w:pPr>
                                </w:p>
                                <w:p>
                                  <w:pPr>
                                    <w:pStyle w:val="24"/>
                                    <w:ind w:left="85"/>
                                    <w:rPr>
                                      <w:rFonts w:ascii="宋体"/>
                                      <w:sz w:val="10"/>
                                    </w:rPr>
                                  </w:pPr>
                                  <w:r>
                                    <w:rPr>
                                      <w:rFonts w:ascii="宋体"/>
                                      <w:spacing w:val="1"/>
                                      <w:w w:val="99"/>
                                      <w:sz w:val="21"/>
                                    </w:rPr>
                                    <w:t>30</w:t>
                                  </w:r>
                                  <w:r>
                                    <w:rPr>
                                      <w:rFonts w:ascii="宋体"/>
                                      <w:w w:val="106"/>
                                      <w:position w:val="10"/>
                                      <w:sz w:val="10"/>
                                    </w:rPr>
                                    <w:t>c</w:t>
                                  </w:r>
                                </w:p>
                              </w:tc>
                              <w:tc>
                                <w:tcPr>
                                  <w:tcW w:w="4819" w:type="dxa"/>
                                  <w:tcBorders>
                                    <w:top w:val="single" w:color="000000" w:sz="4" w:space="0"/>
                                    <w:left w:val="single" w:color="000000" w:sz="4" w:space="0"/>
                                    <w:bottom w:val="single" w:color="000000" w:sz="4" w:space="0"/>
                                    <w:right w:val="single" w:color="000000" w:sz="4" w:space="0"/>
                                  </w:tcBorders>
                                </w:tcPr>
                                <w:p>
                                  <w:pPr>
                                    <w:pStyle w:val="24"/>
                                    <w:spacing w:line="242" w:lineRule="auto"/>
                                    <w:ind w:left="60" w:right="128"/>
                                    <w:jc w:val="both"/>
                                    <w:rPr>
                                      <w:rFonts w:ascii="宋体" w:eastAsia="宋体"/>
                                      <w:sz w:val="21"/>
                                    </w:rPr>
                                  </w:pPr>
                                  <w:r>
                                    <w:rPr>
                                      <w:rFonts w:hint="eastAsia" w:ascii="宋体" w:eastAsia="宋体"/>
                                      <w:w w:val="95"/>
                                      <w:sz w:val="21"/>
                                    </w:rPr>
                                    <w:t>涉及水污染的，应重点说明企业内收集、封堵、处 置污染物的方式方法，适当延伸至企业外防控方式 方法；配有废水、雨水、清净下水管网及重要阀门</w:t>
                                  </w:r>
                                </w:p>
                                <w:p>
                                  <w:pPr>
                                    <w:pStyle w:val="24"/>
                                    <w:spacing w:before="3" w:line="250" w:lineRule="exact"/>
                                    <w:ind w:left="60"/>
                                    <w:rPr>
                                      <w:rFonts w:ascii="宋体" w:eastAsia="宋体"/>
                                      <w:sz w:val="21"/>
                                    </w:rPr>
                                  </w:pPr>
                                  <w:r>
                                    <w:rPr>
                                      <w:rFonts w:hint="eastAsia" w:ascii="宋体" w:eastAsia="宋体"/>
                                      <w:sz w:val="21"/>
                                    </w:rPr>
                                    <w:t>设置图</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37"/>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rPr>
                                      <w:rFonts w:ascii="宋体"/>
                                      <w:sz w:val="20"/>
                                    </w:rPr>
                                  </w:pPr>
                                </w:p>
                                <w:p>
                                  <w:pPr>
                                    <w:pStyle w:val="24"/>
                                    <w:spacing w:before="152"/>
                                    <w:ind w:left="62"/>
                                    <w:rPr>
                                      <w:rFonts w:ascii="宋体" w:eastAsia="宋体"/>
                                      <w:sz w:val="21"/>
                                    </w:rPr>
                                  </w:pPr>
                                  <w:r>
                                    <w:rPr>
                                      <w:rFonts w:hint="eastAsia" w:ascii="宋体" w:eastAsia="宋体"/>
                                      <w:sz w:val="21"/>
                                    </w:rPr>
                                    <w:t>说明控制水污染的原则性安排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0"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11"/>
                                    <w:rPr>
                                      <w:rFonts w:ascii="宋体"/>
                                    </w:rPr>
                                  </w:pPr>
                                </w:p>
                                <w:p>
                                  <w:pPr>
                                    <w:pStyle w:val="24"/>
                                    <w:ind w:left="85"/>
                                    <w:rPr>
                                      <w:rFonts w:ascii="宋体"/>
                                      <w:sz w:val="10"/>
                                    </w:rPr>
                                  </w:pPr>
                                  <w:r>
                                    <w:rPr>
                                      <w:rFonts w:ascii="宋体"/>
                                      <w:spacing w:val="1"/>
                                      <w:w w:val="99"/>
                                      <w:sz w:val="21"/>
                                    </w:rPr>
                                    <w:t>31</w:t>
                                  </w:r>
                                  <w:r>
                                    <w:rPr>
                                      <w:rFonts w:ascii="宋体"/>
                                      <w:w w:val="106"/>
                                      <w:position w:val="10"/>
                                      <w:sz w:val="10"/>
                                    </w:rPr>
                                    <w:t>b</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22" w:line="242" w:lineRule="auto"/>
                                    <w:ind w:left="60" w:right="128"/>
                                    <w:jc w:val="both"/>
                                    <w:rPr>
                                      <w:rFonts w:ascii="宋体" w:eastAsia="宋体"/>
                                      <w:sz w:val="21"/>
                                    </w:rPr>
                                  </w:pPr>
                                  <w:r>
                                    <w:rPr>
                                      <w:rFonts w:hint="eastAsia" w:ascii="宋体" w:eastAsia="宋体"/>
                                      <w:w w:val="95"/>
                                      <w:sz w:val="21"/>
                                    </w:rPr>
                                    <w:t xml:space="preserve">分别说明可能的事件情景及应急处置方案，明确相 关岗位人员采取措施的时间、地点、内容、方式、 </w:t>
                                  </w:r>
                                  <w:r>
                                    <w:rPr>
                                      <w:rFonts w:hint="eastAsia" w:ascii="宋体" w:eastAsia="宋体"/>
                                      <w:sz w:val="21"/>
                                    </w:rPr>
                                    <w:t>目标等</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22"/>
                                    <w:ind w:left="60"/>
                                    <w:rPr>
                                      <w:rFonts w:ascii="宋体" w:hAnsi="宋体" w:eastAsia="宋体"/>
                                      <w:sz w:val="21"/>
                                    </w:rPr>
                                  </w:pP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5"/>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159" w:line="242" w:lineRule="auto"/>
                                    <w:ind w:left="62" w:right="37"/>
                                    <w:rPr>
                                      <w:rFonts w:ascii="宋体" w:eastAsia="宋体"/>
                                      <w:sz w:val="21"/>
                                    </w:rPr>
                                  </w:pPr>
                                  <w:r>
                                    <w:rPr>
                                      <w:rFonts w:hint="eastAsia" w:ascii="宋体" w:eastAsia="宋体"/>
                                      <w:spacing w:val="-8"/>
                                      <w:w w:val="95"/>
                                      <w:sz w:val="21"/>
                                    </w:rPr>
                                    <w:t xml:space="preserve">按照以上原则性措施，针对具体事件情景，按岗位细 </w:t>
                                  </w:r>
                                  <w:r>
                                    <w:rPr>
                                      <w:rFonts w:hint="eastAsia" w:ascii="宋体" w:eastAsia="宋体"/>
                                      <w:spacing w:val="-8"/>
                                      <w:sz w:val="21"/>
                                    </w:rPr>
                                    <w:t>化各项应对措施，并纳入岗位职责范围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4"/>
                                    <w:rPr>
                                      <w:rFonts w:ascii="宋体"/>
                                      <w:sz w:val="29"/>
                                    </w:rPr>
                                  </w:pPr>
                                </w:p>
                                <w:p>
                                  <w:pPr>
                                    <w:pStyle w:val="24"/>
                                    <w:ind w:left="85"/>
                                    <w:rPr>
                                      <w:rFonts w:ascii="宋体"/>
                                      <w:sz w:val="10"/>
                                    </w:rPr>
                                  </w:pPr>
                                  <w:r>
                                    <w:rPr>
                                      <w:rFonts w:ascii="宋体"/>
                                      <w:spacing w:val="1"/>
                                      <w:w w:val="99"/>
                                      <w:sz w:val="21"/>
                                    </w:rPr>
                                    <w:t>32</w:t>
                                  </w:r>
                                  <w:r>
                                    <w:rPr>
                                      <w:rFonts w:ascii="宋体"/>
                                      <w:w w:val="106"/>
                                      <w:position w:val="11"/>
                                      <w:sz w:val="10"/>
                                    </w:rPr>
                                    <w:t>b</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4"/>
                                    <w:rPr>
                                      <w:rFonts w:ascii="宋体"/>
                                      <w:sz w:val="29"/>
                                    </w:rPr>
                                  </w:pPr>
                                </w:p>
                                <w:p>
                                  <w:pPr>
                                    <w:pStyle w:val="24"/>
                                    <w:ind w:left="60"/>
                                    <w:rPr>
                                      <w:rFonts w:ascii="宋体" w:eastAsia="宋体"/>
                                      <w:sz w:val="21"/>
                                    </w:rPr>
                                  </w:pPr>
                                  <w:r>
                                    <w:rPr>
                                      <w:rFonts w:hint="eastAsia" w:ascii="宋体" w:eastAsia="宋体"/>
                                      <w:sz w:val="21"/>
                                    </w:rPr>
                                    <w:t>将应急措施细化、落实到岗位，形成应急处置卡</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02"/>
                                    <w:ind w:left="60"/>
                                    <w:rPr>
                                      <w:rFonts w:ascii="宋体" w:hAnsi="宋体" w:eastAsia="宋体"/>
                                      <w:sz w:val="21"/>
                                    </w:rPr>
                                  </w:pP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3"/>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8"/>
                                    <w:rPr>
                                      <w:rFonts w:ascii="宋体"/>
                                      <w:sz w:val="18"/>
                                    </w:rPr>
                                  </w:pPr>
                                </w:p>
                                <w:p>
                                  <w:pPr>
                                    <w:pStyle w:val="24"/>
                                    <w:spacing w:line="242" w:lineRule="auto"/>
                                    <w:ind w:left="62" w:right="37"/>
                                    <w:rPr>
                                      <w:rFonts w:ascii="宋体" w:eastAsia="宋体"/>
                                      <w:sz w:val="21"/>
                                    </w:rPr>
                                  </w:pPr>
                                  <w:r>
                                    <w:rPr>
                                      <w:rFonts w:hint="eastAsia" w:ascii="宋体" w:eastAsia="宋体"/>
                                      <w:spacing w:val="-6"/>
                                      <w:w w:val="95"/>
                                      <w:sz w:val="21"/>
                                    </w:rPr>
                                    <w:t xml:space="preserve">关键岗位的应急处置卡无遗漏，事件情景特征、处理 </w:t>
                                  </w:r>
                                  <w:r>
                                    <w:rPr>
                                      <w:rFonts w:hint="eastAsia" w:ascii="宋体" w:eastAsia="宋体"/>
                                      <w:spacing w:val="-6"/>
                                      <w:sz w:val="21"/>
                                    </w:rPr>
                                    <w:t>步骤、应急物资、注意事项等叙述清晰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4"/>
                                    <w:rPr>
                                      <w:rFonts w:ascii="宋体"/>
                                      <w:sz w:val="21"/>
                                    </w:rPr>
                                  </w:pPr>
                                </w:p>
                                <w:p>
                                  <w:pPr>
                                    <w:pStyle w:val="24"/>
                                    <w:spacing w:before="1"/>
                                    <w:ind w:left="112"/>
                                    <w:rPr>
                                      <w:rFonts w:ascii="宋体"/>
                                      <w:sz w:val="21"/>
                                    </w:rPr>
                                  </w:pPr>
                                  <w:r>
                                    <w:rPr>
                                      <w:rFonts w:ascii="宋体"/>
                                      <w:sz w:val="21"/>
                                    </w:rPr>
                                    <w:t>33</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4"/>
                                    <w:rPr>
                                      <w:rFonts w:ascii="宋体"/>
                                      <w:sz w:val="21"/>
                                    </w:rPr>
                                  </w:pPr>
                                </w:p>
                                <w:p>
                                  <w:pPr>
                                    <w:pStyle w:val="24"/>
                                    <w:spacing w:before="1"/>
                                    <w:ind w:left="60"/>
                                    <w:rPr>
                                      <w:rFonts w:ascii="宋体" w:eastAsia="宋体"/>
                                      <w:sz w:val="21"/>
                                    </w:rPr>
                                  </w:pPr>
                                  <w:r>
                                    <w:rPr>
                                      <w:rFonts w:hint="eastAsia" w:ascii="宋体" w:eastAsia="宋体"/>
                                      <w:sz w:val="21"/>
                                    </w:rPr>
                                    <w:t>配有厂区平面布置图，应急物资表/分布图</w:t>
                                  </w:r>
                                </w:p>
                              </w:tc>
                              <w:tc>
                                <w:tcPr>
                                  <w:tcW w:w="1276" w:type="dxa"/>
                                  <w:tcBorders>
                                    <w:top w:val="single" w:color="000000" w:sz="4" w:space="0"/>
                                    <w:left w:val="single" w:color="000000" w:sz="4" w:space="0"/>
                                    <w:bottom w:val="single" w:color="000000" w:sz="4" w:space="0"/>
                                    <w:right w:val="single" w:color="000000" w:sz="4" w:space="0"/>
                                  </w:tcBorders>
                                </w:tcPr>
                                <w:p>
                                  <w:pPr>
                                    <w:pStyle w:val="24"/>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5"/>
                                    <w:ind w:left="60"/>
                                    <w:rPr>
                                      <w:rFonts w:ascii="宋体" w:hAnsi="宋体" w:eastAsia="宋体"/>
                                      <w:sz w:val="21"/>
                                    </w:rPr>
                                  </w:pPr>
                                  <w:r>
                                    <w:rPr>
                                      <w:rFonts w:hint="eastAsia" w:ascii="宋体" w:hAnsi="宋体" w:eastAsia="宋体"/>
                                      <w:sz w:val="21"/>
                                    </w:rPr>
                                    <w:t>□部分符合</w:t>
                                  </w:r>
                                </w:p>
                                <w:p>
                                  <w:pPr>
                                    <w:pStyle w:val="24"/>
                                    <w:spacing w:before="2" w:line="252" w:lineRule="exact"/>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0" w:hRule="atLeast"/>
                              </w:trPr>
                              <w:tc>
                                <w:tcPr>
                                  <w:tcW w:w="1134" w:type="dxa"/>
                                  <w:tcBorders>
                                    <w:top w:val="single" w:color="000000" w:sz="4" w:space="0"/>
                                    <w:bottom w:val="single" w:color="000000" w:sz="4" w:space="0"/>
                                    <w:right w:val="single" w:color="000000" w:sz="4" w:space="0"/>
                                  </w:tcBorders>
                                </w:tcPr>
                                <w:p>
                                  <w:pPr>
                                    <w:pStyle w:val="24"/>
                                    <w:spacing w:before="1"/>
                                    <w:rPr>
                                      <w:rFonts w:ascii="宋体"/>
                                      <w:sz w:val="24"/>
                                    </w:rPr>
                                  </w:pPr>
                                </w:p>
                                <w:p>
                                  <w:pPr>
                                    <w:pStyle w:val="24"/>
                                    <w:ind w:left="125" w:right="113"/>
                                    <w:jc w:val="center"/>
                                    <w:rPr>
                                      <w:rFonts w:ascii="宋体" w:eastAsia="宋体"/>
                                      <w:sz w:val="21"/>
                                    </w:rPr>
                                  </w:pPr>
                                  <w:r>
                                    <w:rPr>
                                      <w:rFonts w:hint="eastAsia" w:ascii="宋体" w:eastAsia="宋体"/>
                                      <w:sz w:val="21"/>
                                    </w:rPr>
                                    <w:t>应急终止</w:t>
                                  </w: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1"/>
                                    <w:rPr>
                                      <w:rFonts w:ascii="宋体"/>
                                      <w:sz w:val="24"/>
                                    </w:rPr>
                                  </w:pPr>
                                </w:p>
                                <w:p>
                                  <w:pPr>
                                    <w:pStyle w:val="24"/>
                                    <w:ind w:left="112"/>
                                    <w:rPr>
                                      <w:rFonts w:ascii="宋体"/>
                                      <w:sz w:val="21"/>
                                    </w:rPr>
                                  </w:pPr>
                                  <w:r>
                                    <w:rPr>
                                      <w:rFonts w:ascii="宋体"/>
                                      <w:sz w:val="21"/>
                                    </w:rPr>
                                    <w:t>34</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1"/>
                                    <w:rPr>
                                      <w:rFonts w:ascii="宋体"/>
                                      <w:sz w:val="24"/>
                                    </w:rPr>
                                  </w:pPr>
                                </w:p>
                                <w:p>
                                  <w:pPr>
                                    <w:pStyle w:val="24"/>
                                    <w:ind w:left="60"/>
                                    <w:rPr>
                                      <w:rFonts w:ascii="宋体" w:eastAsia="宋体"/>
                                      <w:sz w:val="21"/>
                                    </w:rPr>
                                  </w:pPr>
                                  <w:r>
                                    <w:rPr>
                                      <w:rFonts w:hint="eastAsia" w:ascii="宋体" w:eastAsia="宋体"/>
                                      <w:sz w:val="21"/>
                                    </w:rPr>
                                    <w:t>结合本单位实际，说明应急终止的条件和发布程序</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37"/>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t>□部分符合</w:t>
                                  </w:r>
                                </w:p>
                                <w:p>
                                  <w:pPr>
                                    <w:pStyle w:val="24"/>
                                    <w:spacing w:before="5"/>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174" w:line="242" w:lineRule="auto"/>
                                    <w:ind w:left="62" w:right="37"/>
                                    <w:rPr>
                                      <w:rFonts w:ascii="宋体" w:eastAsia="宋体"/>
                                      <w:sz w:val="21"/>
                                    </w:rPr>
                                  </w:pPr>
                                  <w:r>
                                    <w:rPr>
                                      <w:rFonts w:hint="eastAsia" w:ascii="宋体" w:eastAsia="宋体"/>
                                      <w:spacing w:val="-7"/>
                                      <w:w w:val="95"/>
                                      <w:sz w:val="21"/>
                                    </w:rPr>
                                    <w:t xml:space="preserve">列明应急终止的基本条件，明确应急终止的决策、指 </w:t>
                                  </w:r>
                                  <w:r>
                                    <w:rPr>
                                      <w:rFonts w:hint="eastAsia" w:ascii="宋体" w:eastAsia="宋体"/>
                                      <w:spacing w:val="-7"/>
                                      <w:sz w:val="21"/>
                                    </w:rPr>
                                    <w:t>令内容及传递程序等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5" w:hRule="atLeast"/>
                              </w:trPr>
                              <w:tc>
                                <w:tcPr>
                                  <w:tcW w:w="1134" w:type="dxa"/>
                                  <w:tcBorders>
                                    <w:top w:val="single" w:color="000000" w:sz="4" w:space="0"/>
                                    <w:bottom w:val="single" w:color="000000" w:sz="4" w:space="0"/>
                                    <w:right w:val="single" w:color="000000" w:sz="4" w:space="0"/>
                                  </w:tcBorders>
                                </w:tcPr>
                                <w:p>
                                  <w:pPr>
                                    <w:pStyle w:val="24"/>
                                    <w:rPr>
                                      <w:rFonts w:ascii="宋体"/>
                                      <w:sz w:val="20"/>
                                    </w:rPr>
                                  </w:pPr>
                                </w:p>
                                <w:p>
                                  <w:pPr>
                                    <w:pStyle w:val="24"/>
                                    <w:spacing w:before="155"/>
                                    <w:ind w:left="125" w:right="113"/>
                                    <w:jc w:val="center"/>
                                    <w:rPr>
                                      <w:rFonts w:ascii="宋体" w:eastAsia="宋体"/>
                                      <w:sz w:val="21"/>
                                    </w:rPr>
                                  </w:pPr>
                                  <w:r>
                                    <w:rPr>
                                      <w:rFonts w:hint="eastAsia" w:ascii="宋体" w:eastAsia="宋体"/>
                                      <w:sz w:val="21"/>
                                    </w:rPr>
                                    <w:t>事后恢复</w:t>
                                  </w: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155"/>
                                    <w:ind w:left="112"/>
                                    <w:rPr>
                                      <w:rFonts w:ascii="宋体"/>
                                      <w:sz w:val="21"/>
                                    </w:rPr>
                                  </w:pPr>
                                  <w:r>
                                    <w:rPr>
                                      <w:rFonts w:ascii="宋体"/>
                                      <w:sz w:val="21"/>
                                    </w:rPr>
                                    <w:t>35</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3" w:line="242" w:lineRule="auto"/>
                                    <w:ind w:left="60" w:right="128"/>
                                    <w:jc w:val="both"/>
                                    <w:rPr>
                                      <w:rFonts w:ascii="宋体" w:eastAsia="宋体"/>
                                      <w:sz w:val="21"/>
                                    </w:rPr>
                                  </w:pPr>
                                  <w:r>
                                    <w:rPr>
                                      <w:rFonts w:hint="eastAsia" w:ascii="宋体" w:eastAsia="宋体"/>
                                      <w:w w:val="95"/>
                                      <w:sz w:val="21"/>
                                    </w:rPr>
                                    <w:t>说明事后恢复的工作内容和责任人，一般包括：现 场污染物的后续处理；环境应急相关设施、设备、 场所的维护；配合开展环境损害评估、赔偿、事件</w:t>
                                  </w:r>
                                </w:p>
                                <w:p>
                                  <w:pPr>
                                    <w:pStyle w:val="24"/>
                                    <w:spacing w:before="1" w:line="255" w:lineRule="exact"/>
                                    <w:ind w:left="60"/>
                                    <w:rPr>
                                      <w:rFonts w:ascii="宋体" w:eastAsia="宋体"/>
                                      <w:sz w:val="21"/>
                                    </w:rPr>
                                  </w:pPr>
                                  <w:r>
                                    <w:rPr>
                                      <w:rFonts w:hint="eastAsia" w:ascii="宋体" w:eastAsia="宋体"/>
                                      <w:sz w:val="21"/>
                                    </w:rPr>
                                    <w:t>调查处理等</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38"/>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4"/>
                                    <w:ind w:left="60"/>
                                    <w:rPr>
                                      <w:rFonts w:ascii="宋体" w:hAnsi="宋体" w:eastAsia="宋体"/>
                                      <w:sz w:val="21"/>
                                    </w:rPr>
                                  </w:pPr>
                                  <w:r>
                                    <w:rPr>
                                      <w:rFonts w:hint="eastAsia" w:ascii="宋体" w:hAnsi="宋体" w:eastAsia="宋体"/>
                                      <w:sz w:val="21"/>
                                    </w:rPr>
                                    <w:t>□部分符合</w:t>
                                  </w:r>
                                </w:p>
                                <w:p>
                                  <w:pPr>
                                    <w:pStyle w:val="24"/>
                                    <w:spacing w:before="3"/>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3" w:line="242" w:lineRule="auto"/>
                                    <w:ind w:left="62" w:right="35"/>
                                    <w:jc w:val="both"/>
                                    <w:rPr>
                                      <w:rFonts w:ascii="宋体" w:hAnsi="宋体" w:eastAsia="宋体"/>
                                      <w:sz w:val="21"/>
                                    </w:rPr>
                                  </w:pPr>
                                  <w:r>
                                    <w:rPr>
                                      <w:rFonts w:hint="eastAsia" w:ascii="宋体" w:hAnsi="宋体" w:eastAsia="宋体"/>
                                      <w:spacing w:val="3"/>
                                      <w:w w:val="95"/>
                                      <w:sz w:val="21"/>
                                    </w:rPr>
                                    <w:t xml:space="preserve">《突发事件应急预案管理办法》强调应急预案重在 </w:t>
                                  </w:r>
                                  <w:r>
                                    <w:rPr>
                                      <w:rFonts w:hint="eastAsia" w:ascii="宋体" w:hAnsi="宋体" w:eastAsia="宋体"/>
                                      <w:spacing w:val="-9"/>
                                      <w:w w:val="95"/>
                                      <w:sz w:val="21"/>
                                    </w:rPr>
                                    <w:t xml:space="preserve">“应对”，适当向后延伸至“恢复”，即企业从突发 </w:t>
                                  </w:r>
                                  <w:r>
                                    <w:rPr>
                                      <w:rFonts w:hint="eastAsia" w:ascii="宋体" w:hAnsi="宋体" w:eastAsia="宋体"/>
                                      <w:spacing w:val="-9"/>
                                      <w:sz w:val="21"/>
                                    </w:rPr>
                                    <w:t>环境事件应对的“非常规状态”过渡到“常规状态</w:t>
                                  </w:r>
                                </w:p>
                                <w:p>
                                  <w:pPr>
                                    <w:pStyle w:val="24"/>
                                    <w:spacing w:before="1" w:line="255" w:lineRule="exact"/>
                                    <w:ind w:left="62"/>
                                    <w:rPr>
                                      <w:rFonts w:ascii="宋体" w:eastAsia="宋体"/>
                                      <w:sz w:val="21"/>
                                    </w:rPr>
                                  </w:pPr>
                                  <w:r>
                                    <w:rPr>
                                      <w:rFonts w:hint="eastAsia" w:ascii="宋体" w:eastAsia="宋体"/>
                                      <w:sz w:val="21"/>
                                    </w:rPr>
                                    <w:t>的相关工作安排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5" w:hRule="atLeast"/>
                              </w:trPr>
                              <w:tc>
                                <w:tcPr>
                                  <w:tcW w:w="1134" w:type="dxa"/>
                                  <w:tcBorders>
                                    <w:top w:val="single" w:color="000000" w:sz="4" w:space="0"/>
                                    <w:bottom w:val="single" w:color="000000" w:sz="4" w:space="0"/>
                                    <w:right w:val="single" w:color="000000" w:sz="4" w:space="0"/>
                                  </w:tcBorders>
                                </w:tcPr>
                                <w:p>
                                  <w:pPr>
                                    <w:pStyle w:val="24"/>
                                    <w:spacing w:before="8"/>
                                    <w:rPr>
                                      <w:rFonts w:ascii="宋体"/>
                                      <w:sz w:val="23"/>
                                    </w:rPr>
                                  </w:pPr>
                                </w:p>
                                <w:p>
                                  <w:pPr>
                                    <w:pStyle w:val="24"/>
                                    <w:ind w:left="125" w:right="113"/>
                                    <w:jc w:val="center"/>
                                    <w:rPr>
                                      <w:rFonts w:ascii="宋体" w:eastAsia="宋体"/>
                                      <w:sz w:val="21"/>
                                    </w:rPr>
                                  </w:pPr>
                                  <w:r>
                                    <w:rPr>
                                      <w:rFonts w:hint="eastAsia" w:ascii="宋体" w:eastAsia="宋体"/>
                                      <w:sz w:val="21"/>
                                    </w:rPr>
                                    <w:t>保障措施</w:t>
                                  </w: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8"/>
                                    <w:rPr>
                                      <w:rFonts w:ascii="宋体"/>
                                      <w:sz w:val="23"/>
                                    </w:rPr>
                                  </w:pPr>
                                </w:p>
                                <w:p>
                                  <w:pPr>
                                    <w:pStyle w:val="24"/>
                                    <w:ind w:left="112"/>
                                    <w:rPr>
                                      <w:rFonts w:ascii="宋体"/>
                                      <w:sz w:val="21"/>
                                    </w:rPr>
                                  </w:pPr>
                                  <w:r>
                                    <w:rPr>
                                      <w:rFonts w:ascii="宋体"/>
                                      <w:sz w:val="21"/>
                                    </w:rPr>
                                    <w:t>36</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166" w:line="242" w:lineRule="auto"/>
                                    <w:ind w:left="60" w:right="128"/>
                                    <w:rPr>
                                      <w:rFonts w:ascii="宋体" w:eastAsia="宋体"/>
                                      <w:sz w:val="21"/>
                                    </w:rPr>
                                  </w:pPr>
                                  <w:r>
                                    <w:rPr>
                                      <w:rFonts w:hint="eastAsia" w:ascii="宋体" w:eastAsia="宋体"/>
                                      <w:w w:val="95"/>
                                      <w:sz w:val="21"/>
                                    </w:rPr>
                                    <w:t xml:space="preserve">说明环境应急预案涉及的人力资源、财力、物资以 </w:t>
                                  </w:r>
                                  <w:r>
                                    <w:rPr>
                                      <w:rFonts w:hint="eastAsia" w:ascii="宋体" w:eastAsia="宋体"/>
                                      <w:sz w:val="21"/>
                                    </w:rPr>
                                    <w:t>及其他技术、重要设施的保障</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29"/>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t>□部分符合</w:t>
                                  </w:r>
                                </w:p>
                                <w:p>
                                  <w:pPr>
                                    <w:pStyle w:val="24"/>
                                    <w:spacing w:before="5"/>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8"/>
                                    <w:rPr>
                                      <w:rFonts w:ascii="宋体"/>
                                      <w:sz w:val="23"/>
                                    </w:rPr>
                                  </w:pPr>
                                </w:p>
                                <w:p>
                                  <w:pPr>
                                    <w:pStyle w:val="24"/>
                                    <w:ind w:left="62"/>
                                    <w:rPr>
                                      <w:rFonts w:ascii="宋体" w:eastAsia="宋体"/>
                                      <w:sz w:val="21"/>
                                    </w:rPr>
                                  </w:pPr>
                                  <w:r>
                                    <w:rPr>
                                      <w:rFonts w:hint="eastAsia" w:ascii="宋体" w:eastAsia="宋体"/>
                                      <w:sz w:val="21"/>
                                    </w:rPr>
                                    <w:t>对各类保障措施进行总体安排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13" w:hRule="atLeast"/>
                              </w:trPr>
                              <w:tc>
                                <w:tcPr>
                                  <w:tcW w:w="1134" w:type="dxa"/>
                                  <w:tcBorders>
                                    <w:top w:val="single" w:color="000000" w:sz="4" w:space="0"/>
                                    <w:bottom w:val="single" w:color="000000" w:sz="4" w:space="0"/>
                                    <w:right w:val="single" w:color="000000" w:sz="4" w:space="0"/>
                                  </w:tcBorders>
                                </w:tcPr>
                                <w:p>
                                  <w:pPr>
                                    <w:pStyle w:val="24"/>
                                    <w:spacing w:before="2"/>
                                    <w:rPr>
                                      <w:rFonts w:ascii="宋体"/>
                                      <w:sz w:val="25"/>
                                    </w:rPr>
                                  </w:pPr>
                                </w:p>
                                <w:p>
                                  <w:pPr>
                                    <w:pStyle w:val="24"/>
                                    <w:ind w:left="125" w:right="113"/>
                                    <w:jc w:val="center"/>
                                    <w:rPr>
                                      <w:rFonts w:ascii="宋体" w:eastAsia="宋体"/>
                                      <w:sz w:val="21"/>
                                    </w:rPr>
                                  </w:pPr>
                                  <w:r>
                                    <w:rPr>
                                      <w:rFonts w:hint="eastAsia" w:ascii="宋体" w:eastAsia="宋体"/>
                                      <w:sz w:val="21"/>
                                    </w:rPr>
                                    <w:t>预案管理</w:t>
                                  </w: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2"/>
                                    <w:rPr>
                                      <w:rFonts w:ascii="宋体"/>
                                      <w:sz w:val="25"/>
                                    </w:rPr>
                                  </w:pPr>
                                </w:p>
                                <w:p>
                                  <w:pPr>
                                    <w:pStyle w:val="24"/>
                                    <w:ind w:left="112"/>
                                    <w:rPr>
                                      <w:rFonts w:ascii="宋体"/>
                                      <w:sz w:val="21"/>
                                    </w:rPr>
                                  </w:pPr>
                                  <w:r>
                                    <w:rPr>
                                      <w:rFonts w:ascii="宋体"/>
                                      <w:sz w:val="21"/>
                                    </w:rPr>
                                    <w:t>37</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2"/>
                                    <w:rPr>
                                      <w:rFonts w:ascii="宋体"/>
                                      <w:sz w:val="25"/>
                                    </w:rPr>
                                  </w:pPr>
                                </w:p>
                                <w:p>
                                  <w:pPr>
                                    <w:pStyle w:val="24"/>
                                    <w:ind w:left="60"/>
                                    <w:rPr>
                                      <w:rFonts w:ascii="宋体" w:eastAsia="宋体"/>
                                      <w:sz w:val="21"/>
                                    </w:rPr>
                                  </w:pPr>
                                  <w:r>
                                    <w:rPr>
                                      <w:rFonts w:hint="eastAsia" w:ascii="宋体" w:eastAsia="宋体"/>
                                      <w:sz w:val="21"/>
                                    </w:rPr>
                                    <w:t>安排有关环境应急预案的培训和演练</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49"/>
                                    <w:ind w:left="60"/>
                                    <w:rPr>
                                      <w:rFonts w:ascii="宋体" w:hAnsi="宋体" w:eastAsia="宋体"/>
                                      <w:sz w:val="21"/>
                                    </w:rPr>
                                  </w:pPr>
                                  <w:r>
                                    <w:rPr>
                                      <w:rFonts w:hint="eastAsia" w:ascii="宋体" w:hAnsi="宋体" w:eastAsia="宋体"/>
                                      <w:sz w:val="21"/>
                                    </w:rPr>
                                    <w:t>□符合</w:t>
                                  </w:r>
                                </w:p>
                                <w:p>
                                  <w:pPr>
                                    <w:pStyle w:val="24"/>
                                    <w:spacing w:before="4"/>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2"/>
                                    <w:rPr>
                                      <w:rFonts w:ascii="宋体"/>
                                      <w:sz w:val="25"/>
                                    </w:rPr>
                                  </w:pPr>
                                </w:p>
                                <w:p>
                                  <w:pPr>
                                    <w:pStyle w:val="24"/>
                                    <w:ind w:left="62"/>
                                    <w:rPr>
                                      <w:rFonts w:ascii="宋体" w:eastAsia="宋体"/>
                                      <w:sz w:val="21"/>
                                    </w:rPr>
                                  </w:pPr>
                                  <w:r>
                                    <w:rPr>
                                      <w:rFonts w:hint="eastAsia" w:ascii="宋体" w:eastAsia="宋体"/>
                                      <w:sz w:val="21"/>
                                    </w:rPr>
                                    <w:t>对预案培训、演练进行总体安排</w:t>
                                  </w:r>
                                </w:p>
                              </w:tc>
                            </w:tr>
                          </w:tbl>
                          <w:p>
                            <w:pPr>
                              <w:pStyle w:val="10"/>
                            </w:pPr>
                          </w:p>
                        </w:txbxContent>
                      </wps:txbx>
                      <wps:bodyPr lIns="0" tIns="0" rIns="0" bIns="0" upright="1"/>
                    </wps:wsp>
                  </a:graphicData>
                </a:graphic>
              </wp:anchor>
            </w:drawing>
          </mc:Choice>
          <mc:Fallback>
            <w:pict>
              <v:shape id="文本框 33" o:spid="_x0000_s1026" o:spt="202" type="#_x0000_t202" style="position:absolute;left:0pt;margin-left:75.9pt;margin-top:56.35pt;height:437.35pt;width:690.5pt;mso-position-horizontal-relative:page;mso-position-vertical-relative:page;z-index:251686912;mso-width-relative:page;mso-height-relative:page;" filled="f" stroked="f" coordsize="21600,21600" o:gfxdata="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ncs4faAAAADAEAAA8AAAAAAAAAAQAgAAAAIgAAAGRycy9kb3ducmV2Lnht&#10;bFBLAQIUABQAAAAIAIdO4kB6XOuNvgEAAHUDAAAOAAAAAAAAAAEAIAAAACkBAABkcnMvZTJvRG9j&#10;LnhtbFBLBQYAAAAABgAGAFkBAABZBQAAAAA=&#10;">
                <v:fill on="f" focussize="0,0"/>
                <v:stroke on="f"/>
                <v:imagedata o:title=""/>
                <o:lock v:ext="edit" aspectratio="f"/>
                <v:textbox inset="0mm,0mm,0mm,0mm">
                  <w:txbxContent>
                    <w:tbl>
                      <w:tblPr>
                        <w:tblStyle w:val="1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34"/>
                        <w:gridCol w:w="426"/>
                        <w:gridCol w:w="4819"/>
                        <w:gridCol w:w="1276"/>
                        <w:gridCol w:w="607"/>
                        <w:gridCol w:w="669"/>
                        <w:gridCol w:w="48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76" w:hRule="atLeast"/>
                        </w:trPr>
                        <w:tc>
                          <w:tcPr>
                            <w:tcW w:w="1134" w:type="dxa"/>
                            <w:vMerge w:val="restart"/>
                            <w:tcBorders>
                              <w:bottom w:val="single" w:color="000000" w:sz="4" w:space="0"/>
                              <w:right w:val="single" w:color="000000" w:sz="4" w:space="0"/>
                            </w:tcBorders>
                          </w:tcPr>
                          <w:p>
                            <w:pPr>
                              <w:pStyle w:val="24"/>
                              <w:rPr>
                                <w:rFonts w:ascii="Times New Roman"/>
                                <w:sz w:val="20"/>
                              </w:rPr>
                            </w:pPr>
                          </w:p>
                        </w:tc>
                        <w:tc>
                          <w:tcPr>
                            <w:tcW w:w="426" w:type="dxa"/>
                            <w:tcBorders>
                              <w:left w:val="single" w:color="000000" w:sz="4" w:space="0"/>
                              <w:bottom w:val="single" w:color="000000" w:sz="4" w:space="0"/>
                              <w:right w:val="single" w:color="000000" w:sz="4" w:space="0"/>
                            </w:tcBorders>
                          </w:tcPr>
                          <w:p>
                            <w:pPr>
                              <w:pStyle w:val="24"/>
                              <w:spacing w:before="7"/>
                              <w:rPr>
                                <w:rFonts w:ascii="宋体"/>
                                <w:sz w:val="31"/>
                              </w:rPr>
                            </w:pPr>
                          </w:p>
                          <w:p>
                            <w:pPr>
                              <w:pStyle w:val="24"/>
                              <w:spacing w:before="1"/>
                              <w:ind w:left="85"/>
                              <w:rPr>
                                <w:rFonts w:ascii="宋体"/>
                                <w:sz w:val="10"/>
                              </w:rPr>
                            </w:pPr>
                            <w:r>
                              <w:rPr>
                                <w:rFonts w:ascii="宋体"/>
                                <w:spacing w:val="1"/>
                                <w:w w:val="99"/>
                                <w:sz w:val="21"/>
                              </w:rPr>
                              <w:t>29</w:t>
                            </w:r>
                            <w:r>
                              <w:rPr>
                                <w:rFonts w:ascii="宋体"/>
                                <w:w w:val="106"/>
                                <w:position w:val="11"/>
                                <w:sz w:val="10"/>
                              </w:rPr>
                              <w:t>c</w:t>
                            </w:r>
                          </w:p>
                        </w:tc>
                        <w:tc>
                          <w:tcPr>
                            <w:tcW w:w="4819" w:type="dxa"/>
                            <w:tcBorders>
                              <w:left w:val="single" w:color="000000" w:sz="4" w:space="0"/>
                              <w:bottom w:val="single" w:color="000000" w:sz="4" w:space="0"/>
                              <w:right w:val="single" w:color="000000" w:sz="4" w:space="0"/>
                            </w:tcBorders>
                          </w:tcPr>
                          <w:p>
                            <w:pPr>
                              <w:pStyle w:val="24"/>
                              <w:spacing w:before="131" w:line="242" w:lineRule="auto"/>
                              <w:ind w:left="60" w:right="128"/>
                              <w:jc w:val="both"/>
                              <w:rPr>
                                <w:rFonts w:ascii="宋体" w:eastAsia="宋体"/>
                                <w:sz w:val="21"/>
                              </w:rPr>
                            </w:pPr>
                            <w:r>
                              <w:rPr>
                                <w:rFonts w:hint="eastAsia" w:ascii="宋体" w:eastAsia="宋体"/>
                                <w:w w:val="95"/>
                                <w:sz w:val="21"/>
                              </w:rPr>
                              <w:t xml:space="preserve">涉及大气污染的，应重点说明受威胁范围、组织公 众避险的方式方法，涉及疏散的一般应辅以疏散路 </w:t>
                            </w:r>
                            <w:r>
                              <w:rPr>
                                <w:rFonts w:hint="eastAsia" w:ascii="宋体" w:eastAsia="宋体"/>
                                <w:sz w:val="21"/>
                              </w:rPr>
                              <w:t>线图；如果装备风向标，应配有风向标分布图</w:t>
                            </w:r>
                          </w:p>
                        </w:tc>
                        <w:tc>
                          <w:tcPr>
                            <w:tcW w:w="1276" w:type="dxa"/>
                            <w:tcBorders>
                              <w:left w:val="single" w:color="000000" w:sz="4" w:space="0"/>
                              <w:bottom w:val="single" w:color="000000" w:sz="4" w:space="0"/>
                              <w:right w:val="single" w:color="000000" w:sz="4" w:space="0"/>
                            </w:tcBorders>
                          </w:tcPr>
                          <w:p>
                            <w:pPr>
                              <w:pStyle w:val="24"/>
                              <w:spacing w:before="131"/>
                              <w:ind w:left="60"/>
                              <w:rPr>
                                <w:rFonts w:ascii="宋体" w:hAnsi="宋体" w:eastAsia="宋体"/>
                                <w:sz w:val="21"/>
                              </w:rPr>
                            </w:pPr>
                            <w:r>
                              <w:rPr>
                                <w:rFonts w:hint="eastAsia" w:ascii="宋体" w:hAnsi="宋体" w:eastAsia="宋体"/>
                                <w:sz w:val="21"/>
                              </w:rPr>
                              <w:t>□符合</w:t>
                            </w:r>
                          </w:p>
                          <w:p>
                            <w:pPr>
                              <w:pStyle w:val="24"/>
                              <w:spacing w:before="5"/>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left w:val="single" w:color="000000" w:sz="4" w:space="0"/>
                              <w:bottom w:val="single" w:color="000000" w:sz="4" w:space="0"/>
                              <w:right w:val="single" w:color="000000" w:sz="4" w:space="0"/>
                            </w:tcBorders>
                          </w:tcPr>
                          <w:p>
                            <w:pPr>
                              <w:pStyle w:val="24"/>
                              <w:rPr>
                                <w:rFonts w:ascii="Times New Roman"/>
                                <w:sz w:val="20"/>
                              </w:rPr>
                            </w:pPr>
                          </w:p>
                        </w:tc>
                        <w:tc>
                          <w:tcPr>
                            <w:tcW w:w="669" w:type="dxa"/>
                            <w:tcBorders>
                              <w:left w:val="single" w:color="000000" w:sz="4" w:space="0"/>
                              <w:bottom w:val="single" w:color="000000" w:sz="4" w:space="0"/>
                              <w:right w:val="single" w:color="000000" w:sz="4" w:space="0"/>
                            </w:tcBorders>
                          </w:tcPr>
                          <w:p>
                            <w:pPr>
                              <w:pStyle w:val="24"/>
                              <w:rPr>
                                <w:rFonts w:ascii="Times New Roman"/>
                                <w:sz w:val="20"/>
                              </w:rPr>
                            </w:pPr>
                          </w:p>
                        </w:tc>
                        <w:tc>
                          <w:tcPr>
                            <w:tcW w:w="4850" w:type="dxa"/>
                            <w:tcBorders>
                              <w:left w:val="single" w:color="000000" w:sz="4" w:space="0"/>
                              <w:bottom w:val="single" w:color="000000" w:sz="4" w:space="0"/>
                            </w:tcBorders>
                          </w:tcPr>
                          <w:p>
                            <w:pPr>
                              <w:pStyle w:val="24"/>
                              <w:spacing w:before="11"/>
                              <w:rPr>
                                <w:rFonts w:ascii="宋体"/>
                                <w:sz w:val="20"/>
                              </w:rPr>
                            </w:pPr>
                          </w:p>
                          <w:p>
                            <w:pPr>
                              <w:pStyle w:val="24"/>
                              <w:spacing w:before="1" w:line="244" w:lineRule="auto"/>
                              <w:ind w:left="62" w:right="37"/>
                              <w:rPr>
                                <w:rFonts w:ascii="宋体" w:eastAsia="宋体"/>
                                <w:sz w:val="21"/>
                              </w:rPr>
                            </w:pPr>
                            <w:r>
                              <w:rPr>
                                <w:rFonts w:hint="eastAsia" w:ascii="宋体" w:eastAsia="宋体"/>
                                <w:spacing w:val="-9"/>
                                <w:w w:val="95"/>
                                <w:sz w:val="21"/>
                              </w:rPr>
                              <w:t xml:space="preserve">避险的方式包括疏散、防护等，说明避险措施的原则 </w:t>
                            </w:r>
                            <w:r>
                              <w:rPr>
                                <w:rFonts w:hint="eastAsia" w:ascii="宋体" w:eastAsia="宋体"/>
                                <w:spacing w:val="-9"/>
                                <w:sz w:val="21"/>
                              </w:rPr>
                              <w:t>性安排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8"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11"/>
                              <w:rPr>
                                <w:rFonts w:ascii="宋体"/>
                                <w:sz w:val="31"/>
                              </w:rPr>
                            </w:pPr>
                          </w:p>
                          <w:p>
                            <w:pPr>
                              <w:pStyle w:val="24"/>
                              <w:ind w:left="85"/>
                              <w:rPr>
                                <w:rFonts w:ascii="宋体"/>
                                <w:sz w:val="10"/>
                              </w:rPr>
                            </w:pPr>
                            <w:r>
                              <w:rPr>
                                <w:rFonts w:ascii="宋体"/>
                                <w:spacing w:val="1"/>
                                <w:w w:val="99"/>
                                <w:sz w:val="21"/>
                              </w:rPr>
                              <w:t>30</w:t>
                            </w:r>
                            <w:r>
                              <w:rPr>
                                <w:rFonts w:ascii="宋体"/>
                                <w:w w:val="106"/>
                                <w:position w:val="10"/>
                                <w:sz w:val="10"/>
                              </w:rPr>
                              <w:t>c</w:t>
                            </w:r>
                          </w:p>
                        </w:tc>
                        <w:tc>
                          <w:tcPr>
                            <w:tcW w:w="4819" w:type="dxa"/>
                            <w:tcBorders>
                              <w:top w:val="single" w:color="000000" w:sz="4" w:space="0"/>
                              <w:left w:val="single" w:color="000000" w:sz="4" w:space="0"/>
                              <w:bottom w:val="single" w:color="000000" w:sz="4" w:space="0"/>
                              <w:right w:val="single" w:color="000000" w:sz="4" w:space="0"/>
                            </w:tcBorders>
                          </w:tcPr>
                          <w:p>
                            <w:pPr>
                              <w:pStyle w:val="24"/>
                              <w:spacing w:line="242" w:lineRule="auto"/>
                              <w:ind w:left="60" w:right="128"/>
                              <w:jc w:val="both"/>
                              <w:rPr>
                                <w:rFonts w:ascii="宋体" w:eastAsia="宋体"/>
                                <w:sz w:val="21"/>
                              </w:rPr>
                            </w:pPr>
                            <w:r>
                              <w:rPr>
                                <w:rFonts w:hint="eastAsia" w:ascii="宋体" w:eastAsia="宋体"/>
                                <w:w w:val="95"/>
                                <w:sz w:val="21"/>
                              </w:rPr>
                              <w:t>涉及水污染的，应重点说明企业内收集、封堵、处 置污染物的方式方法，适当延伸至企业外防控方式 方法；配有废水、雨水、清净下水管网及重要阀门</w:t>
                            </w:r>
                          </w:p>
                          <w:p>
                            <w:pPr>
                              <w:pStyle w:val="24"/>
                              <w:spacing w:before="3" w:line="250" w:lineRule="exact"/>
                              <w:ind w:left="60"/>
                              <w:rPr>
                                <w:rFonts w:ascii="宋体" w:eastAsia="宋体"/>
                                <w:sz w:val="21"/>
                              </w:rPr>
                            </w:pPr>
                            <w:r>
                              <w:rPr>
                                <w:rFonts w:hint="eastAsia" w:ascii="宋体" w:eastAsia="宋体"/>
                                <w:sz w:val="21"/>
                              </w:rPr>
                              <w:t>设置图</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37"/>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rPr>
                                <w:rFonts w:ascii="宋体"/>
                                <w:sz w:val="20"/>
                              </w:rPr>
                            </w:pPr>
                          </w:p>
                          <w:p>
                            <w:pPr>
                              <w:pStyle w:val="24"/>
                              <w:spacing w:before="152"/>
                              <w:ind w:left="62"/>
                              <w:rPr>
                                <w:rFonts w:ascii="宋体" w:eastAsia="宋体"/>
                                <w:sz w:val="21"/>
                              </w:rPr>
                            </w:pPr>
                            <w:r>
                              <w:rPr>
                                <w:rFonts w:hint="eastAsia" w:ascii="宋体" w:eastAsia="宋体"/>
                                <w:sz w:val="21"/>
                              </w:rPr>
                              <w:t>说明控制水污染的原则性安排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0"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11"/>
                              <w:rPr>
                                <w:rFonts w:ascii="宋体"/>
                              </w:rPr>
                            </w:pPr>
                          </w:p>
                          <w:p>
                            <w:pPr>
                              <w:pStyle w:val="24"/>
                              <w:ind w:left="85"/>
                              <w:rPr>
                                <w:rFonts w:ascii="宋体"/>
                                <w:sz w:val="10"/>
                              </w:rPr>
                            </w:pPr>
                            <w:r>
                              <w:rPr>
                                <w:rFonts w:ascii="宋体"/>
                                <w:spacing w:val="1"/>
                                <w:w w:val="99"/>
                                <w:sz w:val="21"/>
                              </w:rPr>
                              <w:t>31</w:t>
                            </w:r>
                            <w:r>
                              <w:rPr>
                                <w:rFonts w:ascii="宋体"/>
                                <w:w w:val="106"/>
                                <w:position w:val="10"/>
                                <w:sz w:val="10"/>
                              </w:rPr>
                              <w:t>b</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22" w:line="242" w:lineRule="auto"/>
                              <w:ind w:left="60" w:right="128"/>
                              <w:jc w:val="both"/>
                              <w:rPr>
                                <w:rFonts w:ascii="宋体" w:eastAsia="宋体"/>
                                <w:sz w:val="21"/>
                              </w:rPr>
                            </w:pPr>
                            <w:r>
                              <w:rPr>
                                <w:rFonts w:hint="eastAsia" w:ascii="宋体" w:eastAsia="宋体"/>
                                <w:w w:val="95"/>
                                <w:sz w:val="21"/>
                              </w:rPr>
                              <w:t xml:space="preserve">分别说明可能的事件情景及应急处置方案，明确相 关岗位人员采取措施的时间、地点、内容、方式、 </w:t>
                            </w:r>
                            <w:r>
                              <w:rPr>
                                <w:rFonts w:hint="eastAsia" w:ascii="宋体" w:eastAsia="宋体"/>
                                <w:sz w:val="21"/>
                              </w:rPr>
                              <w:t>目标等</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22"/>
                              <w:ind w:left="60"/>
                              <w:rPr>
                                <w:rFonts w:ascii="宋体" w:hAnsi="宋体" w:eastAsia="宋体"/>
                                <w:sz w:val="21"/>
                              </w:rPr>
                            </w:pP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5"/>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159" w:line="242" w:lineRule="auto"/>
                              <w:ind w:left="62" w:right="37"/>
                              <w:rPr>
                                <w:rFonts w:ascii="宋体" w:eastAsia="宋体"/>
                                <w:sz w:val="21"/>
                              </w:rPr>
                            </w:pPr>
                            <w:r>
                              <w:rPr>
                                <w:rFonts w:hint="eastAsia" w:ascii="宋体" w:eastAsia="宋体"/>
                                <w:spacing w:val="-8"/>
                                <w:w w:val="95"/>
                                <w:sz w:val="21"/>
                              </w:rPr>
                              <w:t xml:space="preserve">按照以上原则性措施，针对具体事件情景，按岗位细 </w:t>
                            </w:r>
                            <w:r>
                              <w:rPr>
                                <w:rFonts w:hint="eastAsia" w:ascii="宋体" w:eastAsia="宋体"/>
                                <w:spacing w:val="-8"/>
                                <w:sz w:val="21"/>
                              </w:rPr>
                              <w:t>化各项应对措施，并纳入岗位职责范围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4"/>
                              <w:rPr>
                                <w:rFonts w:ascii="宋体"/>
                                <w:sz w:val="29"/>
                              </w:rPr>
                            </w:pPr>
                          </w:p>
                          <w:p>
                            <w:pPr>
                              <w:pStyle w:val="24"/>
                              <w:ind w:left="85"/>
                              <w:rPr>
                                <w:rFonts w:ascii="宋体"/>
                                <w:sz w:val="10"/>
                              </w:rPr>
                            </w:pPr>
                            <w:r>
                              <w:rPr>
                                <w:rFonts w:ascii="宋体"/>
                                <w:spacing w:val="1"/>
                                <w:w w:val="99"/>
                                <w:sz w:val="21"/>
                              </w:rPr>
                              <w:t>32</w:t>
                            </w:r>
                            <w:r>
                              <w:rPr>
                                <w:rFonts w:ascii="宋体"/>
                                <w:w w:val="106"/>
                                <w:position w:val="11"/>
                                <w:sz w:val="10"/>
                              </w:rPr>
                              <w:t>b</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4"/>
                              <w:rPr>
                                <w:rFonts w:ascii="宋体"/>
                                <w:sz w:val="29"/>
                              </w:rPr>
                            </w:pPr>
                          </w:p>
                          <w:p>
                            <w:pPr>
                              <w:pStyle w:val="24"/>
                              <w:ind w:left="60"/>
                              <w:rPr>
                                <w:rFonts w:ascii="宋体" w:eastAsia="宋体"/>
                                <w:sz w:val="21"/>
                              </w:rPr>
                            </w:pPr>
                            <w:r>
                              <w:rPr>
                                <w:rFonts w:hint="eastAsia" w:ascii="宋体" w:eastAsia="宋体"/>
                                <w:sz w:val="21"/>
                              </w:rPr>
                              <w:t>将应急措施细化、落实到岗位，形成应急处置卡</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02"/>
                              <w:ind w:left="60"/>
                              <w:rPr>
                                <w:rFonts w:ascii="宋体" w:hAnsi="宋体" w:eastAsia="宋体"/>
                                <w:sz w:val="21"/>
                              </w:rPr>
                            </w:pP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3"/>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8"/>
                              <w:rPr>
                                <w:rFonts w:ascii="宋体"/>
                                <w:sz w:val="18"/>
                              </w:rPr>
                            </w:pPr>
                          </w:p>
                          <w:p>
                            <w:pPr>
                              <w:pStyle w:val="24"/>
                              <w:spacing w:line="242" w:lineRule="auto"/>
                              <w:ind w:left="62" w:right="37"/>
                              <w:rPr>
                                <w:rFonts w:ascii="宋体" w:eastAsia="宋体"/>
                                <w:sz w:val="21"/>
                              </w:rPr>
                            </w:pPr>
                            <w:r>
                              <w:rPr>
                                <w:rFonts w:hint="eastAsia" w:ascii="宋体" w:eastAsia="宋体"/>
                                <w:spacing w:val="-6"/>
                                <w:w w:val="95"/>
                                <w:sz w:val="21"/>
                              </w:rPr>
                              <w:t xml:space="preserve">关键岗位的应急处置卡无遗漏，事件情景特征、处理 </w:t>
                            </w:r>
                            <w:r>
                              <w:rPr>
                                <w:rFonts w:hint="eastAsia" w:ascii="宋体" w:eastAsia="宋体"/>
                                <w:spacing w:val="-6"/>
                                <w:sz w:val="21"/>
                              </w:rPr>
                              <w:t>步骤、应急物资、注意事项等叙述清晰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4"/>
                              <w:rPr>
                                <w:rFonts w:ascii="宋体"/>
                                <w:sz w:val="21"/>
                              </w:rPr>
                            </w:pPr>
                          </w:p>
                          <w:p>
                            <w:pPr>
                              <w:pStyle w:val="24"/>
                              <w:spacing w:before="1"/>
                              <w:ind w:left="112"/>
                              <w:rPr>
                                <w:rFonts w:ascii="宋体"/>
                                <w:sz w:val="21"/>
                              </w:rPr>
                            </w:pPr>
                            <w:r>
                              <w:rPr>
                                <w:rFonts w:ascii="宋体"/>
                                <w:sz w:val="21"/>
                              </w:rPr>
                              <w:t>33</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4"/>
                              <w:rPr>
                                <w:rFonts w:ascii="宋体"/>
                                <w:sz w:val="21"/>
                              </w:rPr>
                            </w:pPr>
                          </w:p>
                          <w:p>
                            <w:pPr>
                              <w:pStyle w:val="24"/>
                              <w:spacing w:before="1"/>
                              <w:ind w:left="60"/>
                              <w:rPr>
                                <w:rFonts w:ascii="宋体" w:eastAsia="宋体"/>
                                <w:sz w:val="21"/>
                              </w:rPr>
                            </w:pPr>
                            <w:r>
                              <w:rPr>
                                <w:rFonts w:hint="eastAsia" w:ascii="宋体" w:eastAsia="宋体"/>
                                <w:sz w:val="21"/>
                              </w:rPr>
                              <w:t>配有厂区平面布置图，应急物资表/分布图</w:t>
                            </w:r>
                          </w:p>
                        </w:tc>
                        <w:tc>
                          <w:tcPr>
                            <w:tcW w:w="1276" w:type="dxa"/>
                            <w:tcBorders>
                              <w:top w:val="single" w:color="000000" w:sz="4" w:space="0"/>
                              <w:left w:val="single" w:color="000000" w:sz="4" w:space="0"/>
                              <w:bottom w:val="single" w:color="000000" w:sz="4" w:space="0"/>
                              <w:right w:val="single" w:color="000000" w:sz="4" w:space="0"/>
                            </w:tcBorders>
                          </w:tcPr>
                          <w:p>
                            <w:pPr>
                              <w:pStyle w:val="24"/>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5"/>
                              <w:ind w:left="60"/>
                              <w:rPr>
                                <w:rFonts w:ascii="宋体" w:hAnsi="宋体" w:eastAsia="宋体"/>
                                <w:sz w:val="21"/>
                              </w:rPr>
                            </w:pPr>
                            <w:r>
                              <w:rPr>
                                <w:rFonts w:hint="eastAsia" w:ascii="宋体" w:hAnsi="宋体" w:eastAsia="宋体"/>
                                <w:sz w:val="21"/>
                              </w:rPr>
                              <w:t>□部分符合</w:t>
                            </w:r>
                          </w:p>
                          <w:p>
                            <w:pPr>
                              <w:pStyle w:val="24"/>
                              <w:spacing w:before="2" w:line="252" w:lineRule="exact"/>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0" w:hRule="atLeast"/>
                        </w:trPr>
                        <w:tc>
                          <w:tcPr>
                            <w:tcW w:w="1134" w:type="dxa"/>
                            <w:tcBorders>
                              <w:top w:val="single" w:color="000000" w:sz="4" w:space="0"/>
                              <w:bottom w:val="single" w:color="000000" w:sz="4" w:space="0"/>
                              <w:right w:val="single" w:color="000000" w:sz="4" w:space="0"/>
                            </w:tcBorders>
                          </w:tcPr>
                          <w:p>
                            <w:pPr>
                              <w:pStyle w:val="24"/>
                              <w:spacing w:before="1"/>
                              <w:rPr>
                                <w:rFonts w:ascii="宋体"/>
                                <w:sz w:val="24"/>
                              </w:rPr>
                            </w:pPr>
                          </w:p>
                          <w:p>
                            <w:pPr>
                              <w:pStyle w:val="24"/>
                              <w:ind w:left="125" w:right="113"/>
                              <w:jc w:val="center"/>
                              <w:rPr>
                                <w:rFonts w:ascii="宋体" w:eastAsia="宋体"/>
                                <w:sz w:val="21"/>
                              </w:rPr>
                            </w:pPr>
                            <w:r>
                              <w:rPr>
                                <w:rFonts w:hint="eastAsia" w:ascii="宋体" w:eastAsia="宋体"/>
                                <w:sz w:val="21"/>
                              </w:rPr>
                              <w:t>应急终止</w:t>
                            </w: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1"/>
                              <w:rPr>
                                <w:rFonts w:ascii="宋体"/>
                                <w:sz w:val="24"/>
                              </w:rPr>
                            </w:pPr>
                          </w:p>
                          <w:p>
                            <w:pPr>
                              <w:pStyle w:val="24"/>
                              <w:ind w:left="112"/>
                              <w:rPr>
                                <w:rFonts w:ascii="宋体"/>
                                <w:sz w:val="21"/>
                              </w:rPr>
                            </w:pPr>
                            <w:r>
                              <w:rPr>
                                <w:rFonts w:ascii="宋体"/>
                                <w:sz w:val="21"/>
                              </w:rPr>
                              <w:t>34</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1"/>
                              <w:rPr>
                                <w:rFonts w:ascii="宋体"/>
                                <w:sz w:val="24"/>
                              </w:rPr>
                            </w:pPr>
                          </w:p>
                          <w:p>
                            <w:pPr>
                              <w:pStyle w:val="24"/>
                              <w:ind w:left="60"/>
                              <w:rPr>
                                <w:rFonts w:ascii="宋体" w:eastAsia="宋体"/>
                                <w:sz w:val="21"/>
                              </w:rPr>
                            </w:pPr>
                            <w:r>
                              <w:rPr>
                                <w:rFonts w:hint="eastAsia" w:ascii="宋体" w:eastAsia="宋体"/>
                                <w:sz w:val="21"/>
                              </w:rPr>
                              <w:t>结合本单位实际，说明应急终止的条件和发布程序</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37"/>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t>□部分符合</w:t>
                            </w:r>
                          </w:p>
                          <w:p>
                            <w:pPr>
                              <w:pStyle w:val="24"/>
                              <w:spacing w:before="5"/>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174" w:line="242" w:lineRule="auto"/>
                              <w:ind w:left="62" w:right="37"/>
                              <w:rPr>
                                <w:rFonts w:ascii="宋体" w:eastAsia="宋体"/>
                                <w:sz w:val="21"/>
                              </w:rPr>
                            </w:pPr>
                            <w:r>
                              <w:rPr>
                                <w:rFonts w:hint="eastAsia" w:ascii="宋体" w:eastAsia="宋体"/>
                                <w:spacing w:val="-7"/>
                                <w:w w:val="95"/>
                                <w:sz w:val="21"/>
                              </w:rPr>
                              <w:t xml:space="preserve">列明应急终止的基本条件，明确应急终止的决策、指 </w:t>
                            </w:r>
                            <w:r>
                              <w:rPr>
                                <w:rFonts w:hint="eastAsia" w:ascii="宋体" w:eastAsia="宋体"/>
                                <w:spacing w:val="-7"/>
                                <w:sz w:val="21"/>
                              </w:rPr>
                              <w:t>令内容及传递程序等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5" w:hRule="atLeast"/>
                        </w:trPr>
                        <w:tc>
                          <w:tcPr>
                            <w:tcW w:w="1134" w:type="dxa"/>
                            <w:tcBorders>
                              <w:top w:val="single" w:color="000000" w:sz="4" w:space="0"/>
                              <w:bottom w:val="single" w:color="000000" w:sz="4" w:space="0"/>
                              <w:right w:val="single" w:color="000000" w:sz="4" w:space="0"/>
                            </w:tcBorders>
                          </w:tcPr>
                          <w:p>
                            <w:pPr>
                              <w:pStyle w:val="24"/>
                              <w:rPr>
                                <w:rFonts w:ascii="宋体"/>
                                <w:sz w:val="20"/>
                              </w:rPr>
                            </w:pPr>
                          </w:p>
                          <w:p>
                            <w:pPr>
                              <w:pStyle w:val="24"/>
                              <w:spacing w:before="155"/>
                              <w:ind w:left="125" w:right="113"/>
                              <w:jc w:val="center"/>
                              <w:rPr>
                                <w:rFonts w:ascii="宋体" w:eastAsia="宋体"/>
                                <w:sz w:val="21"/>
                              </w:rPr>
                            </w:pPr>
                            <w:r>
                              <w:rPr>
                                <w:rFonts w:hint="eastAsia" w:ascii="宋体" w:eastAsia="宋体"/>
                                <w:sz w:val="21"/>
                              </w:rPr>
                              <w:t>事后恢复</w:t>
                            </w: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155"/>
                              <w:ind w:left="112"/>
                              <w:rPr>
                                <w:rFonts w:ascii="宋体"/>
                                <w:sz w:val="21"/>
                              </w:rPr>
                            </w:pPr>
                            <w:r>
                              <w:rPr>
                                <w:rFonts w:ascii="宋体"/>
                                <w:sz w:val="21"/>
                              </w:rPr>
                              <w:t>35</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3" w:line="242" w:lineRule="auto"/>
                              <w:ind w:left="60" w:right="128"/>
                              <w:jc w:val="both"/>
                              <w:rPr>
                                <w:rFonts w:ascii="宋体" w:eastAsia="宋体"/>
                                <w:sz w:val="21"/>
                              </w:rPr>
                            </w:pPr>
                            <w:r>
                              <w:rPr>
                                <w:rFonts w:hint="eastAsia" w:ascii="宋体" w:eastAsia="宋体"/>
                                <w:w w:val="95"/>
                                <w:sz w:val="21"/>
                              </w:rPr>
                              <w:t>说明事后恢复的工作内容和责任人，一般包括：现 场污染物的后续处理；环境应急相关设施、设备、 场所的维护；配合开展环境损害评估、赔偿、事件</w:t>
                            </w:r>
                          </w:p>
                          <w:p>
                            <w:pPr>
                              <w:pStyle w:val="24"/>
                              <w:spacing w:before="1" w:line="255" w:lineRule="exact"/>
                              <w:ind w:left="60"/>
                              <w:rPr>
                                <w:rFonts w:ascii="宋体" w:eastAsia="宋体"/>
                                <w:sz w:val="21"/>
                              </w:rPr>
                            </w:pPr>
                            <w:r>
                              <w:rPr>
                                <w:rFonts w:hint="eastAsia" w:ascii="宋体" w:eastAsia="宋体"/>
                                <w:sz w:val="21"/>
                              </w:rPr>
                              <w:t>调查处理等</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38"/>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4"/>
                              <w:ind w:left="60"/>
                              <w:rPr>
                                <w:rFonts w:ascii="宋体" w:hAnsi="宋体" w:eastAsia="宋体"/>
                                <w:sz w:val="21"/>
                              </w:rPr>
                            </w:pPr>
                            <w:r>
                              <w:rPr>
                                <w:rFonts w:hint="eastAsia" w:ascii="宋体" w:hAnsi="宋体" w:eastAsia="宋体"/>
                                <w:sz w:val="21"/>
                              </w:rPr>
                              <w:t>□部分符合</w:t>
                            </w:r>
                          </w:p>
                          <w:p>
                            <w:pPr>
                              <w:pStyle w:val="24"/>
                              <w:spacing w:before="3"/>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3" w:line="242" w:lineRule="auto"/>
                              <w:ind w:left="62" w:right="35"/>
                              <w:jc w:val="both"/>
                              <w:rPr>
                                <w:rFonts w:ascii="宋体" w:hAnsi="宋体" w:eastAsia="宋体"/>
                                <w:sz w:val="21"/>
                              </w:rPr>
                            </w:pPr>
                            <w:r>
                              <w:rPr>
                                <w:rFonts w:hint="eastAsia" w:ascii="宋体" w:hAnsi="宋体" w:eastAsia="宋体"/>
                                <w:spacing w:val="3"/>
                                <w:w w:val="95"/>
                                <w:sz w:val="21"/>
                              </w:rPr>
                              <w:t xml:space="preserve">《突发事件应急预案管理办法》强调应急预案重在 </w:t>
                            </w:r>
                            <w:r>
                              <w:rPr>
                                <w:rFonts w:hint="eastAsia" w:ascii="宋体" w:hAnsi="宋体" w:eastAsia="宋体"/>
                                <w:spacing w:val="-9"/>
                                <w:w w:val="95"/>
                                <w:sz w:val="21"/>
                              </w:rPr>
                              <w:t xml:space="preserve">“应对”，适当向后延伸至“恢复”，即企业从突发 </w:t>
                            </w:r>
                            <w:r>
                              <w:rPr>
                                <w:rFonts w:hint="eastAsia" w:ascii="宋体" w:hAnsi="宋体" w:eastAsia="宋体"/>
                                <w:spacing w:val="-9"/>
                                <w:sz w:val="21"/>
                              </w:rPr>
                              <w:t>环境事件应对的“非常规状态”过渡到“常规状态</w:t>
                            </w:r>
                          </w:p>
                          <w:p>
                            <w:pPr>
                              <w:pStyle w:val="24"/>
                              <w:spacing w:before="1" w:line="255" w:lineRule="exact"/>
                              <w:ind w:left="62"/>
                              <w:rPr>
                                <w:rFonts w:ascii="宋体" w:eastAsia="宋体"/>
                                <w:sz w:val="21"/>
                              </w:rPr>
                            </w:pPr>
                            <w:r>
                              <w:rPr>
                                <w:rFonts w:hint="eastAsia" w:ascii="宋体" w:eastAsia="宋体"/>
                                <w:sz w:val="21"/>
                              </w:rPr>
                              <w:t>的相关工作安排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5" w:hRule="atLeast"/>
                        </w:trPr>
                        <w:tc>
                          <w:tcPr>
                            <w:tcW w:w="1134" w:type="dxa"/>
                            <w:tcBorders>
                              <w:top w:val="single" w:color="000000" w:sz="4" w:space="0"/>
                              <w:bottom w:val="single" w:color="000000" w:sz="4" w:space="0"/>
                              <w:right w:val="single" w:color="000000" w:sz="4" w:space="0"/>
                            </w:tcBorders>
                          </w:tcPr>
                          <w:p>
                            <w:pPr>
                              <w:pStyle w:val="24"/>
                              <w:spacing w:before="8"/>
                              <w:rPr>
                                <w:rFonts w:ascii="宋体"/>
                                <w:sz w:val="23"/>
                              </w:rPr>
                            </w:pPr>
                          </w:p>
                          <w:p>
                            <w:pPr>
                              <w:pStyle w:val="24"/>
                              <w:ind w:left="125" w:right="113"/>
                              <w:jc w:val="center"/>
                              <w:rPr>
                                <w:rFonts w:ascii="宋体" w:eastAsia="宋体"/>
                                <w:sz w:val="21"/>
                              </w:rPr>
                            </w:pPr>
                            <w:r>
                              <w:rPr>
                                <w:rFonts w:hint="eastAsia" w:ascii="宋体" w:eastAsia="宋体"/>
                                <w:sz w:val="21"/>
                              </w:rPr>
                              <w:t>保障措施</w:t>
                            </w: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8"/>
                              <w:rPr>
                                <w:rFonts w:ascii="宋体"/>
                                <w:sz w:val="23"/>
                              </w:rPr>
                            </w:pPr>
                          </w:p>
                          <w:p>
                            <w:pPr>
                              <w:pStyle w:val="24"/>
                              <w:ind w:left="112"/>
                              <w:rPr>
                                <w:rFonts w:ascii="宋体"/>
                                <w:sz w:val="21"/>
                              </w:rPr>
                            </w:pPr>
                            <w:r>
                              <w:rPr>
                                <w:rFonts w:ascii="宋体"/>
                                <w:sz w:val="21"/>
                              </w:rPr>
                              <w:t>36</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166" w:line="242" w:lineRule="auto"/>
                              <w:ind w:left="60" w:right="128"/>
                              <w:rPr>
                                <w:rFonts w:ascii="宋体" w:eastAsia="宋体"/>
                                <w:sz w:val="21"/>
                              </w:rPr>
                            </w:pPr>
                            <w:r>
                              <w:rPr>
                                <w:rFonts w:hint="eastAsia" w:ascii="宋体" w:eastAsia="宋体"/>
                                <w:w w:val="95"/>
                                <w:sz w:val="21"/>
                              </w:rPr>
                              <w:t xml:space="preserve">说明环境应急预案涉及的人力资源、财力、物资以 </w:t>
                            </w:r>
                            <w:r>
                              <w:rPr>
                                <w:rFonts w:hint="eastAsia" w:ascii="宋体" w:eastAsia="宋体"/>
                                <w:sz w:val="21"/>
                              </w:rPr>
                              <w:t>及其他技术、重要设施的保障</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29"/>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t>□部分符合</w:t>
                            </w:r>
                          </w:p>
                          <w:p>
                            <w:pPr>
                              <w:pStyle w:val="24"/>
                              <w:spacing w:before="5"/>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8"/>
                              <w:rPr>
                                <w:rFonts w:ascii="宋体"/>
                                <w:sz w:val="23"/>
                              </w:rPr>
                            </w:pPr>
                          </w:p>
                          <w:p>
                            <w:pPr>
                              <w:pStyle w:val="24"/>
                              <w:ind w:left="62"/>
                              <w:rPr>
                                <w:rFonts w:ascii="宋体" w:eastAsia="宋体"/>
                                <w:sz w:val="21"/>
                              </w:rPr>
                            </w:pPr>
                            <w:r>
                              <w:rPr>
                                <w:rFonts w:hint="eastAsia" w:ascii="宋体" w:eastAsia="宋体"/>
                                <w:sz w:val="21"/>
                              </w:rPr>
                              <w:t>对各类保障措施进行总体安排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13" w:hRule="atLeast"/>
                        </w:trPr>
                        <w:tc>
                          <w:tcPr>
                            <w:tcW w:w="1134" w:type="dxa"/>
                            <w:tcBorders>
                              <w:top w:val="single" w:color="000000" w:sz="4" w:space="0"/>
                              <w:bottom w:val="single" w:color="000000" w:sz="4" w:space="0"/>
                              <w:right w:val="single" w:color="000000" w:sz="4" w:space="0"/>
                            </w:tcBorders>
                          </w:tcPr>
                          <w:p>
                            <w:pPr>
                              <w:pStyle w:val="24"/>
                              <w:spacing w:before="2"/>
                              <w:rPr>
                                <w:rFonts w:ascii="宋体"/>
                                <w:sz w:val="25"/>
                              </w:rPr>
                            </w:pPr>
                          </w:p>
                          <w:p>
                            <w:pPr>
                              <w:pStyle w:val="24"/>
                              <w:ind w:left="125" w:right="113"/>
                              <w:jc w:val="center"/>
                              <w:rPr>
                                <w:rFonts w:ascii="宋体" w:eastAsia="宋体"/>
                                <w:sz w:val="21"/>
                              </w:rPr>
                            </w:pPr>
                            <w:r>
                              <w:rPr>
                                <w:rFonts w:hint="eastAsia" w:ascii="宋体" w:eastAsia="宋体"/>
                                <w:sz w:val="21"/>
                              </w:rPr>
                              <w:t>预案管理</w:t>
                            </w: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2"/>
                              <w:rPr>
                                <w:rFonts w:ascii="宋体"/>
                                <w:sz w:val="25"/>
                              </w:rPr>
                            </w:pPr>
                          </w:p>
                          <w:p>
                            <w:pPr>
                              <w:pStyle w:val="24"/>
                              <w:ind w:left="112"/>
                              <w:rPr>
                                <w:rFonts w:ascii="宋体"/>
                                <w:sz w:val="21"/>
                              </w:rPr>
                            </w:pPr>
                            <w:r>
                              <w:rPr>
                                <w:rFonts w:ascii="宋体"/>
                                <w:sz w:val="21"/>
                              </w:rPr>
                              <w:t>37</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2"/>
                              <w:rPr>
                                <w:rFonts w:ascii="宋体"/>
                                <w:sz w:val="25"/>
                              </w:rPr>
                            </w:pPr>
                          </w:p>
                          <w:p>
                            <w:pPr>
                              <w:pStyle w:val="24"/>
                              <w:ind w:left="60"/>
                              <w:rPr>
                                <w:rFonts w:ascii="宋体" w:eastAsia="宋体"/>
                                <w:sz w:val="21"/>
                              </w:rPr>
                            </w:pPr>
                            <w:r>
                              <w:rPr>
                                <w:rFonts w:hint="eastAsia" w:ascii="宋体" w:eastAsia="宋体"/>
                                <w:sz w:val="21"/>
                              </w:rPr>
                              <w:t>安排有关环境应急预案的培训和演练</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49"/>
                              <w:ind w:left="60"/>
                              <w:rPr>
                                <w:rFonts w:ascii="宋体" w:hAnsi="宋体" w:eastAsia="宋体"/>
                                <w:sz w:val="21"/>
                              </w:rPr>
                            </w:pPr>
                            <w:r>
                              <w:rPr>
                                <w:rFonts w:hint="eastAsia" w:ascii="宋体" w:hAnsi="宋体" w:eastAsia="宋体"/>
                                <w:sz w:val="21"/>
                              </w:rPr>
                              <w:t>□符合</w:t>
                            </w:r>
                          </w:p>
                          <w:p>
                            <w:pPr>
                              <w:pStyle w:val="24"/>
                              <w:spacing w:before="4"/>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2"/>
                              <w:rPr>
                                <w:rFonts w:ascii="宋体"/>
                                <w:sz w:val="25"/>
                              </w:rPr>
                            </w:pPr>
                          </w:p>
                          <w:p>
                            <w:pPr>
                              <w:pStyle w:val="24"/>
                              <w:ind w:left="62"/>
                              <w:rPr>
                                <w:rFonts w:ascii="宋体" w:eastAsia="宋体"/>
                                <w:sz w:val="21"/>
                              </w:rPr>
                            </w:pPr>
                            <w:r>
                              <w:rPr>
                                <w:rFonts w:hint="eastAsia" w:ascii="宋体" w:eastAsia="宋体"/>
                                <w:sz w:val="21"/>
                              </w:rPr>
                              <w:t>对预案培训、演练进行总体安排</w:t>
                            </w:r>
                          </w:p>
                        </w:tc>
                      </w:tr>
                    </w:tbl>
                    <w:p>
                      <w:pPr>
                        <w:pStyle w:val="10"/>
                      </w:pPr>
                    </w:p>
                  </w:txbxContent>
                </v:textbox>
              </v:shape>
            </w:pict>
          </mc:Fallback>
        </mc:AlternateContent>
      </w: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19"/>
        </w:rPr>
      </w:pPr>
    </w:p>
    <w:p>
      <w:pPr>
        <w:spacing w:before="1"/>
        <w:ind w:right="150"/>
        <w:jc w:val="right"/>
        <w:rPr>
          <w:rFonts w:ascii="宋体" w:hAnsi="宋体"/>
          <w:sz w:val="21"/>
        </w:rPr>
      </w:pPr>
      <w:r>
        <w:rPr>
          <w:rFonts w:ascii="宋体" w:hAnsi="宋体"/>
          <w:w w:val="99"/>
          <w:sz w:val="21"/>
        </w:rPr>
        <w:t>”</w:t>
      </w:r>
    </w:p>
    <w:p>
      <w:pPr>
        <w:jc w:val="right"/>
        <w:rPr>
          <w:rFonts w:ascii="宋体" w:hAnsi="宋体"/>
          <w:sz w:val="21"/>
        </w:rPr>
        <w:sectPr>
          <w:pgSz w:w="16840" w:h="11910" w:orient="landscape"/>
          <w:pgMar w:top="1100" w:right="1340" w:bottom="1180" w:left="1340" w:header="882" w:footer="993" w:gutter="0"/>
          <w:cols w:space="720" w:num="1"/>
        </w:sectPr>
      </w:pPr>
    </w:p>
    <w:tbl>
      <w:tblPr>
        <w:tblStyle w:val="15"/>
        <w:tblW w:w="0" w:type="auto"/>
        <w:tblInd w:w="19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34"/>
        <w:gridCol w:w="426"/>
        <w:gridCol w:w="4819"/>
        <w:gridCol w:w="1276"/>
        <w:gridCol w:w="607"/>
        <w:gridCol w:w="669"/>
        <w:gridCol w:w="48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1134" w:type="dxa"/>
            <w:tcBorders>
              <w:bottom w:val="single" w:color="000000" w:sz="4" w:space="0"/>
              <w:right w:val="single" w:color="000000" w:sz="4" w:space="0"/>
            </w:tcBorders>
          </w:tcPr>
          <w:p>
            <w:pPr>
              <w:pStyle w:val="24"/>
              <w:rPr>
                <w:rFonts w:ascii="Times New Roman"/>
                <w:sz w:val="20"/>
              </w:rPr>
            </w:pPr>
          </w:p>
        </w:tc>
        <w:tc>
          <w:tcPr>
            <w:tcW w:w="426" w:type="dxa"/>
            <w:tcBorders>
              <w:left w:val="single" w:color="000000" w:sz="4" w:space="0"/>
              <w:bottom w:val="single" w:color="000000" w:sz="4" w:space="0"/>
              <w:right w:val="single" w:color="000000" w:sz="4" w:space="0"/>
            </w:tcBorders>
          </w:tcPr>
          <w:p>
            <w:pPr>
              <w:pStyle w:val="24"/>
              <w:spacing w:before="2"/>
              <w:rPr>
                <w:rFonts w:ascii="宋体"/>
                <w:sz w:val="26"/>
              </w:rPr>
            </w:pPr>
          </w:p>
          <w:p>
            <w:pPr>
              <w:pStyle w:val="24"/>
              <w:ind w:left="92" w:right="74"/>
              <w:jc w:val="center"/>
              <w:rPr>
                <w:rFonts w:ascii="宋体"/>
                <w:sz w:val="21"/>
              </w:rPr>
            </w:pPr>
            <w:r>
              <w:rPr>
                <w:rFonts w:ascii="宋体"/>
                <w:sz w:val="21"/>
              </w:rPr>
              <w:t>38</w:t>
            </w:r>
          </w:p>
        </w:tc>
        <w:tc>
          <w:tcPr>
            <w:tcW w:w="4819" w:type="dxa"/>
            <w:tcBorders>
              <w:left w:val="single" w:color="000000" w:sz="4" w:space="0"/>
              <w:bottom w:val="single" w:color="000000" w:sz="4" w:space="0"/>
              <w:right w:val="single" w:color="000000" w:sz="4" w:space="0"/>
            </w:tcBorders>
          </w:tcPr>
          <w:p>
            <w:pPr>
              <w:pStyle w:val="24"/>
              <w:spacing w:before="2"/>
              <w:rPr>
                <w:rFonts w:ascii="宋体"/>
                <w:sz w:val="26"/>
              </w:rPr>
            </w:pPr>
          </w:p>
          <w:p>
            <w:pPr>
              <w:pStyle w:val="24"/>
              <w:ind w:left="60"/>
              <w:rPr>
                <w:rFonts w:ascii="宋体" w:eastAsia="宋体"/>
                <w:sz w:val="21"/>
              </w:rPr>
            </w:pPr>
            <w:r>
              <w:rPr>
                <w:rFonts w:hint="eastAsia" w:ascii="宋体" w:eastAsia="宋体"/>
                <w:sz w:val="21"/>
              </w:rPr>
              <w:t>明确环境应急预案的评估修订要求</w:t>
            </w:r>
          </w:p>
        </w:tc>
        <w:tc>
          <w:tcPr>
            <w:tcW w:w="1276" w:type="dxa"/>
            <w:tcBorders>
              <w:left w:val="single" w:color="000000" w:sz="4" w:space="0"/>
              <w:bottom w:val="single" w:color="000000" w:sz="4" w:space="0"/>
              <w:right w:val="single" w:color="000000" w:sz="4" w:space="0"/>
            </w:tcBorders>
          </w:tcPr>
          <w:p>
            <w:pPr>
              <w:pStyle w:val="24"/>
              <w:spacing w:before="61"/>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5"/>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left w:val="single" w:color="000000" w:sz="4" w:space="0"/>
              <w:bottom w:val="single" w:color="000000" w:sz="4" w:space="0"/>
              <w:right w:val="single" w:color="000000" w:sz="4" w:space="0"/>
            </w:tcBorders>
          </w:tcPr>
          <w:p>
            <w:pPr>
              <w:pStyle w:val="24"/>
              <w:rPr>
                <w:rFonts w:ascii="Times New Roman"/>
                <w:sz w:val="20"/>
              </w:rPr>
            </w:pPr>
          </w:p>
        </w:tc>
        <w:tc>
          <w:tcPr>
            <w:tcW w:w="669" w:type="dxa"/>
            <w:tcBorders>
              <w:left w:val="single" w:color="000000" w:sz="4" w:space="0"/>
              <w:bottom w:val="single" w:color="000000" w:sz="4" w:space="0"/>
              <w:right w:val="single" w:color="000000" w:sz="4" w:space="0"/>
            </w:tcBorders>
          </w:tcPr>
          <w:p>
            <w:pPr>
              <w:pStyle w:val="24"/>
              <w:rPr>
                <w:rFonts w:ascii="Times New Roman"/>
                <w:sz w:val="20"/>
              </w:rPr>
            </w:pPr>
          </w:p>
        </w:tc>
        <w:tc>
          <w:tcPr>
            <w:tcW w:w="4850" w:type="dxa"/>
            <w:tcBorders>
              <w:left w:val="single" w:color="000000" w:sz="4" w:space="0"/>
              <w:bottom w:val="single" w:color="000000" w:sz="4" w:space="0"/>
            </w:tcBorders>
          </w:tcPr>
          <w:p>
            <w:pPr>
              <w:pStyle w:val="24"/>
              <w:spacing w:before="2"/>
              <w:rPr>
                <w:rFonts w:ascii="宋体"/>
                <w:sz w:val="26"/>
              </w:rPr>
            </w:pPr>
          </w:p>
          <w:p>
            <w:pPr>
              <w:pStyle w:val="24"/>
              <w:ind w:left="62"/>
              <w:rPr>
                <w:rFonts w:ascii="宋体" w:eastAsia="宋体"/>
                <w:sz w:val="21"/>
              </w:rPr>
            </w:pPr>
            <w:r>
              <w:rPr>
                <w:rFonts w:hint="eastAsia" w:ascii="宋体" w:eastAsia="宋体"/>
                <w:sz w:val="21"/>
              </w:rPr>
              <w:t>对预案评估修订进行总体安排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5" w:hRule="atLeast"/>
        </w:trPr>
        <w:tc>
          <w:tcPr>
            <w:tcW w:w="13781" w:type="dxa"/>
            <w:gridSpan w:val="7"/>
            <w:tcBorders>
              <w:top w:val="single" w:color="000000" w:sz="4" w:space="0"/>
              <w:bottom w:val="single" w:color="000000" w:sz="4" w:space="0"/>
            </w:tcBorders>
          </w:tcPr>
          <w:p>
            <w:pPr>
              <w:pStyle w:val="24"/>
              <w:spacing w:before="127"/>
              <w:ind w:left="2875" w:right="2862"/>
              <w:jc w:val="center"/>
              <w:rPr>
                <w:rFonts w:ascii="黑体" w:eastAsia="黑体"/>
                <w:sz w:val="21"/>
              </w:rPr>
            </w:pPr>
            <w:r>
              <w:rPr>
                <w:rFonts w:hint="eastAsia" w:ascii="黑体" w:eastAsia="黑体"/>
                <w:sz w:val="21"/>
              </w:rPr>
              <w:t>环境风险评估报告</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7" w:hRule="atLeast"/>
        </w:trPr>
        <w:tc>
          <w:tcPr>
            <w:tcW w:w="1134" w:type="dxa"/>
            <w:vMerge w:val="restart"/>
            <w:tcBorders>
              <w:top w:val="single" w:color="000000" w:sz="4" w:space="0"/>
              <w:bottom w:val="single" w:color="000000" w:sz="4" w:space="0"/>
              <w:right w:val="single" w:color="000000" w:sz="4" w:space="0"/>
            </w:tcBorders>
          </w:tcPr>
          <w:p>
            <w:pPr>
              <w:pStyle w:val="24"/>
              <w:rPr>
                <w:rFonts w:ascii="宋体"/>
              </w:rPr>
            </w:pPr>
          </w:p>
          <w:p>
            <w:pPr>
              <w:pStyle w:val="24"/>
              <w:rPr>
                <w:rFonts w:ascii="宋体"/>
              </w:rPr>
            </w:pPr>
          </w:p>
          <w:p>
            <w:pPr>
              <w:pStyle w:val="24"/>
              <w:rPr>
                <w:rFonts w:ascii="宋体"/>
              </w:rPr>
            </w:pPr>
          </w:p>
          <w:p>
            <w:pPr>
              <w:pStyle w:val="24"/>
              <w:rPr>
                <w:rFonts w:ascii="宋体"/>
              </w:rPr>
            </w:pPr>
          </w:p>
          <w:p>
            <w:pPr>
              <w:pStyle w:val="24"/>
              <w:rPr>
                <w:rFonts w:ascii="宋体"/>
              </w:rPr>
            </w:pPr>
          </w:p>
          <w:p>
            <w:pPr>
              <w:pStyle w:val="24"/>
              <w:spacing w:before="10"/>
              <w:rPr>
                <w:rFonts w:ascii="宋体"/>
                <w:sz w:val="25"/>
              </w:rPr>
            </w:pPr>
          </w:p>
          <w:p>
            <w:pPr>
              <w:pStyle w:val="24"/>
              <w:ind w:left="55"/>
              <w:rPr>
                <w:rFonts w:ascii="宋体" w:eastAsia="宋体"/>
                <w:sz w:val="10"/>
              </w:rPr>
            </w:pPr>
            <w:r>
              <w:rPr>
                <w:rFonts w:hint="eastAsia" w:ascii="宋体" w:eastAsia="宋体"/>
                <w:sz w:val="21"/>
              </w:rPr>
              <w:t xml:space="preserve">风险分析 </w:t>
            </w:r>
            <w:r>
              <w:rPr>
                <w:rFonts w:hint="eastAsia" w:ascii="宋体" w:eastAsia="宋体"/>
                <w:position w:val="11"/>
                <w:sz w:val="10"/>
              </w:rPr>
              <w:t>c</w:t>
            </w: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8"/>
              <w:rPr>
                <w:rFonts w:ascii="宋体"/>
                <w:sz w:val="17"/>
              </w:rPr>
            </w:pPr>
          </w:p>
          <w:p>
            <w:pPr>
              <w:pStyle w:val="24"/>
              <w:ind w:left="92" w:right="74"/>
              <w:jc w:val="center"/>
              <w:rPr>
                <w:rFonts w:ascii="宋体"/>
                <w:sz w:val="21"/>
              </w:rPr>
            </w:pPr>
            <w:r>
              <w:rPr>
                <w:rFonts w:ascii="宋体"/>
                <w:sz w:val="21"/>
              </w:rPr>
              <w:t>39</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74" w:line="242" w:lineRule="auto"/>
              <w:ind w:left="60" w:right="20"/>
              <w:rPr>
                <w:rFonts w:ascii="宋体" w:eastAsia="宋体"/>
                <w:sz w:val="21"/>
              </w:rPr>
            </w:pPr>
            <w:r>
              <w:rPr>
                <w:rFonts w:hint="eastAsia" w:ascii="宋体" w:eastAsia="宋体"/>
                <w:sz w:val="21"/>
              </w:rPr>
              <w:t>识别出所有重要的环境风险物质；列表，至少列出</w:t>
            </w:r>
            <w:r>
              <w:rPr>
                <w:rFonts w:hint="eastAsia" w:ascii="宋体" w:eastAsia="宋体"/>
                <w:spacing w:val="-2"/>
                <w:sz w:val="21"/>
              </w:rPr>
              <w:t>重要环境风险物质的名称、数量</w:t>
            </w:r>
            <w:r>
              <w:rPr>
                <w:rFonts w:hint="eastAsia" w:ascii="宋体" w:eastAsia="宋体"/>
                <w:sz w:val="21"/>
              </w:rPr>
              <w:t xml:space="preserve">（最大存在总量） </w:t>
            </w:r>
            <w:r>
              <w:rPr>
                <w:rFonts w:hint="eastAsia" w:ascii="宋体" w:eastAsia="宋体"/>
                <w:w w:val="95"/>
                <w:sz w:val="21"/>
              </w:rPr>
              <w:t xml:space="preserve">位置/所在装置；环境风险物质数量大于临界量的， </w:t>
            </w:r>
            <w:r>
              <w:rPr>
                <w:rFonts w:hint="eastAsia" w:ascii="宋体" w:eastAsia="宋体"/>
                <w:sz w:val="21"/>
              </w:rPr>
              <w:t>辨识重要环境风险单元</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238" w:line="158" w:lineRule="auto"/>
              <w:ind w:left="-158"/>
              <w:rPr>
                <w:rFonts w:ascii="宋体" w:hAnsi="宋体" w:eastAsia="宋体"/>
                <w:sz w:val="21"/>
              </w:rPr>
            </w:pPr>
            <w:r>
              <w:rPr>
                <w:rFonts w:hint="eastAsia" w:ascii="宋体" w:hAnsi="宋体" w:eastAsia="宋体"/>
                <w:position w:val="-12"/>
                <w:sz w:val="21"/>
              </w:rPr>
              <w:t>、</w:t>
            </w:r>
            <w:r>
              <w:rPr>
                <w:rFonts w:hint="eastAsia" w:ascii="宋体" w:hAnsi="宋体" w:eastAsia="宋体"/>
                <w:sz w:val="21"/>
              </w:rPr>
              <w:t>□符合</w:t>
            </w:r>
          </w:p>
          <w:p>
            <w:pPr>
              <w:pStyle w:val="24"/>
              <w:spacing w:line="205" w:lineRule="exact"/>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6"/>
              <w:rPr>
                <w:rFonts w:ascii="宋体"/>
                <w:sz w:val="16"/>
              </w:rPr>
            </w:pPr>
          </w:p>
          <w:p>
            <w:pPr>
              <w:pStyle w:val="24"/>
              <w:spacing w:line="242" w:lineRule="auto"/>
              <w:ind w:left="62" w:right="37"/>
              <w:jc w:val="both"/>
              <w:rPr>
                <w:rFonts w:ascii="宋体" w:eastAsia="宋体"/>
                <w:sz w:val="21"/>
              </w:rPr>
            </w:pPr>
            <w:r>
              <w:rPr>
                <w:rFonts w:hint="eastAsia" w:ascii="宋体" w:eastAsia="宋体"/>
                <w:spacing w:val="-5"/>
                <w:w w:val="95"/>
                <w:sz w:val="21"/>
              </w:rPr>
              <w:t xml:space="preserve">对照企业突发环境事件风险评估相关文件，识别出所 </w:t>
            </w:r>
            <w:r>
              <w:rPr>
                <w:rFonts w:hint="eastAsia" w:ascii="宋体" w:eastAsia="宋体"/>
                <w:spacing w:val="-12"/>
                <w:w w:val="95"/>
                <w:sz w:val="21"/>
              </w:rPr>
              <w:t xml:space="preserve">有重要的物质；对于数量大于临界量的，应辨识环境 </w:t>
            </w:r>
            <w:r>
              <w:rPr>
                <w:rFonts w:hint="eastAsia" w:ascii="宋体" w:eastAsia="宋体"/>
                <w:spacing w:val="-12"/>
                <w:sz w:val="21"/>
              </w:rPr>
              <w:t>风险物质在企业哪些环境风险单元集中分布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2"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3"/>
              <w:rPr>
                <w:rFonts w:ascii="宋体"/>
                <w:sz w:val="27"/>
              </w:rPr>
            </w:pPr>
          </w:p>
          <w:p>
            <w:pPr>
              <w:pStyle w:val="24"/>
              <w:ind w:left="92" w:right="74"/>
              <w:jc w:val="center"/>
              <w:rPr>
                <w:rFonts w:ascii="宋体"/>
                <w:sz w:val="21"/>
              </w:rPr>
            </w:pPr>
            <w:r>
              <w:rPr>
                <w:rFonts w:ascii="宋体"/>
                <w:sz w:val="21"/>
              </w:rPr>
              <w:t>40</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9"/>
              <w:rPr>
                <w:rFonts w:ascii="宋体"/>
                <w:sz w:val="16"/>
              </w:rPr>
            </w:pPr>
          </w:p>
          <w:p>
            <w:pPr>
              <w:pStyle w:val="24"/>
              <w:spacing w:line="242" w:lineRule="auto"/>
              <w:ind w:left="60" w:right="128"/>
              <w:rPr>
                <w:rFonts w:ascii="宋体" w:eastAsia="宋体"/>
                <w:sz w:val="21"/>
              </w:rPr>
            </w:pPr>
            <w:r>
              <w:rPr>
                <w:rFonts w:hint="eastAsia" w:ascii="宋体" w:eastAsia="宋体"/>
                <w:w w:val="95"/>
                <w:sz w:val="21"/>
              </w:rPr>
              <w:t xml:space="preserve">重点核对生产工艺、环境风险防控措施各项指标的 </w:t>
            </w:r>
            <w:r>
              <w:rPr>
                <w:rFonts w:hint="eastAsia" w:ascii="宋体" w:eastAsia="宋体"/>
                <w:sz w:val="21"/>
              </w:rPr>
              <w:t>赋值是否合理</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77"/>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3"/>
              <w:ind w:left="60"/>
              <w:rPr>
                <w:rFonts w:ascii="宋体" w:hAnsi="宋体" w:eastAsia="宋体"/>
                <w:sz w:val="21"/>
              </w:rPr>
            </w:pPr>
            <w:r>
              <w:rPr>
                <w:rFonts w:hint="eastAsia" w:ascii="宋体" w:hAnsi="宋体" w:eastAsia="宋体"/>
                <w:sz w:val="21"/>
              </w:rPr>
              <w:t>□部分符合</w:t>
            </w:r>
          </w:p>
          <w:p>
            <w:pPr>
              <w:pStyle w:val="24"/>
              <w:spacing w:before="4"/>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9"/>
              <w:rPr>
                <w:rFonts w:ascii="宋体"/>
                <w:sz w:val="16"/>
              </w:rPr>
            </w:pPr>
          </w:p>
          <w:p>
            <w:pPr>
              <w:pStyle w:val="24"/>
              <w:spacing w:line="242" w:lineRule="auto"/>
              <w:ind w:left="62" w:right="35"/>
              <w:rPr>
                <w:rFonts w:ascii="宋体" w:eastAsia="宋体"/>
                <w:sz w:val="21"/>
              </w:rPr>
            </w:pPr>
            <w:r>
              <w:rPr>
                <w:rFonts w:hint="eastAsia" w:ascii="宋体" w:eastAsia="宋体"/>
                <w:spacing w:val="3"/>
                <w:w w:val="95"/>
                <w:sz w:val="21"/>
              </w:rPr>
              <w:t xml:space="preserve">按照企业突发环境事件风险评估相关文件的赋分规 </w:t>
            </w:r>
            <w:r>
              <w:rPr>
                <w:rFonts w:hint="eastAsia" w:ascii="宋体" w:eastAsia="宋体"/>
                <w:sz w:val="21"/>
              </w:rPr>
              <w:t>则审查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5"/>
              <w:rPr>
                <w:rFonts w:ascii="宋体"/>
                <w:sz w:val="21"/>
              </w:rPr>
            </w:pPr>
          </w:p>
          <w:p>
            <w:pPr>
              <w:pStyle w:val="24"/>
              <w:ind w:left="92" w:right="74"/>
              <w:jc w:val="center"/>
              <w:rPr>
                <w:rFonts w:ascii="宋体"/>
                <w:sz w:val="21"/>
              </w:rPr>
            </w:pPr>
            <w:r>
              <w:rPr>
                <w:rFonts w:ascii="宋体"/>
                <w:sz w:val="21"/>
              </w:rPr>
              <w:t>41</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5"/>
              <w:rPr>
                <w:rFonts w:ascii="宋体"/>
                <w:sz w:val="21"/>
              </w:rPr>
            </w:pPr>
          </w:p>
          <w:p>
            <w:pPr>
              <w:pStyle w:val="24"/>
              <w:ind w:left="60"/>
              <w:rPr>
                <w:rFonts w:ascii="宋体" w:eastAsia="宋体"/>
                <w:sz w:val="21"/>
              </w:rPr>
            </w:pPr>
            <w:r>
              <w:rPr>
                <w:rFonts w:hint="eastAsia" w:ascii="宋体" w:eastAsia="宋体"/>
                <w:sz w:val="21"/>
              </w:rPr>
              <w:t>环境风险受体类型的确定是否合理</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37"/>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137" w:line="242" w:lineRule="auto"/>
              <w:ind w:left="62" w:right="35"/>
              <w:rPr>
                <w:rFonts w:ascii="宋体" w:eastAsia="宋体"/>
                <w:sz w:val="21"/>
              </w:rPr>
            </w:pPr>
            <w:r>
              <w:rPr>
                <w:rFonts w:hint="eastAsia" w:ascii="宋体" w:eastAsia="宋体"/>
                <w:spacing w:val="3"/>
                <w:w w:val="95"/>
                <w:sz w:val="21"/>
              </w:rPr>
              <w:t xml:space="preserve">按照企业突发环境事件风险评估相关文件的受体划 </w:t>
            </w:r>
            <w:r>
              <w:rPr>
                <w:rFonts w:hint="eastAsia" w:ascii="宋体" w:eastAsia="宋体"/>
                <w:sz w:val="21"/>
              </w:rPr>
              <w:t>分依据审查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2"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spacing w:before="6"/>
              <w:rPr>
                <w:rFonts w:ascii="宋体"/>
                <w:sz w:val="16"/>
              </w:rPr>
            </w:pPr>
          </w:p>
          <w:p>
            <w:pPr>
              <w:pStyle w:val="24"/>
              <w:ind w:left="92" w:right="74"/>
              <w:jc w:val="center"/>
              <w:rPr>
                <w:rFonts w:ascii="宋体"/>
                <w:sz w:val="21"/>
              </w:rPr>
            </w:pPr>
            <w:r>
              <w:rPr>
                <w:rFonts w:ascii="宋体"/>
                <w:sz w:val="21"/>
              </w:rPr>
              <w:t>42</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6"/>
              <w:rPr>
                <w:rFonts w:ascii="宋体"/>
                <w:sz w:val="16"/>
              </w:rPr>
            </w:pPr>
          </w:p>
          <w:p>
            <w:pPr>
              <w:pStyle w:val="24"/>
              <w:ind w:left="60"/>
              <w:rPr>
                <w:rFonts w:ascii="宋体" w:eastAsia="宋体"/>
                <w:sz w:val="21"/>
              </w:rPr>
            </w:pPr>
            <w:r>
              <w:rPr>
                <w:rFonts w:hint="eastAsia" w:ascii="宋体" w:eastAsia="宋体"/>
                <w:sz w:val="21"/>
              </w:rPr>
              <w:t>环境风险等级划分是否正确</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75"/>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6"/>
              <w:rPr>
                <w:rFonts w:ascii="宋体"/>
                <w:sz w:val="16"/>
              </w:rPr>
            </w:pPr>
          </w:p>
          <w:p>
            <w:pPr>
              <w:pStyle w:val="24"/>
              <w:ind w:left="62"/>
              <w:rPr>
                <w:rFonts w:ascii="宋体" w:eastAsia="宋体"/>
                <w:sz w:val="21"/>
              </w:rPr>
            </w:pPr>
            <w:r>
              <w:rPr>
                <w:rFonts w:hint="eastAsia" w:ascii="宋体" w:eastAsia="宋体"/>
                <w:sz w:val="21"/>
              </w:rPr>
              <w:t>按照企业突发环境事件风险评估相关文件审查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6" w:hRule="atLeast"/>
        </w:trPr>
        <w:tc>
          <w:tcPr>
            <w:tcW w:w="1134" w:type="dxa"/>
            <w:tcBorders>
              <w:top w:val="single" w:color="000000" w:sz="4" w:space="0"/>
              <w:bottom w:val="single" w:color="000000" w:sz="4" w:space="0"/>
              <w:right w:val="single" w:color="000000" w:sz="4" w:space="0"/>
            </w:tcBorders>
          </w:tcPr>
          <w:p>
            <w:pPr>
              <w:pStyle w:val="24"/>
              <w:rPr>
                <w:rFonts w:ascii="宋体"/>
                <w:sz w:val="20"/>
              </w:rPr>
            </w:pPr>
          </w:p>
          <w:p>
            <w:pPr>
              <w:pStyle w:val="24"/>
              <w:spacing w:before="1"/>
              <w:rPr>
                <w:rFonts w:ascii="宋体"/>
                <w:sz w:val="23"/>
              </w:rPr>
            </w:pPr>
          </w:p>
          <w:p>
            <w:pPr>
              <w:pStyle w:val="24"/>
              <w:spacing w:before="1"/>
              <w:ind w:left="146"/>
              <w:rPr>
                <w:rFonts w:ascii="宋体" w:eastAsia="宋体"/>
                <w:sz w:val="21"/>
              </w:rPr>
            </w:pPr>
            <w:r>
              <w:rPr>
                <w:rFonts w:hint="eastAsia" w:ascii="宋体" w:eastAsia="宋体"/>
                <w:sz w:val="21"/>
              </w:rPr>
              <w:t>情景构建</w:t>
            </w: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1"/>
              <w:rPr>
                <w:rFonts w:ascii="宋体"/>
                <w:sz w:val="23"/>
              </w:rPr>
            </w:pPr>
          </w:p>
          <w:p>
            <w:pPr>
              <w:pStyle w:val="24"/>
              <w:spacing w:before="1"/>
              <w:ind w:left="92" w:right="74"/>
              <w:jc w:val="center"/>
              <w:rPr>
                <w:rFonts w:ascii="宋体"/>
                <w:sz w:val="21"/>
              </w:rPr>
            </w:pPr>
            <w:r>
              <w:rPr>
                <w:rFonts w:ascii="宋体"/>
                <w:sz w:val="21"/>
              </w:rPr>
              <w:t>43</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159" w:line="244" w:lineRule="auto"/>
              <w:ind w:left="60" w:right="128"/>
              <w:rPr>
                <w:rFonts w:ascii="宋体" w:eastAsia="宋体"/>
                <w:sz w:val="21"/>
              </w:rPr>
            </w:pPr>
            <w:r>
              <w:rPr>
                <w:rFonts w:hint="eastAsia" w:ascii="宋体" w:eastAsia="宋体"/>
                <w:w w:val="95"/>
                <w:sz w:val="21"/>
              </w:rPr>
              <w:t xml:space="preserve">列明国内外同类企业的突发环境事件信息，提出本 </w:t>
            </w:r>
            <w:r>
              <w:rPr>
                <w:rFonts w:hint="eastAsia" w:ascii="宋体" w:eastAsia="宋体"/>
                <w:sz w:val="21"/>
              </w:rPr>
              <w:t>企业可能发生的突发环境事件情景</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2"/>
              <w:rPr>
                <w:rFonts w:ascii="宋体"/>
                <w:sz w:val="21"/>
              </w:rPr>
            </w:pPr>
          </w:p>
          <w:p>
            <w:pPr>
              <w:pStyle w:val="24"/>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t>□部分符合</w:t>
            </w:r>
          </w:p>
          <w:p>
            <w:pPr>
              <w:pStyle w:val="24"/>
              <w:spacing w:before="3"/>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12"/>
              <w:rPr>
                <w:rFonts w:ascii="宋体"/>
                <w:sz w:val="21"/>
              </w:rPr>
            </w:pPr>
          </w:p>
          <w:p>
            <w:pPr>
              <w:pStyle w:val="24"/>
              <w:spacing w:line="242" w:lineRule="auto"/>
              <w:ind w:left="62" w:right="35"/>
              <w:jc w:val="both"/>
              <w:rPr>
                <w:rFonts w:ascii="宋体" w:eastAsia="宋体"/>
                <w:sz w:val="21"/>
              </w:rPr>
            </w:pPr>
            <w:r>
              <w:rPr>
                <w:rFonts w:hint="eastAsia" w:ascii="宋体" w:eastAsia="宋体"/>
                <w:spacing w:val="-8"/>
                <w:w w:val="95"/>
                <w:sz w:val="21"/>
              </w:rPr>
              <w:t xml:space="preserve">列表说明事件的日期、地点、引发原因、事件影响等 </w:t>
            </w:r>
            <w:r>
              <w:rPr>
                <w:rFonts w:hint="eastAsia" w:ascii="宋体" w:eastAsia="宋体"/>
                <w:spacing w:val="-10"/>
                <w:w w:val="95"/>
                <w:sz w:val="21"/>
              </w:rPr>
              <w:t xml:space="preserve">内容，按照企业突发环境事件风险评估相关文件，结 </w:t>
            </w:r>
            <w:r>
              <w:rPr>
                <w:rFonts w:hint="eastAsia" w:ascii="宋体" w:eastAsia="宋体"/>
                <w:spacing w:val="-10"/>
                <w:sz w:val="21"/>
              </w:rPr>
              <w:t>合企业实际列出事件情景</w:t>
            </w:r>
          </w:p>
        </w:tc>
      </w:tr>
    </w:tbl>
    <w:p>
      <w:pPr>
        <w:spacing w:line="242" w:lineRule="auto"/>
        <w:jc w:val="both"/>
        <w:rPr>
          <w:rFonts w:ascii="宋体" w:eastAsia="宋体"/>
          <w:sz w:val="21"/>
        </w:rPr>
        <w:sectPr>
          <w:pgSz w:w="16840" w:h="11910" w:orient="landscape"/>
          <w:pgMar w:top="1100" w:right="1340" w:bottom="1180" w:left="1340" w:header="882" w:footer="993" w:gutter="0"/>
          <w:cols w:space="720" w:num="1"/>
        </w:sectPr>
      </w:pPr>
    </w:p>
    <w:p>
      <w:pPr>
        <w:pStyle w:val="10"/>
        <w:rPr>
          <w:rFonts w:ascii="宋体"/>
          <w:sz w:val="20"/>
        </w:rPr>
      </w:pPr>
      <w:r>
        <mc:AlternateContent>
          <mc:Choice Requires="wps">
            <w:drawing>
              <wp:anchor distT="0" distB="0" distL="114300" distR="114300" simplePos="0" relativeHeight="251687936" behindDoc="0" locked="0" layoutInCell="1" allowOverlap="1">
                <wp:simplePos x="0" y="0"/>
                <wp:positionH relativeFrom="page">
                  <wp:posOffset>963930</wp:posOffset>
                </wp:positionH>
                <wp:positionV relativeFrom="page">
                  <wp:posOffset>715645</wp:posOffset>
                </wp:positionV>
                <wp:extent cx="8769350" cy="5764530"/>
                <wp:effectExtent l="0" t="0" r="0" b="0"/>
                <wp:wrapNone/>
                <wp:docPr id="30" name="文本框 34"/>
                <wp:cNvGraphicFramePr/>
                <a:graphic xmlns:a="http://schemas.openxmlformats.org/drawingml/2006/main">
                  <a:graphicData uri="http://schemas.microsoft.com/office/word/2010/wordprocessingShape">
                    <wps:wsp>
                      <wps:cNvSpPr txBox="1"/>
                      <wps:spPr>
                        <a:xfrm>
                          <a:off x="0" y="0"/>
                          <a:ext cx="8769350" cy="5764530"/>
                        </a:xfrm>
                        <a:prstGeom prst="rect">
                          <a:avLst/>
                        </a:prstGeom>
                        <a:noFill/>
                        <a:ln>
                          <a:noFill/>
                        </a:ln>
                      </wps:spPr>
                      <wps:txbx>
                        <w:txbxContent>
                          <w:tbl>
                            <w:tblPr>
                              <w:tblStyle w:val="1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34"/>
                              <w:gridCol w:w="426"/>
                              <w:gridCol w:w="4819"/>
                              <w:gridCol w:w="1276"/>
                              <w:gridCol w:w="607"/>
                              <w:gridCol w:w="669"/>
                              <w:gridCol w:w="48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37" w:hRule="atLeast"/>
                              </w:trPr>
                              <w:tc>
                                <w:tcPr>
                                  <w:tcW w:w="1134" w:type="dxa"/>
                                  <w:vMerge w:val="restart"/>
                                  <w:tcBorders>
                                    <w:bottom w:val="single" w:color="000000" w:sz="4" w:space="0"/>
                                    <w:right w:val="single" w:color="000000" w:sz="4" w:space="0"/>
                                  </w:tcBorders>
                                </w:tcPr>
                                <w:p>
                                  <w:pPr>
                                    <w:pStyle w:val="24"/>
                                    <w:rPr>
                                      <w:rFonts w:ascii="Times New Roman"/>
                                      <w:sz w:val="20"/>
                                    </w:rPr>
                                  </w:pPr>
                                </w:p>
                              </w:tc>
                              <w:tc>
                                <w:tcPr>
                                  <w:tcW w:w="426" w:type="dxa"/>
                                  <w:tcBorders>
                                    <w:left w:val="single" w:color="000000" w:sz="4" w:space="0"/>
                                    <w:bottom w:val="single" w:color="000000" w:sz="4" w:space="0"/>
                                    <w:right w:val="single" w:color="000000" w:sz="4" w:space="0"/>
                                  </w:tcBorders>
                                </w:tcPr>
                                <w:p>
                                  <w:pPr>
                                    <w:pStyle w:val="24"/>
                                    <w:rPr>
                                      <w:rFonts w:ascii="宋体"/>
                                      <w:sz w:val="20"/>
                                    </w:rPr>
                                  </w:pPr>
                                </w:p>
                                <w:p>
                                  <w:pPr>
                                    <w:pStyle w:val="24"/>
                                    <w:spacing w:before="7"/>
                                    <w:rPr>
                                      <w:rFonts w:ascii="宋体"/>
                                      <w:sz w:val="29"/>
                                    </w:rPr>
                                  </w:pPr>
                                </w:p>
                                <w:p>
                                  <w:pPr>
                                    <w:pStyle w:val="24"/>
                                    <w:ind w:left="92" w:right="74"/>
                                    <w:jc w:val="center"/>
                                    <w:rPr>
                                      <w:rFonts w:ascii="宋体"/>
                                      <w:sz w:val="21"/>
                                    </w:rPr>
                                  </w:pPr>
                                  <w:r>
                                    <w:rPr>
                                      <w:rFonts w:ascii="宋体"/>
                                      <w:sz w:val="21"/>
                                    </w:rPr>
                                    <w:t>44</w:t>
                                  </w:r>
                                </w:p>
                              </w:tc>
                              <w:tc>
                                <w:tcPr>
                                  <w:tcW w:w="4819" w:type="dxa"/>
                                  <w:tcBorders>
                                    <w:left w:val="single" w:color="000000" w:sz="4" w:space="0"/>
                                    <w:bottom w:val="single" w:color="000000" w:sz="4" w:space="0"/>
                                    <w:right w:val="single" w:color="000000" w:sz="4" w:space="0"/>
                                  </w:tcBorders>
                                </w:tcPr>
                                <w:p>
                                  <w:pPr>
                                    <w:pStyle w:val="24"/>
                                    <w:rPr>
                                      <w:rFonts w:ascii="宋体"/>
                                      <w:sz w:val="20"/>
                                    </w:rPr>
                                  </w:pPr>
                                </w:p>
                                <w:p>
                                  <w:pPr>
                                    <w:pStyle w:val="24"/>
                                    <w:spacing w:before="11"/>
                                    <w:rPr>
                                      <w:rFonts w:ascii="宋体"/>
                                      <w:sz w:val="18"/>
                                    </w:rPr>
                                  </w:pPr>
                                </w:p>
                                <w:p>
                                  <w:pPr>
                                    <w:pStyle w:val="24"/>
                                    <w:spacing w:line="244" w:lineRule="auto"/>
                                    <w:ind w:left="60" w:right="128"/>
                                    <w:rPr>
                                      <w:rFonts w:ascii="宋体" w:eastAsia="宋体"/>
                                      <w:sz w:val="21"/>
                                    </w:rPr>
                                  </w:pPr>
                                  <w:r>
                                    <w:rPr>
                                      <w:rFonts w:hint="eastAsia" w:ascii="宋体" w:eastAsia="宋体"/>
                                      <w:w w:val="95"/>
                                      <w:sz w:val="21"/>
                                    </w:rPr>
                                    <w:t xml:space="preserve">源强分析，重点分析释放环境风险物质的种类、释 </w:t>
                                  </w:r>
                                  <w:r>
                                    <w:rPr>
                                      <w:rFonts w:hint="eastAsia" w:ascii="宋体" w:eastAsia="宋体"/>
                                      <w:sz w:val="21"/>
                                    </w:rPr>
                                    <w:t>放速率、持续时间</w:t>
                                  </w:r>
                                </w:p>
                              </w:tc>
                              <w:tc>
                                <w:tcPr>
                                  <w:tcW w:w="1276" w:type="dxa"/>
                                  <w:tcBorders>
                                    <w:left w:val="single" w:color="000000" w:sz="4" w:space="0"/>
                                    <w:bottom w:val="single" w:color="000000" w:sz="4" w:space="0"/>
                                    <w:right w:val="single" w:color="000000" w:sz="4" w:space="0"/>
                                  </w:tcBorders>
                                </w:tcPr>
                                <w:p>
                                  <w:pPr>
                                    <w:pStyle w:val="24"/>
                                    <w:spacing w:before="5"/>
                                    <w:rPr>
                                      <w:rFonts w:ascii="宋体"/>
                                      <w:sz w:val="28"/>
                                    </w:rPr>
                                  </w:pPr>
                                </w:p>
                                <w:p>
                                  <w:pPr>
                                    <w:pStyle w:val="24"/>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left w:val="single" w:color="000000" w:sz="4" w:space="0"/>
                                    <w:bottom w:val="single" w:color="000000" w:sz="4" w:space="0"/>
                                    <w:right w:val="single" w:color="000000" w:sz="4" w:space="0"/>
                                  </w:tcBorders>
                                </w:tcPr>
                                <w:p>
                                  <w:pPr>
                                    <w:pStyle w:val="24"/>
                                    <w:rPr>
                                      <w:rFonts w:ascii="Times New Roman"/>
                                      <w:sz w:val="20"/>
                                    </w:rPr>
                                  </w:pPr>
                                </w:p>
                              </w:tc>
                              <w:tc>
                                <w:tcPr>
                                  <w:tcW w:w="669" w:type="dxa"/>
                                  <w:tcBorders>
                                    <w:left w:val="single" w:color="000000" w:sz="4" w:space="0"/>
                                    <w:bottom w:val="single" w:color="000000" w:sz="4" w:space="0"/>
                                    <w:right w:val="single" w:color="000000" w:sz="4" w:space="0"/>
                                  </w:tcBorders>
                                </w:tcPr>
                                <w:p>
                                  <w:pPr>
                                    <w:pStyle w:val="24"/>
                                    <w:rPr>
                                      <w:rFonts w:ascii="Times New Roman"/>
                                      <w:sz w:val="20"/>
                                    </w:rPr>
                                  </w:pPr>
                                </w:p>
                              </w:tc>
                              <w:tc>
                                <w:tcPr>
                                  <w:tcW w:w="4850" w:type="dxa"/>
                                  <w:tcBorders>
                                    <w:left w:val="single" w:color="000000" w:sz="4" w:space="0"/>
                                    <w:bottom w:val="single" w:color="000000" w:sz="4" w:space="0"/>
                                  </w:tcBorders>
                                </w:tcPr>
                                <w:p>
                                  <w:pPr>
                                    <w:pStyle w:val="24"/>
                                    <w:spacing w:before="5"/>
                                    <w:rPr>
                                      <w:rFonts w:ascii="宋体"/>
                                      <w:sz w:val="28"/>
                                    </w:rPr>
                                  </w:pPr>
                                </w:p>
                                <w:p>
                                  <w:pPr>
                                    <w:pStyle w:val="24"/>
                                    <w:spacing w:line="242" w:lineRule="auto"/>
                                    <w:ind w:left="62" w:right="37"/>
                                    <w:rPr>
                                      <w:rFonts w:ascii="宋体" w:eastAsia="宋体"/>
                                      <w:sz w:val="21"/>
                                    </w:rPr>
                                  </w:pPr>
                                  <w:r>
                                    <w:rPr>
                                      <w:rFonts w:hint="eastAsia" w:ascii="宋体" w:eastAsia="宋体"/>
                                      <w:spacing w:val="-6"/>
                                      <w:w w:val="95"/>
                                      <w:sz w:val="21"/>
                                    </w:rPr>
                                    <w:t xml:space="preserve">针对每种典型事件情景进行源强分析，至少包括释放 </w:t>
                                  </w:r>
                                  <w:r>
                                    <w:rPr>
                                      <w:rFonts w:hint="eastAsia" w:ascii="宋体" w:eastAsia="宋体"/>
                                      <w:spacing w:val="-17"/>
                                      <w:sz w:val="21"/>
                                    </w:rPr>
                                    <w:t>环境风险物质的种类、释放速率、持续时间三个要素可以参考《建设项目环境风险评价技术导则》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8"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7"/>
                                    <w:rPr>
                                      <w:rFonts w:ascii="宋体"/>
                                      <w:sz w:val="27"/>
                                    </w:rPr>
                                  </w:pPr>
                                </w:p>
                                <w:p>
                                  <w:pPr>
                                    <w:pStyle w:val="24"/>
                                    <w:ind w:left="92" w:right="74"/>
                                    <w:jc w:val="center"/>
                                    <w:rPr>
                                      <w:rFonts w:ascii="宋体"/>
                                      <w:sz w:val="21"/>
                                    </w:rPr>
                                  </w:pPr>
                                  <w:r>
                                    <w:rPr>
                                      <w:rFonts w:ascii="宋体"/>
                                      <w:sz w:val="21"/>
                                    </w:rPr>
                                    <w:t>45</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11"/>
                                    <w:rPr>
                                      <w:rFonts w:ascii="宋体"/>
                                      <w:sz w:val="16"/>
                                    </w:rPr>
                                  </w:pPr>
                                </w:p>
                                <w:p>
                                  <w:pPr>
                                    <w:pStyle w:val="24"/>
                                    <w:spacing w:line="242" w:lineRule="auto"/>
                                    <w:ind w:left="60" w:right="128"/>
                                    <w:rPr>
                                      <w:rFonts w:ascii="宋体" w:eastAsia="宋体"/>
                                      <w:sz w:val="21"/>
                                    </w:rPr>
                                  </w:pPr>
                                  <w:r>
                                    <w:rPr>
                                      <w:rFonts w:hint="eastAsia" w:ascii="宋体" w:eastAsia="宋体"/>
                                      <w:w w:val="95"/>
                                      <w:sz w:val="21"/>
                                    </w:rPr>
                                    <w:t xml:space="preserve">释放途径分析，重点分析环境风险物质从释放源头 </w:t>
                                  </w:r>
                                  <w:r>
                                    <w:rPr>
                                      <w:rFonts w:hint="eastAsia" w:ascii="宋体" w:eastAsia="宋体"/>
                                      <w:sz w:val="21"/>
                                    </w:rPr>
                                    <w:t>到受体之间的过程</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3"/>
                                    <w:rPr>
                                      <w:rFonts w:ascii="宋体"/>
                                      <w:sz w:val="26"/>
                                    </w:rPr>
                                  </w:pPr>
                                </w:p>
                                <w:p>
                                  <w:pPr>
                                    <w:pStyle w:val="24"/>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t>□部分符合</w:t>
                                  </w:r>
                                </w:p>
                                <w:p>
                                  <w:pPr>
                                    <w:pStyle w:val="24"/>
                                    <w:spacing w:before="4"/>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7"/>
                                    <w:rPr>
                                      <w:rFonts w:ascii="宋体"/>
                                      <w:sz w:val="15"/>
                                    </w:rPr>
                                  </w:pPr>
                                </w:p>
                                <w:p>
                                  <w:pPr>
                                    <w:pStyle w:val="24"/>
                                    <w:spacing w:line="242" w:lineRule="auto"/>
                                    <w:ind w:left="62" w:right="37"/>
                                    <w:jc w:val="both"/>
                                    <w:rPr>
                                      <w:rFonts w:ascii="宋体" w:eastAsia="宋体"/>
                                      <w:sz w:val="21"/>
                                    </w:rPr>
                                  </w:pPr>
                                  <w:r>
                                    <w:rPr>
                                      <w:rFonts w:hint="eastAsia" w:ascii="宋体" w:eastAsia="宋体"/>
                                      <w:spacing w:val="-9"/>
                                      <w:w w:val="95"/>
                                      <w:sz w:val="21"/>
                                    </w:rPr>
                                    <w:t xml:space="preserve">对于可能造成水污染的，分析环境风险物质从释放源 </w:t>
                                  </w:r>
                                  <w:r>
                                    <w:rPr>
                                      <w:rFonts w:hint="eastAsia" w:ascii="宋体" w:eastAsia="宋体"/>
                                      <w:spacing w:val="-11"/>
                                      <w:w w:val="95"/>
                                      <w:sz w:val="21"/>
                                    </w:rPr>
                                    <w:t xml:space="preserve">头，经厂界内到厂界外，最终影响到环境风险受体的 </w:t>
                                  </w:r>
                                  <w:r>
                                    <w:rPr>
                                      <w:rFonts w:hint="eastAsia" w:ascii="宋体" w:eastAsia="宋体"/>
                                      <w:spacing w:val="-14"/>
                                      <w:w w:val="95"/>
                                      <w:sz w:val="21"/>
                                    </w:rPr>
                                    <w:t xml:space="preserve">可能的路径；对于可能造成大气污染的，分析从泄漏 </w:t>
                                  </w:r>
                                  <w:r>
                                    <w:rPr>
                                      <w:rFonts w:hint="eastAsia" w:ascii="宋体" w:eastAsia="宋体"/>
                                      <w:spacing w:val="-14"/>
                                      <w:sz w:val="21"/>
                                    </w:rPr>
                                    <w:t>源头释放至风险受体的路径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7"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157"/>
                                    <w:ind w:left="92" w:right="74"/>
                                    <w:jc w:val="center"/>
                                    <w:rPr>
                                      <w:rFonts w:ascii="宋体"/>
                                      <w:sz w:val="21"/>
                                    </w:rPr>
                                  </w:pPr>
                                  <w:r>
                                    <w:rPr>
                                      <w:rFonts w:ascii="宋体"/>
                                      <w:sz w:val="21"/>
                                    </w:rPr>
                                    <w:t>46</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8"/>
                                    <w:rPr>
                                      <w:rFonts w:ascii="宋体"/>
                                      <w:sz w:val="21"/>
                                    </w:rPr>
                                  </w:pPr>
                                </w:p>
                                <w:p>
                                  <w:pPr>
                                    <w:pStyle w:val="24"/>
                                    <w:spacing w:line="242" w:lineRule="auto"/>
                                    <w:ind w:left="60" w:right="128"/>
                                    <w:rPr>
                                      <w:rFonts w:ascii="宋体" w:eastAsia="宋体"/>
                                      <w:sz w:val="21"/>
                                    </w:rPr>
                                  </w:pPr>
                                  <w:r>
                                    <w:rPr>
                                      <w:rFonts w:hint="eastAsia" w:ascii="宋体" w:eastAsia="宋体"/>
                                      <w:w w:val="95"/>
                                      <w:sz w:val="21"/>
                                    </w:rPr>
                                    <w:t xml:space="preserve">危害后果分析，重点分析环境风险物质的影响范围 </w:t>
                                  </w:r>
                                  <w:r>
                                    <w:rPr>
                                      <w:rFonts w:hint="eastAsia" w:ascii="宋体" w:eastAsia="宋体"/>
                                      <w:sz w:val="21"/>
                                    </w:rPr>
                                    <w:t>和程度</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40"/>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5"/>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8"/>
                                    <w:rPr>
                                      <w:rFonts w:ascii="宋体"/>
                                      <w:sz w:val="21"/>
                                    </w:rPr>
                                  </w:pPr>
                                </w:p>
                                <w:p>
                                  <w:pPr>
                                    <w:pStyle w:val="24"/>
                                    <w:spacing w:line="242" w:lineRule="auto"/>
                                    <w:ind w:left="62" w:right="37"/>
                                    <w:rPr>
                                      <w:rFonts w:ascii="宋体" w:eastAsia="宋体"/>
                                      <w:sz w:val="21"/>
                                    </w:rPr>
                                  </w:pPr>
                                  <w:r>
                                    <w:rPr>
                                      <w:rFonts w:hint="eastAsia" w:ascii="宋体" w:eastAsia="宋体"/>
                                      <w:spacing w:val="-6"/>
                                      <w:w w:val="95"/>
                                      <w:sz w:val="21"/>
                                    </w:rPr>
                                    <w:t xml:space="preserve">针对每种情景的重点环境风险物质，计算浓度分布情 </w:t>
                                  </w:r>
                                  <w:r>
                                    <w:rPr>
                                      <w:rFonts w:hint="eastAsia" w:ascii="宋体" w:eastAsia="宋体"/>
                                      <w:spacing w:val="-6"/>
                                      <w:sz w:val="21"/>
                                    </w:rPr>
                                    <w:t>况，说明影响范围和程度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53"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5"/>
                                    <w:rPr>
                                      <w:rFonts w:ascii="宋体"/>
                                      <w:sz w:val="14"/>
                                    </w:rPr>
                                  </w:pPr>
                                </w:p>
                                <w:p>
                                  <w:pPr>
                                    <w:pStyle w:val="24"/>
                                    <w:ind w:left="92" w:right="74"/>
                                    <w:jc w:val="center"/>
                                    <w:rPr>
                                      <w:rFonts w:ascii="宋体"/>
                                      <w:sz w:val="21"/>
                                    </w:rPr>
                                  </w:pPr>
                                  <w:r>
                                    <w:rPr>
                                      <w:rFonts w:ascii="宋体"/>
                                      <w:sz w:val="21"/>
                                    </w:rPr>
                                    <w:t>47</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167" w:line="242" w:lineRule="auto"/>
                                    <w:ind w:left="60" w:right="128"/>
                                    <w:jc w:val="both"/>
                                    <w:rPr>
                                      <w:rFonts w:ascii="宋体" w:eastAsia="宋体"/>
                                      <w:sz w:val="21"/>
                                    </w:rPr>
                                  </w:pPr>
                                  <w:r>
                                    <w:rPr>
                                      <w:rFonts w:hint="eastAsia" w:ascii="宋体" w:eastAsia="宋体"/>
                                      <w:w w:val="95"/>
                                      <w:sz w:val="21"/>
                                    </w:rPr>
                                    <w:t xml:space="preserve">明确在最坏情景下，大气环境风险物质影响最远距 离内的人口数量及位置等，水环境敏感受体的数量 </w:t>
                                  </w:r>
                                  <w:r>
                                    <w:rPr>
                                      <w:rFonts w:hint="eastAsia" w:ascii="宋体" w:eastAsia="宋体"/>
                                      <w:sz w:val="21"/>
                                    </w:rPr>
                                    <w:t>及位置等信息，并附有相关示意图</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67"/>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5"/>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9"/>
                                    <w:rPr>
                                      <w:rFonts w:ascii="宋体"/>
                                      <w:sz w:val="23"/>
                                    </w:rPr>
                                  </w:pPr>
                                </w:p>
                                <w:p>
                                  <w:pPr>
                                    <w:pStyle w:val="24"/>
                                    <w:spacing w:line="244" w:lineRule="auto"/>
                                    <w:ind w:left="62" w:right="37"/>
                                    <w:rPr>
                                      <w:rFonts w:ascii="宋体" w:eastAsia="宋体"/>
                                      <w:sz w:val="21"/>
                                    </w:rPr>
                                  </w:pPr>
                                  <w:r>
                                    <w:rPr>
                                      <w:rFonts w:hint="eastAsia" w:ascii="宋体" w:eastAsia="宋体"/>
                                      <w:spacing w:val="-8"/>
                                      <w:w w:val="95"/>
                                      <w:sz w:val="21"/>
                                    </w:rPr>
                                    <w:t xml:space="preserve">针对最坏情景的计算结果，列出受影响的大气和水环 </w:t>
                                  </w:r>
                                  <w:r>
                                    <w:rPr>
                                      <w:rFonts w:hint="eastAsia" w:ascii="宋体" w:eastAsia="宋体"/>
                                      <w:spacing w:val="-8"/>
                                      <w:sz w:val="21"/>
                                    </w:rPr>
                                    <w:t>境保护目标，附图示说明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32" w:hRule="atLeast"/>
                              </w:trPr>
                              <w:tc>
                                <w:tcPr>
                                  <w:tcW w:w="1134" w:type="dxa"/>
                                  <w:tcBorders>
                                    <w:top w:val="single" w:color="000000" w:sz="4" w:space="0"/>
                                    <w:bottom w:val="single" w:color="000000" w:sz="4" w:space="0"/>
                                    <w:right w:val="single" w:color="000000" w:sz="4" w:space="0"/>
                                  </w:tcBorders>
                                </w:tcPr>
                                <w:p>
                                  <w:pPr>
                                    <w:pStyle w:val="24"/>
                                    <w:rPr>
                                      <w:rFonts w:ascii="宋体"/>
                                      <w:sz w:val="20"/>
                                    </w:rPr>
                                  </w:pPr>
                                </w:p>
                                <w:p>
                                  <w:pPr>
                                    <w:pStyle w:val="24"/>
                                    <w:spacing w:before="4"/>
                                    <w:rPr>
                                      <w:rFonts w:ascii="宋体"/>
                                      <w:sz w:val="25"/>
                                    </w:rPr>
                                  </w:pPr>
                                </w:p>
                                <w:p>
                                  <w:pPr>
                                    <w:pStyle w:val="24"/>
                                    <w:spacing w:before="1"/>
                                    <w:ind w:left="125" w:right="113"/>
                                    <w:jc w:val="center"/>
                                    <w:rPr>
                                      <w:rFonts w:ascii="宋体" w:eastAsia="宋体"/>
                                      <w:sz w:val="21"/>
                                    </w:rPr>
                                  </w:pPr>
                                  <w:r>
                                    <w:rPr>
                                      <w:rFonts w:hint="eastAsia" w:ascii="宋体" w:eastAsia="宋体"/>
                                      <w:sz w:val="21"/>
                                    </w:rPr>
                                    <w:t>完善计划</w:t>
                                  </w: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4"/>
                                    <w:rPr>
                                      <w:rFonts w:ascii="宋体"/>
                                      <w:sz w:val="25"/>
                                    </w:rPr>
                                  </w:pPr>
                                </w:p>
                                <w:p>
                                  <w:pPr>
                                    <w:pStyle w:val="24"/>
                                    <w:spacing w:before="1"/>
                                    <w:ind w:left="92" w:right="74"/>
                                    <w:jc w:val="center"/>
                                    <w:rPr>
                                      <w:rFonts w:ascii="宋体"/>
                                      <w:sz w:val="21"/>
                                    </w:rPr>
                                  </w:pPr>
                                  <w:r>
                                    <w:rPr>
                                      <w:rFonts w:ascii="宋体"/>
                                      <w:sz w:val="21"/>
                                    </w:rPr>
                                    <w:t>48</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8"/>
                                    <w:rPr>
                                      <w:rFonts w:ascii="宋体"/>
                                      <w:sz w:val="14"/>
                                    </w:rPr>
                                  </w:pPr>
                                </w:p>
                                <w:p>
                                  <w:pPr>
                                    <w:pStyle w:val="24"/>
                                    <w:spacing w:before="1" w:line="244" w:lineRule="auto"/>
                                    <w:ind w:left="60" w:right="128"/>
                                    <w:rPr>
                                      <w:rFonts w:ascii="宋体" w:eastAsia="宋体"/>
                                      <w:sz w:val="21"/>
                                    </w:rPr>
                                  </w:pPr>
                                  <w:r>
                                    <w:rPr>
                                      <w:rFonts w:hint="eastAsia" w:ascii="宋体" w:eastAsia="宋体"/>
                                      <w:w w:val="95"/>
                                      <w:sz w:val="21"/>
                                    </w:rPr>
                                    <w:t xml:space="preserve">分析现有环境风险防控与应急措施所存在的差距， </w:t>
                                  </w:r>
                                  <w:r>
                                    <w:rPr>
                                      <w:rFonts w:hint="eastAsia" w:ascii="宋体" w:eastAsia="宋体"/>
                                      <w:sz w:val="21"/>
                                    </w:rPr>
                                    <w:t>制定环境风险防控整改完善计划</w:t>
                                  </w:r>
                                </w:p>
                              </w:tc>
                              <w:tc>
                                <w:tcPr>
                                  <w:tcW w:w="1276" w:type="dxa"/>
                                  <w:tcBorders>
                                    <w:top w:val="single" w:color="000000" w:sz="4" w:space="0"/>
                                    <w:left w:val="single" w:color="000000" w:sz="4" w:space="0"/>
                                    <w:bottom w:val="single" w:color="000000" w:sz="4" w:space="0"/>
                                    <w:right w:val="single" w:color="000000" w:sz="4" w:space="0"/>
                                  </w:tcBorders>
                                </w:tcPr>
                                <w:p>
                                  <w:pPr>
                                    <w:pStyle w:val="24"/>
                                    <w:rPr>
                                      <w:rFonts w:ascii="宋体"/>
                                      <w:sz w:val="24"/>
                                    </w:rPr>
                                  </w:pPr>
                                </w:p>
                                <w:p>
                                  <w:pPr>
                                    <w:pStyle w:val="24"/>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t>□部分符合</w:t>
                                  </w:r>
                                </w:p>
                                <w:p>
                                  <w:pPr>
                                    <w:pStyle w:val="24"/>
                                    <w:spacing w:before="5"/>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171" w:line="242" w:lineRule="auto"/>
                                    <w:ind w:left="62" w:right="35"/>
                                    <w:jc w:val="both"/>
                                    <w:rPr>
                                      <w:rFonts w:ascii="宋体" w:eastAsia="宋体"/>
                                      <w:sz w:val="21"/>
                                    </w:rPr>
                                  </w:pPr>
                                  <w:r>
                                    <w:rPr>
                                      <w:rFonts w:hint="eastAsia" w:ascii="宋体" w:eastAsia="宋体"/>
                                      <w:spacing w:val="-5"/>
                                      <w:w w:val="95"/>
                                      <w:sz w:val="21"/>
                                    </w:rPr>
                                    <w:t xml:space="preserve">对现有环境风险防控与应急措施的完备性、可靠性和 </w:t>
                                  </w:r>
                                  <w:r>
                                    <w:rPr>
                                      <w:rFonts w:hint="eastAsia" w:ascii="宋体" w:eastAsia="宋体"/>
                                      <w:spacing w:val="-12"/>
                                      <w:w w:val="95"/>
                                      <w:sz w:val="21"/>
                                    </w:rPr>
                                    <w:t xml:space="preserve">有效性进行分析论证，找出差距、问题。针对需要整 </w:t>
                                  </w:r>
                                  <w:r>
                                    <w:rPr>
                                      <w:rFonts w:hint="eastAsia" w:ascii="宋体" w:eastAsia="宋体"/>
                                      <w:spacing w:val="-13"/>
                                      <w:w w:val="95"/>
                                      <w:sz w:val="21"/>
                                    </w:rPr>
                                    <w:t xml:space="preserve">改的短期、中期和长期项目，分别制定完善环境风险 </w:t>
                                  </w:r>
                                  <w:r>
                                    <w:rPr>
                                      <w:rFonts w:hint="eastAsia" w:ascii="宋体" w:eastAsia="宋体"/>
                                      <w:spacing w:val="-13"/>
                                      <w:sz w:val="21"/>
                                    </w:rPr>
                                    <w:t>防控和应急措施的实施计划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13781" w:type="dxa"/>
                                  <w:gridSpan w:val="7"/>
                                  <w:tcBorders>
                                    <w:top w:val="single" w:color="000000" w:sz="4" w:space="0"/>
                                    <w:bottom w:val="single" w:color="000000" w:sz="4" w:space="0"/>
                                  </w:tcBorders>
                                </w:tcPr>
                                <w:p>
                                  <w:pPr>
                                    <w:pStyle w:val="24"/>
                                    <w:spacing w:before="148"/>
                                    <w:ind w:left="2878" w:right="2860"/>
                                    <w:jc w:val="center"/>
                                    <w:rPr>
                                      <w:rFonts w:ascii="黑体" w:eastAsia="黑体"/>
                                      <w:sz w:val="21"/>
                                    </w:rPr>
                                  </w:pPr>
                                  <w:r>
                                    <w:rPr>
                                      <w:rFonts w:hint="eastAsia" w:ascii="黑体" w:eastAsia="黑体"/>
                                      <w:sz w:val="21"/>
                                    </w:rPr>
                                    <w:t>环境应急资源调查报告（表）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11" w:hRule="atLeast"/>
                              </w:trPr>
                              <w:tc>
                                <w:tcPr>
                                  <w:tcW w:w="1134" w:type="dxa"/>
                                  <w:tcBorders>
                                    <w:top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spacing w:before="3"/>
                                    <w:rPr>
                                      <w:rFonts w:ascii="宋体"/>
                                      <w:sz w:val="16"/>
                                    </w:rPr>
                                  </w:pPr>
                                </w:p>
                                <w:p>
                                  <w:pPr>
                                    <w:pStyle w:val="24"/>
                                    <w:spacing w:before="1"/>
                                    <w:ind w:left="125" w:right="113"/>
                                    <w:jc w:val="center"/>
                                    <w:rPr>
                                      <w:rFonts w:ascii="宋体" w:eastAsia="宋体"/>
                                      <w:sz w:val="21"/>
                                    </w:rPr>
                                  </w:pPr>
                                  <w:r>
                                    <w:rPr>
                                      <w:rFonts w:hint="eastAsia" w:ascii="宋体" w:eastAsia="宋体"/>
                                      <w:sz w:val="21"/>
                                    </w:rPr>
                                    <w:t>调查内容</w:t>
                                  </w: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spacing w:before="3"/>
                                    <w:rPr>
                                      <w:rFonts w:ascii="宋体"/>
                                      <w:sz w:val="16"/>
                                    </w:rPr>
                                  </w:pPr>
                                </w:p>
                                <w:p>
                                  <w:pPr>
                                    <w:pStyle w:val="24"/>
                                    <w:spacing w:before="1"/>
                                    <w:ind w:left="92" w:right="74"/>
                                    <w:jc w:val="center"/>
                                    <w:rPr>
                                      <w:rFonts w:ascii="宋体"/>
                                      <w:sz w:val="21"/>
                                    </w:rPr>
                                  </w:pPr>
                                  <w:r>
                                    <w:rPr>
                                      <w:rFonts w:ascii="宋体"/>
                                      <w:sz w:val="21"/>
                                    </w:rPr>
                                    <w:t>49</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spacing w:before="3"/>
                                    <w:rPr>
                                      <w:rFonts w:ascii="宋体"/>
                                      <w:sz w:val="16"/>
                                    </w:rPr>
                                  </w:pPr>
                                </w:p>
                                <w:p>
                                  <w:pPr>
                                    <w:pStyle w:val="24"/>
                                    <w:spacing w:before="1"/>
                                    <w:ind w:left="60"/>
                                    <w:rPr>
                                      <w:rFonts w:ascii="宋体" w:eastAsia="宋体"/>
                                      <w:sz w:val="21"/>
                                    </w:rPr>
                                  </w:pPr>
                                  <w:r>
                                    <w:rPr>
                                      <w:rFonts w:hint="eastAsia" w:ascii="宋体" w:eastAsia="宋体"/>
                                      <w:spacing w:val="-8"/>
                                      <w:sz w:val="21"/>
                                    </w:rPr>
                                    <w:t>第一时间可调用的环境应急队伍、装备、物资、场所</w:t>
                                  </w:r>
                                </w:p>
                              </w:tc>
                              <w:tc>
                                <w:tcPr>
                                  <w:tcW w:w="127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12"/>
                                    <w:rPr>
                                      <w:rFonts w:ascii="宋体"/>
                                      <w:sz w:val="14"/>
                                    </w:rPr>
                                  </w:pPr>
                                </w:p>
                                <w:p>
                                  <w:pPr>
                                    <w:pStyle w:val="24"/>
                                    <w:ind w:left="60"/>
                                    <w:rPr>
                                      <w:rFonts w:ascii="宋体" w:hAnsi="宋体" w:eastAsia="宋体"/>
                                      <w:sz w:val="21"/>
                                    </w:rPr>
                                  </w:pP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5"/>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39" w:line="242" w:lineRule="auto"/>
                                    <w:ind w:left="62" w:right="37"/>
                                    <w:rPr>
                                      <w:rFonts w:ascii="宋体" w:eastAsia="宋体"/>
                                      <w:sz w:val="21"/>
                                    </w:rPr>
                                  </w:pPr>
                                  <w:r>
                                    <w:rPr>
                                      <w:rFonts w:hint="eastAsia" w:ascii="宋体" w:eastAsia="宋体"/>
                                      <w:spacing w:val="-6"/>
                                      <w:w w:val="95"/>
                                      <w:sz w:val="21"/>
                                    </w:rPr>
                                    <w:t xml:space="preserve">重点调查可以直接使用的环境应急资源，包括：专职 </w:t>
                                  </w:r>
                                  <w:r>
                                    <w:rPr>
                                      <w:rFonts w:hint="eastAsia" w:ascii="宋体" w:eastAsia="宋体"/>
                                      <w:spacing w:val="-13"/>
                                      <w:w w:val="95"/>
                                      <w:sz w:val="21"/>
                                    </w:rPr>
                                    <w:t xml:space="preserve">和兼职应急队伍；自储、代储、协议储备的环境应急 </w:t>
                                  </w:r>
                                  <w:r>
                                    <w:rPr>
                                      <w:rFonts w:hint="eastAsia" w:ascii="宋体" w:eastAsia="宋体"/>
                                      <w:spacing w:val="-12"/>
                                      <w:w w:val="95"/>
                                      <w:sz w:val="21"/>
                                    </w:rPr>
                                    <w:t xml:space="preserve">装备；自储、代储、协议储备环境应急物资；应急处 </w:t>
                                  </w:r>
                                  <w:r>
                                    <w:rPr>
                                      <w:rFonts w:hint="eastAsia" w:ascii="宋体" w:eastAsia="宋体"/>
                                      <w:spacing w:val="-12"/>
                                      <w:sz w:val="21"/>
                                    </w:rPr>
                                    <w:t>置场所、应急物资或装备存放场所、应急指挥场所预案中的应急措施使用的环境应急资源与现有资源一致</w:t>
                                  </w:r>
                                </w:p>
                              </w:tc>
                            </w:tr>
                          </w:tbl>
                          <w:p>
                            <w:pPr>
                              <w:pStyle w:val="10"/>
                            </w:pPr>
                          </w:p>
                        </w:txbxContent>
                      </wps:txbx>
                      <wps:bodyPr lIns="0" tIns="0" rIns="0" bIns="0" upright="1"/>
                    </wps:wsp>
                  </a:graphicData>
                </a:graphic>
              </wp:anchor>
            </w:drawing>
          </mc:Choice>
          <mc:Fallback>
            <w:pict>
              <v:shape id="文本框 34" o:spid="_x0000_s1026" o:spt="202" type="#_x0000_t202" style="position:absolute;left:0pt;margin-left:75.9pt;margin-top:56.35pt;height:453.9pt;width:690.5pt;mso-position-horizontal-relative:page;mso-position-vertical-relative:page;z-index:251687936;mso-width-relative:page;mso-height-relative:page;" filled="f" stroked="f" coordsize="21600,21600" o:gfxdata="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KPGZT2QAAAA0BAAAPAAAAAAAAAAEAIAAAACIAAABkcnMvZG93bnJldi54bWxQ&#10;SwECFAAUAAAACACHTuJAUb06qr0BAAB1AwAADgAAAAAAAAABACAAAAAoAQAAZHJzL2Uyb0RvYy54&#10;bWxQSwUGAAAAAAYABgBZAQAAVwUAAAAA&#10;">
                <v:fill on="f" focussize="0,0"/>
                <v:stroke on="f"/>
                <v:imagedata o:title=""/>
                <o:lock v:ext="edit" aspectratio="f"/>
                <v:textbox inset="0mm,0mm,0mm,0mm">
                  <w:txbxContent>
                    <w:tbl>
                      <w:tblPr>
                        <w:tblStyle w:val="1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34"/>
                        <w:gridCol w:w="426"/>
                        <w:gridCol w:w="4819"/>
                        <w:gridCol w:w="1276"/>
                        <w:gridCol w:w="607"/>
                        <w:gridCol w:w="669"/>
                        <w:gridCol w:w="48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37" w:hRule="atLeast"/>
                        </w:trPr>
                        <w:tc>
                          <w:tcPr>
                            <w:tcW w:w="1134" w:type="dxa"/>
                            <w:vMerge w:val="restart"/>
                            <w:tcBorders>
                              <w:bottom w:val="single" w:color="000000" w:sz="4" w:space="0"/>
                              <w:right w:val="single" w:color="000000" w:sz="4" w:space="0"/>
                            </w:tcBorders>
                          </w:tcPr>
                          <w:p>
                            <w:pPr>
                              <w:pStyle w:val="24"/>
                              <w:rPr>
                                <w:rFonts w:ascii="Times New Roman"/>
                                <w:sz w:val="20"/>
                              </w:rPr>
                            </w:pPr>
                          </w:p>
                        </w:tc>
                        <w:tc>
                          <w:tcPr>
                            <w:tcW w:w="426" w:type="dxa"/>
                            <w:tcBorders>
                              <w:left w:val="single" w:color="000000" w:sz="4" w:space="0"/>
                              <w:bottom w:val="single" w:color="000000" w:sz="4" w:space="0"/>
                              <w:right w:val="single" w:color="000000" w:sz="4" w:space="0"/>
                            </w:tcBorders>
                          </w:tcPr>
                          <w:p>
                            <w:pPr>
                              <w:pStyle w:val="24"/>
                              <w:rPr>
                                <w:rFonts w:ascii="宋体"/>
                                <w:sz w:val="20"/>
                              </w:rPr>
                            </w:pPr>
                          </w:p>
                          <w:p>
                            <w:pPr>
                              <w:pStyle w:val="24"/>
                              <w:spacing w:before="7"/>
                              <w:rPr>
                                <w:rFonts w:ascii="宋体"/>
                                <w:sz w:val="29"/>
                              </w:rPr>
                            </w:pPr>
                          </w:p>
                          <w:p>
                            <w:pPr>
                              <w:pStyle w:val="24"/>
                              <w:ind w:left="92" w:right="74"/>
                              <w:jc w:val="center"/>
                              <w:rPr>
                                <w:rFonts w:ascii="宋体"/>
                                <w:sz w:val="21"/>
                              </w:rPr>
                            </w:pPr>
                            <w:r>
                              <w:rPr>
                                <w:rFonts w:ascii="宋体"/>
                                <w:sz w:val="21"/>
                              </w:rPr>
                              <w:t>44</w:t>
                            </w:r>
                          </w:p>
                        </w:tc>
                        <w:tc>
                          <w:tcPr>
                            <w:tcW w:w="4819" w:type="dxa"/>
                            <w:tcBorders>
                              <w:left w:val="single" w:color="000000" w:sz="4" w:space="0"/>
                              <w:bottom w:val="single" w:color="000000" w:sz="4" w:space="0"/>
                              <w:right w:val="single" w:color="000000" w:sz="4" w:space="0"/>
                            </w:tcBorders>
                          </w:tcPr>
                          <w:p>
                            <w:pPr>
                              <w:pStyle w:val="24"/>
                              <w:rPr>
                                <w:rFonts w:ascii="宋体"/>
                                <w:sz w:val="20"/>
                              </w:rPr>
                            </w:pPr>
                          </w:p>
                          <w:p>
                            <w:pPr>
                              <w:pStyle w:val="24"/>
                              <w:spacing w:before="11"/>
                              <w:rPr>
                                <w:rFonts w:ascii="宋体"/>
                                <w:sz w:val="18"/>
                              </w:rPr>
                            </w:pPr>
                          </w:p>
                          <w:p>
                            <w:pPr>
                              <w:pStyle w:val="24"/>
                              <w:spacing w:line="244" w:lineRule="auto"/>
                              <w:ind w:left="60" w:right="128"/>
                              <w:rPr>
                                <w:rFonts w:ascii="宋体" w:eastAsia="宋体"/>
                                <w:sz w:val="21"/>
                              </w:rPr>
                            </w:pPr>
                            <w:r>
                              <w:rPr>
                                <w:rFonts w:hint="eastAsia" w:ascii="宋体" w:eastAsia="宋体"/>
                                <w:w w:val="95"/>
                                <w:sz w:val="21"/>
                              </w:rPr>
                              <w:t xml:space="preserve">源强分析，重点分析释放环境风险物质的种类、释 </w:t>
                            </w:r>
                            <w:r>
                              <w:rPr>
                                <w:rFonts w:hint="eastAsia" w:ascii="宋体" w:eastAsia="宋体"/>
                                <w:sz w:val="21"/>
                              </w:rPr>
                              <w:t>放速率、持续时间</w:t>
                            </w:r>
                          </w:p>
                        </w:tc>
                        <w:tc>
                          <w:tcPr>
                            <w:tcW w:w="1276" w:type="dxa"/>
                            <w:tcBorders>
                              <w:left w:val="single" w:color="000000" w:sz="4" w:space="0"/>
                              <w:bottom w:val="single" w:color="000000" w:sz="4" w:space="0"/>
                              <w:right w:val="single" w:color="000000" w:sz="4" w:space="0"/>
                            </w:tcBorders>
                          </w:tcPr>
                          <w:p>
                            <w:pPr>
                              <w:pStyle w:val="24"/>
                              <w:spacing w:before="5"/>
                              <w:rPr>
                                <w:rFonts w:ascii="宋体"/>
                                <w:sz w:val="28"/>
                              </w:rPr>
                            </w:pPr>
                          </w:p>
                          <w:p>
                            <w:pPr>
                              <w:pStyle w:val="24"/>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left w:val="single" w:color="000000" w:sz="4" w:space="0"/>
                              <w:bottom w:val="single" w:color="000000" w:sz="4" w:space="0"/>
                              <w:right w:val="single" w:color="000000" w:sz="4" w:space="0"/>
                            </w:tcBorders>
                          </w:tcPr>
                          <w:p>
                            <w:pPr>
                              <w:pStyle w:val="24"/>
                              <w:rPr>
                                <w:rFonts w:ascii="Times New Roman"/>
                                <w:sz w:val="20"/>
                              </w:rPr>
                            </w:pPr>
                          </w:p>
                        </w:tc>
                        <w:tc>
                          <w:tcPr>
                            <w:tcW w:w="669" w:type="dxa"/>
                            <w:tcBorders>
                              <w:left w:val="single" w:color="000000" w:sz="4" w:space="0"/>
                              <w:bottom w:val="single" w:color="000000" w:sz="4" w:space="0"/>
                              <w:right w:val="single" w:color="000000" w:sz="4" w:space="0"/>
                            </w:tcBorders>
                          </w:tcPr>
                          <w:p>
                            <w:pPr>
                              <w:pStyle w:val="24"/>
                              <w:rPr>
                                <w:rFonts w:ascii="Times New Roman"/>
                                <w:sz w:val="20"/>
                              </w:rPr>
                            </w:pPr>
                          </w:p>
                        </w:tc>
                        <w:tc>
                          <w:tcPr>
                            <w:tcW w:w="4850" w:type="dxa"/>
                            <w:tcBorders>
                              <w:left w:val="single" w:color="000000" w:sz="4" w:space="0"/>
                              <w:bottom w:val="single" w:color="000000" w:sz="4" w:space="0"/>
                            </w:tcBorders>
                          </w:tcPr>
                          <w:p>
                            <w:pPr>
                              <w:pStyle w:val="24"/>
                              <w:spacing w:before="5"/>
                              <w:rPr>
                                <w:rFonts w:ascii="宋体"/>
                                <w:sz w:val="28"/>
                              </w:rPr>
                            </w:pPr>
                          </w:p>
                          <w:p>
                            <w:pPr>
                              <w:pStyle w:val="24"/>
                              <w:spacing w:line="242" w:lineRule="auto"/>
                              <w:ind w:left="62" w:right="37"/>
                              <w:rPr>
                                <w:rFonts w:ascii="宋体" w:eastAsia="宋体"/>
                                <w:sz w:val="21"/>
                              </w:rPr>
                            </w:pPr>
                            <w:r>
                              <w:rPr>
                                <w:rFonts w:hint="eastAsia" w:ascii="宋体" w:eastAsia="宋体"/>
                                <w:spacing w:val="-6"/>
                                <w:w w:val="95"/>
                                <w:sz w:val="21"/>
                              </w:rPr>
                              <w:t xml:space="preserve">针对每种典型事件情景进行源强分析，至少包括释放 </w:t>
                            </w:r>
                            <w:r>
                              <w:rPr>
                                <w:rFonts w:hint="eastAsia" w:ascii="宋体" w:eastAsia="宋体"/>
                                <w:spacing w:val="-17"/>
                                <w:sz w:val="21"/>
                              </w:rPr>
                              <w:t>环境风险物质的种类、释放速率、持续时间三个要素可以参考《建设项目环境风险评价技术导则》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8"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7"/>
                              <w:rPr>
                                <w:rFonts w:ascii="宋体"/>
                                <w:sz w:val="27"/>
                              </w:rPr>
                            </w:pPr>
                          </w:p>
                          <w:p>
                            <w:pPr>
                              <w:pStyle w:val="24"/>
                              <w:ind w:left="92" w:right="74"/>
                              <w:jc w:val="center"/>
                              <w:rPr>
                                <w:rFonts w:ascii="宋体"/>
                                <w:sz w:val="21"/>
                              </w:rPr>
                            </w:pPr>
                            <w:r>
                              <w:rPr>
                                <w:rFonts w:ascii="宋体"/>
                                <w:sz w:val="21"/>
                              </w:rPr>
                              <w:t>45</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11"/>
                              <w:rPr>
                                <w:rFonts w:ascii="宋体"/>
                                <w:sz w:val="16"/>
                              </w:rPr>
                            </w:pPr>
                          </w:p>
                          <w:p>
                            <w:pPr>
                              <w:pStyle w:val="24"/>
                              <w:spacing w:line="242" w:lineRule="auto"/>
                              <w:ind w:left="60" w:right="128"/>
                              <w:rPr>
                                <w:rFonts w:ascii="宋体" w:eastAsia="宋体"/>
                                <w:sz w:val="21"/>
                              </w:rPr>
                            </w:pPr>
                            <w:r>
                              <w:rPr>
                                <w:rFonts w:hint="eastAsia" w:ascii="宋体" w:eastAsia="宋体"/>
                                <w:w w:val="95"/>
                                <w:sz w:val="21"/>
                              </w:rPr>
                              <w:t xml:space="preserve">释放途径分析，重点分析环境风险物质从释放源头 </w:t>
                            </w:r>
                            <w:r>
                              <w:rPr>
                                <w:rFonts w:hint="eastAsia" w:ascii="宋体" w:eastAsia="宋体"/>
                                <w:sz w:val="21"/>
                              </w:rPr>
                              <w:t>到受体之间的过程</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3"/>
                              <w:rPr>
                                <w:rFonts w:ascii="宋体"/>
                                <w:sz w:val="26"/>
                              </w:rPr>
                            </w:pPr>
                          </w:p>
                          <w:p>
                            <w:pPr>
                              <w:pStyle w:val="24"/>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t>□部分符合</w:t>
                            </w:r>
                          </w:p>
                          <w:p>
                            <w:pPr>
                              <w:pStyle w:val="24"/>
                              <w:spacing w:before="4"/>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7"/>
                              <w:rPr>
                                <w:rFonts w:ascii="宋体"/>
                                <w:sz w:val="15"/>
                              </w:rPr>
                            </w:pPr>
                          </w:p>
                          <w:p>
                            <w:pPr>
                              <w:pStyle w:val="24"/>
                              <w:spacing w:line="242" w:lineRule="auto"/>
                              <w:ind w:left="62" w:right="37"/>
                              <w:jc w:val="both"/>
                              <w:rPr>
                                <w:rFonts w:ascii="宋体" w:eastAsia="宋体"/>
                                <w:sz w:val="21"/>
                              </w:rPr>
                            </w:pPr>
                            <w:r>
                              <w:rPr>
                                <w:rFonts w:hint="eastAsia" w:ascii="宋体" w:eastAsia="宋体"/>
                                <w:spacing w:val="-9"/>
                                <w:w w:val="95"/>
                                <w:sz w:val="21"/>
                              </w:rPr>
                              <w:t xml:space="preserve">对于可能造成水污染的，分析环境风险物质从释放源 </w:t>
                            </w:r>
                            <w:r>
                              <w:rPr>
                                <w:rFonts w:hint="eastAsia" w:ascii="宋体" w:eastAsia="宋体"/>
                                <w:spacing w:val="-11"/>
                                <w:w w:val="95"/>
                                <w:sz w:val="21"/>
                              </w:rPr>
                              <w:t xml:space="preserve">头，经厂界内到厂界外，最终影响到环境风险受体的 </w:t>
                            </w:r>
                            <w:r>
                              <w:rPr>
                                <w:rFonts w:hint="eastAsia" w:ascii="宋体" w:eastAsia="宋体"/>
                                <w:spacing w:val="-14"/>
                                <w:w w:val="95"/>
                                <w:sz w:val="21"/>
                              </w:rPr>
                              <w:t xml:space="preserve">可能的路径；对于可能造成大气污染的，分析从泄漏 </w:t>
                            </w:r>
                            <w:r>
                              <w:rPr>
                                <w:rFonts w:hint="eastAsia" w:ascii="宋体" w:eastAsia="宋体"/>
                                <w:spacing w:val="-14"/>
                                <w:sz w:val="21"/>
                              </w:rPr>
                              <w:t>源头释放至风险受体的路径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7"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157"/>
                              <w:ind w:left="92" w:right="74"/>
                              <w:jc w:val="center"/>
                              <w:rPr>
                                <w:rFonts w:ascii="宋体"/>
                                <w:sz w:val="21"/>
                              </w:rPr>
                            </w:pPr>
                            <w:r>
                              <w:rPr>
                                <w:rFonts w:ascii="宋体"/>
                                <w:sz w:val="21"/>
                              </w:rPr>
                              <w:t>46</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8"/>
                              <w:rPr>
                                <w:rFonts w:ascii="宋体"/>
                                <w:sz w:val="21"/>
                              </w:rPr>
                            </w:pPr>
                          </w:p>
                          <w:p>
                            <w:pPr>
                              <w:pStyle w:val="24"/>
                              <w:spacing w:line="242" w:lineRule="auto"/>
                              <w:ind w:left="60" w:right="128"/>
                              <w:rPr>
                                <w:rFonts w:ascii="宋体" w:eastAsia="宋体"/>
                                <w:sz w:val="21"/>
                              </w:rPr>
                            </w:pPr>
                            <w:r>
                              <w:rPr>
                                <w:rFonts w:hint="eastAsia" w:ascii="宋体" w:eastAsia="宋体"/>
                                <w:w w:val="95"/>
                                <w:sz w:val="21"/>
                              </w:rPr>
                              <w:t xml:space="preserve">危害后果分析，重点分析环境风险物质的影响范围 </w:t>
                            </w:r>
                            <w:r>
                              <w:rPr>
                                <w:rFonts w:hint="eastAsia" w:ascii="宋体" w:eastAsia="宋体"/>
                                <w:sz w:val="21"/>
                              </w:rPr>
                              <w:t>和程度</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40"/>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5"/>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8"/>
                              <w:rPr>
                                <w:rFonts w:ascii="宋体"/>
                                <w:sz w:val="21"/>
                              </w:rPr>
                            </w:pPr>
                          </w:p>
                          <w:p>
                            <w:pPr>
                              <w:pStyle w:val="24"/>
                              <w:spacing w:line="242" w:lineRule="auto"/>
                              <w:ind w:left="62" w:right="37"/>
                              <w:rPr>
                                <w:rFonts w:ascii="宋体" w:eastAsia="宋体"/>
                                <w:sz w:val="21"/>
                              </w:rPr>
                            </w:pPr>
                            <w:r>
                              <w:rPr>
                                <w:rFonts w:hint="eastAsia" w:ascii="宋体" w:eastAsia="宋体"/>
                                <w:spacing w:val="-6"/>
                                <w:w w:val="95"/>
                                <w:sz w:val="21"/>
                              </w:rPr>
                              <w:t xml:space="preserve">针对每种情景的重点环境风险物质，计算浓度分布情 </w:t>
                            </w:r>
                            <w:r>
                              <w:rPr>
                                <w:rFonts w:hint="eastAsia" w:ascii="宋体" w:eastAsia="宋体"/>
                                <w:spacing w:val="-6"/>
                                <w:sz w:val="21"/>
                              </w:rPr>
                              <w:t>况，说明影响范围和程度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53" w:hRule="atLeast"/>
                        </w:trPr>
                        <w:tc>
                          <w:tcPr>
                            <w:tcW w:w="1134" w:type="dxa"/>
                            <w:vMerge w:val="continue"/>
                            <w:tcBorders>
                              <w:top w:val="nil"/>
                              <w:bottom w:val="single" w:color="000000" w:sz="4" w:space="0"/>
                              <w:right w:val="single" w:color="000000" w:sz="4" w:space="0"/>
                            </w:tcBorders>
                          </w:tcPr>
                          <w:p>
                            <w:pPr>
                              <w:rPr>
                                <w:sz w:val="2"/>
                                <w:szCs w:val="2"/>
                              </w:rPr>
                            </w:pP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5"/>
                              <w:rPr>
                                <w:rFonts w:ascii="宋体"/>
                                <w:sz w:val="14"/>
                              </w:rPr>
                            </w:pPr>
                          </w:p>
                          <w:p>
                            <w:pPr>
                              <w:pStyle w:val="24"/>
                              <w:ind w:left="92" w:right="74"/>
                              <w:jc w:val="center"/>
                              <w:rPr>
                                <w:rFonts w:ascii="宋体"/>
                                <w:sz w:val="21"/>
                              </w:rPr>
                            </w:pPr>
                            <w:r>
                              <w:rPr>
                                <w:rFonts w:ascii="宋体"/>
                                <w:sz w:val="21"/>
                              </w:rPr>
                              <w:t>47</w:t>
                            </w:r>
                          </w:p>
                        </w:tc>
                        <w:tc>
                          <w:tcPr>
                            <w:tcW w:w="4819" w:type="dxa"/>
                            <w:tcBorders>
                              <w:top w:val="single" w:color="000000" w:sz="4" w:space="0"/>
                              <w:left w:val="single" w:color="000000" w:sz="4" w:space="0"/>
                              <w:bottom w:val="single" w:color="000000" w:sz="4" w:space="0"/>
                              <w:right w:val="single" w:color="000000" w:sz="4" w:space="0"/>
                            </w:tcBorders>
                          </w:tcPr>
                          <w:p>
                            <w:pPr>
                              <w:pStyle w:val="24"/>
                              <w:spacing w:before="167" w:line="242" w:lineRule="auto"/>
                              <w:ind w:left="60" w:right="128"/>
                              <w:jc w:val="both"/>
                              <w:rPr>
                                <w:rFonts w:ascii="宋体" w:eastAsia="宋体"/>
                                <w:sz w:val="21"/>
                              </w:rPr>
                            </w:pPr>
                            <w:r>
                              <w:rPr>
                                <w:rFonts w:hint="eastAsia" w:ascii="宋体" w:eastAsia="宋体"/>
                                <w:w w:val="95"/>
                                <w:sz w:val="21"/>
                              </w:rPr>
                              <w:t xml:space="preserve">明确在最坏情景下，大气环境风险物质影响最远距 离内的人口数量及位置等，水环境敏感受体的数量 </w:t>
                            </w:r>
                            <w:r>
                              <w:rPr>
                                <w:rFonts w:hint="eastAsia" w:ascii="宋体" w:eastAsia="宋体"/>
                                <w:sz w:val="21"/>
                              </w:rPr>
                              <w:t>及位置等信息，并附有相关示意图</w:t>
                            </w:r>
                          </w:p>
                        </w:tc>
                        <w:tc>
                          <w:tcPr>
                            <w:tcW w:w="1276" w:type="dxa"/>
                            <w:tcBorders>
                              <w:top w:val="single" w:color="000000" w:sz="4" w:space="0"/>
                              <w:left w:val="single" w:color="000000" w:sz="4" w:space="0"/>
                              <w:bottom w:val="single" w:color="000000" w:sz="4" w:space="0"/>
                              <w:right w:val="single" w:color="000000" w:sz="4" w:space="0"/>
                            </w:tcBorders>
                          </w:tcPr>
                          <w:p>
                            <w:pPr>
                              <w:pStyle w:val="24"/>
                              <w:spacing w:before="167"/>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5"/>
                              <w:ind w:left="60"/>
                              <w:rPr>
                                <w:rFonts w:ascii="宋体" w:hAnsi="宋体" w:eastAsia="宋体"/>
                                <w:sz w:val="21"/>
                              </w:rPr>
                            </w:pPr>
                            <w:r>
                              <w:rPr>
                                <w:rFonts w:hint="eastAsia" w:ascii="宋体" w:hAnsi="宋体" w:eastAsia="宋体"/>
                                <w:sz w:val="21"/>
                              </w:rPr>
                              <w:t>□部分符合</w:t>
                            </w:r>
                          </w:p>
                          <w:p>
                            <w:pPr>
                              <w:pStyle w:val="24"/>
                              <w:spacing w:before="2"/>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9"/>
                              <w:rPr>
                                <w:rFonts w:ascii="宋体"/>
                                <w:sz w:val="23"/>
                              </w:rPr>
                            </w:pPr>
                          </w:p>
                          <w:p>
                            <w:pPr>
                              <w:pStyle w:val="24"/>
                              <w:spacing w:line="244" w:lineRule="auto"/>
                              <w:ind w:left="62" w:right="37"/>
                              <w:rPr>
                                <w:rFonts w:ascii="宋体" w:eastAsia="宋体"/>
                                <w:sz w:val="21"/>
                              </w:rPr>
                            </w:pPr>
                            <w:r>
                              <w:rPr>
                                <w:rFonts w:hint="eastAsia" w:ascii="宋体" w:eastAsia="宋体"/>
                                <w:spacing w:val="-8"/>
                                <w:w w:val="95"/>
                                <w:sz w:val="21"/>
                              </w:rPr>
                              <w:t xml:space="preserve">针对最坏情景的计算结果，列出受影响的大气和水环 </w:t>
                            </w:r>
                            <w:r>
                              <w:rPr>
                                <w:rFonts w:hint="eastAsia" w:ascii="宋体" w:eastAsia="宋体"/>
                                <w:spacing w:val="-8"/>
                                <w:sz w:val="21"/>
                              </w:rPr>
                              <w:t>境保护目标，附图示说明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32" w:hRule="atLeast"/>
                        </w:trPr>
                        <w:tc>
                          <w:tcPr>
                            <w:tcW w:w="1134" w:type="dxa"/>
                            <w:tcBorders>
                              <w:top w:val="single" w:color="000000" w:sz="4" w:space="0"/>
                              <w:bottom w:val="single" w:color="000000" w:sz="4" w:space="0"/>
                              <w:right w:val="single" w:color="000000" w:sz="4" w:space="0"/>
                            </w:tcBorders>
                          </w:tcPr>
                          <w:p>
                            <w:pPr>
                              <w:pStyle w:val="24"/>
                              <w:rPr>
                                <w:rFonts w:ascii="宋体"/>
                                <w:sz w:val="20"/>
                              </w:rPr>
                            </w:pPr>
                          </w:p>
                          <w:p>
                            <w:pPr>
                              <w:pStyle w:val="24"/>
                              <w:spacing w:before="4"/>
                              <w:rPr>
                                <w:rFonts w:ascii="宋体"/>
                                <w:sz w:val="25"/>
                              </w:rPr>
                            </w:pPr>
                          </w:p>
                          <w:p>
                            <w:pPr>
                              <w:pStyle w:val="24"/>
                              <w:spacing w:before="1"/>
                              <w:ind w:left="125" w:right="113"/>
                              <w:jc w:val="center"/>
                              <w:rPr>
                                <w:rFonts w:ascii="宋体" w:eastAsia="宋体"/>
                                <w:sz w:val="21"/>
                              </w:rPr>
                            </w:pPr>
                            <w:r>
                              <w:rPr>
                                <w:rFonts w:hint="eastAsia" w:ascii="宋体" w:eastAsia="宋体"/>
                                <w:sz w:val="21"/>
                              </w:rPr>
                              <w:t>完善计划</w:t>
                            </w: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4"/>
                              <w:rPr>
                                <w:rFonts w:ascii="宋体"/>
                                <w:sz w:val="25"/>
                              </w:rPr>
                            </w:pPr>
                          </w:p>
                          <w:p>
                            <w:pPr>
                              <w:pStyle w:val="24"/>
                              <w:spacing w:before="1"/>
                              <w:ind w:left="92" w:right="74"/>
                              <w:jc w:val="center"/>
                              <w:rPr>
                                <w:rFonts w:ascii="宋体"/>
                                <w:sz w:val="21"/>
                              </w:rPr>
                            </w:pPr>
                            <w:r>
                              <w:rPr>
                                <w:rFonts w:ascii="宋体"/>
                                <w:sz w:val="21"/>
                              </w:rPr>
                              <w:t>48</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8"/>
                              <w:rPr>
                                <w:rFonts w:ascii="宋体"/>
                                <w:sz w:val="14"/>
                              </w:rPr>
                            </w:pPr>
                          </w:p>
                          <w:p>
                            <w:pPr>
                              <w:pStyle w:val="24"/>
                              <w:spacing w:before="1" w:line="244" w:lineRule="auto"/>
                              <w:ind w:left="60" w:right="128"/>
                              <w:rPr>
                                <w:rFonts w:ascii="宋体" w:eastAsia="宋体"/>
                                <w:sz w:val="21"/>
                              </w:rPr>
                            </w:pPr>
                            <w:r>
                              <w:rPr>
                                <w:rFonts w:hint="eastAsia" w:ascii="宋体" w:eastAsia="宋体"/>
                                <w:w w:val="95"/>
                                <w:sz w:val="21"/>
                              </w:rPr>
                              <w:t xml:space="preserve">分析现有环境风险防控与应急措施所存在的差距， </w:t>
                            </w:r>
                            <w:r>
                              <w:rPr>
                                <w:rFonts w:hint="eastAsia" w:ascii="宋体" w:eastAsia="宋体"/>
                                <w:sz w:val="21"/>
                              </w:rPr>
                              <w:t>制定环境风险防控整改完善计划</w:t>
                            </w:r>
                          </w:p>
                        </w:tc>
                        <w:tc>
                          <w:tcPr>
                            <w:tcW w:w="1276" w:type="dxa"/>
                            <w:tcBorders>
                              <w:top w:val="single" w:color="000000" w:sz="4" w:space="0"/>
                              <w:left w:val="single" w:color="000000" w:sz="4" w:space="0"/>
                              <w:bottom w:val="single" w:color="000000" w:sz="4" w:space="0"/>
                              <w:right w:val="single" w:color="000000" w:sz="4" w:space="0"/>
                            </w:tcBorders>
                          </w:tcPr>
                          <w:p>
                            <w:pPr>
                              <w:pStyle w:val="24"/>
                              <w:rPr>
                                <w:rFonts w:ascii="宋体"/>
                                <w:sz w:val="24"/>
                              </w:rPr>
                            </w:pPr>
                          </w:p>
                          <w:p>
                            <w:pPr>
                              <w:pStyle w:val="24"/>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t>□部分符合</w:t>
                            </w:r>
                          </w:p>
                          <w:p>
                            <w:pPr>
                              <w:pStyle w:val="24"/>
                              <w:spacing w:before="5"/>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171" w:line="242" w:lineRule="auto"/>
                              <w:ind w:left="62" w:right="35"/>
                              <w:jc w:val="both"/>
                              <w:rPr>
                                <w:rFonts w:ascii="宋体" w:eastAsia="宋体"/>
                                <w:sz w:val="21"/>
                              </w:rPr>
                            </w:pPr>
                            <w:r>
                              <w:rPr>
                                <w:rFonts w:hint="eastAsia" w:ascii="宋体" w:eastAsia="宋体"/>
                                <w:spacing w:val="-5"/>
                                <w:w w:val="95"/>
                                <w:sz w:val="21"/>
                              </w:rPr>
                              <w:t xml:space="preserve">对现有环境风险防控与应急措施的完备性、可靠性和 </w:t>
                            </w:r>
                            <w:r>
                              <w:rPr>
                                <w:rFonts w:hint="eastAsia" w:ascii="宋体" w:eastAsia="宋体"/>
                                <w:spacing w:val="-12"/>
                                <w:w w:val="95"/>
                                <w:sz w:val="21"/>
                              </w:rPr>
                              <w:t xml:space="preserve">有效性进行分析论证，找出差距、问题。针对需要整 </w:t>
                            </w:r>
                            <w:r>
                              <w:rPr>
                                <w:rFonts w:hint="eastAsia" w:ascii="宋体" w:eastAsia="宋体"/>
                                <w:spacing w:val="-13"/>
                                <w:w w:val="95"/>
                                <w:sz w:val="21"/>
                              </w:rPr>
                              <w:t xml:space="preserve">改的短期、中期和长期项目，分别制定完善环境风险 </w:t>
                            </w:r>
                            <w:r>
                              <w:rPr>
                                <w:rFonts w:hint="eastAsia" w:ascii="宋体" w:eastAsia="宋体"/>
                                <w:spacing w:val="-13"/>
                                <w:sz w:val="21"/>
                              </w:rPr>
                              <w:t>防控和应急措施的实施计划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13781" w:type="dxa"/>
                            <w:gridSpan w:val="7"/>
                            <w:tcBorders>
                              <w:top w:val="single" w:color="000000" w:sz="4" w:space="0"/>
                              <w:bottom w:val="single" w:color="000000" w:sz="4" w:space="0"/>
                            </w:tcBorders>
                          </w:tcPr>
                          <w:p>
                            <w:pPr>
                              <w:pStyle w:val="24"/>
                              <w:spacing w:before="148"/>
                              <w:ind w:left="2878" w:right="2860"/>
                              <w:jc w:val="center"/>
                              <w:rPr>
                                <w:rFonts w:ascii="黑体" w:eastAsia="黑体"/>
                                <w:sz w:val="21"/>
                              </w:rPr>
                            </w:pPr>
                            <w:r>
                              <w:rPr>
                                <w:rFonts w:hint="eastAsia" w:ascii="黑体" w:eastAsia="黑体"/>
                                <w:sz w:val="21"/>
                              </w:rPr>
                              <w:t>环境应急资源调查报告（表）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11" w:hRule="atLeast"/>
                        </w:trPr>
                        <w:tc>
                          <w:tcPr>
                            <w:tcW w:w="1134" w:type="dxa"/>
                            <w:tcBorders>
                              <w:top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spacing w:before="3"/>
                              <w:rPr>
                                <w:rFonts w:ascii="宋体"/>
                                <w:sz w:val="16"/>
                              </w:rPr>
                            </w:pPr>
                          </w:p>
                          <w:p>
                            <w:pPr>
                              <w:pStyle w:val="24"/>
                              <w:spacing w:before="1"/>
                              <w:ind w:left="125" w:right="113"/>
                              <w:jc w:val="center"/>
                              <w:rPr>
                                <w:rFonts w:ascii="宋体" w:eastAsia="宋体"/>
                                <w:sz w:val="21"/>
                              </w:rPr>
                            </w:pPr>
                            <w:r>
                              <w:rPr>
                                <w:rFonts w:hint="eastAsia" w:ascii="宋体" w:eastAsia="宋体"/>
                                <w:sz w:val="21"/>
                              </w:rPr>
                              <w:t>调查内容</w:t>
                            </w:r>
                          </w:p>
                        </w:tc>
                        <w:tc>
                          <w:tcPr>
                            <w:tcW w:w="42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spacing w:before="3"/>
                              <w:rPr>
                                <w:rFonts w:ascii="宋体"/>
                                <w:sz w:val="16"/>
                              </w:rPr>
                            </w:pPr>
                          </w:p>
                          <w:p>
                            <w:pPr>
                              <w:pStyle w:val="24"/>
                              <w:spacing w:before="1"/>
                              <w:ind w:left="92" w:right="74"/>
                              <w:jc w:val="center"/>
                              <w:rPr>
                                <w:rFonts w:ascii="宋体"/>
                                <w:sz w:val="21"/>
                              </w:rPr>
                            </w:pPr>
                            <w:r>
                              <w:rPr>
                                <w:rFonts w:ascii="宋体"/>
                                <w:sz w:val="21"/>
                              </w:rPr>
                              <w:t>49</w:t>
                            </w:r>
                          </w:p>
                        </w:tc>
                        <w:tc>
                          <w:tcPr>
                            <w:tcW w:w="4819"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rPr>
                                <w:rFonts w:ascii="宋体"/>
                                <w:sz w:val="20"/>
                              </w:rPr>
                            </w:pPr>
                          </w:p>
                          <w:p>
                            <w:pPr>
                              <w:pStyle w:val="24"/>
                              <w:spacing w:before="3"/>
                              <w:rPr>
                                <w:rFonts w:ascii="宋体"/>
                                <w:sz w:val="16"/>
                              </w:rPr>
                            </w:pPr>
                          </w:p>
                          <w:p>
                            <w:pPr>
                              <w:pStyle w:val="24"/>
                              <w:spacing w:before="1"/>
                              <w:ind w:left="60"/>
                              <w:rPr>
                                <w:rFonts w:ascii="宋体" w:eastAsia="宋体"/>
                                <w:sz w:val="21"/>
                              </w:rPr>
                            </w:pPr>
                            <w:r>
                              <w:rPr>
                                <w:rFonts w:hint="eastAsia" w:ascii="宋体" w:eastAsia="宋体"/>
                                <w:spacing w:val="-8"/>
                                <w:sz w:val="21"/>
                              </w:rPr>
                              <w:t>第一时间可调用的环境应急队伍、装备、物资、场所</w:t>
                            </w:r>
                          </w:p>
                        </w:tc>
                        <w:tc>
                          <w:tcPr>
                            <w:tcW w:w="1276" w:type="dxa"/>
                            <w:tcBorders>
                              <w:top w:val="single" w:color="000000" w:sz="4" w:space="0"/>
                              <w:left w:val="single" w:color="000000" w:sz="4" w:space="0"/>
                              <w:bottom w:val="single" w:color="000000" w:sz="4" w:space="0"/>
                              <w:right w:val="single" w:color="000000" w:sz="4" w:space="0"/>
                            </w:tcBorders>
                          </w:tcPr>
                          <w:p>
                            <w:pPr>
                              <w:pStyle w:val="24"/>
                              <w:rPr>
                                <w:rFonts w:ascii="宋体"/>
                                <w:sz w:val="20"/>
                              </w:rPr>
                            </w:pPr>
                          </w:p>
                          <w:p>
                            <w:pPr>
                              <w:pStyle w:val="24"/>
                              <w:spacing w:before="12"/>
                              <w:rPr>
                                <w:rFonts w:ascii="宋体"/>
                                <w:sz w:val="14"/>
                              </w:rPr>
                            </w:pPr>
                          </w:p>
                          <w:p>
                            <w:pPr>
                              <w:pStyle w:val="24"/>
                              <w:ind w:left="60"/>
                              <w:rPr>
                                <w:rFonts w:ascii="宋体" w:hAnsi="宋体" w:eastAsia="宋体"/>
                                <w:sz w:val="21"/>
                              </w:rPr>
                            </w:pPr>
                            <w:r>
                              <w:rPr>
                                <w:rFonts w:hint="eastAsia" w:ascii="宋体" w:hAnsi="宋体" w:eastAsia="宋体"/>
                                <w:sz w:val="21"/>
                              </w:rPr>
                              <w:t>□符合</w:t>
                            </w:r>
                          </w:p>
                          <w:p>
                            <w:pPr>
                              <w:pStyle w:val="24"/>
                              <w:spacing w:before="2"/>
                              <w:ind w:left="60"/>
                              <w:rPr>
                                <w:rFonts w:ascii="宋体" w:hAnsi="宋体" w:eastAsia="宋体"/>
                                <w:sz w:val="21"/>
                              </w:rPr>
                            </w:pPr>
                            <w:r>
                              <w:rPr>
                                <w:rFonts w:hint="eastAsia" w:ascii="宋体" w:hAnsi="宋体" w:eastAsia="宋体"/>
                                <w:sz w:val="21"/>
                              </w:rPr>
                              <w:sym w:font="Wingdings 2" w:char="0052"/>
                            </w:r>
                            <w:r>
                              <w:rPr>
                                <w:rFonts w:hint="eastAsia" w:ascii="宋体" w:hAnsi="宋体" w:eastAsia="宋体"/>
                                <w:sz w:val="21"/>
                              </w:rPr>
                              <w:t>部分符合</w:t>
                            </w:r>
                          </w:p>
                          <w:p>
                            <w:pPr>
                              <w:pStyle w:val="24"/>
                              <w:spacing w:before="5"/>
                              <w:ind w:left="60"/>
                              <w:rPr>
                                <w:rFonts w:ascii="宋体" w:hAnsi="宋体" w:eastAsia="宋体"/>
                                <w:sz w:val="21"/>
                              </w:rPr>
                            </w:pPr>
                            <w:r>
                              <w:rPr>
                                <w:rFonts w:hint="eastAsia" w:ascii="宋体" w:hAnsi="宋体" w:eastAsia="宋体"/>
                                <w:sz w:val="21"/>
                              </w:rPr>
                              <w:t>□不符合</w:t>
                            </w:r>
                          </w:p>
                        </w:tc>
                        <w:tc>
                          <w:tcPr>
                            <w:tcW w:w="607"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669" w:type="dxa"/>
                            <w:tcBorders>
                              <w:top w:val="single" w:color="000000" w:sz="4" w:space="0"/>
                              <w:left w:val="single" w:color="000000" w:sz="4" w:space="0"/>
                              <w:bottom w:val="single" w:color="000000" w:sz="4" w:space="0"/>
                              <w:right w:val="single" w:color="000000" w:sz="4" w:space="0"/>
                            </w:tcBorders>
                          </w:tcPr>
                          <w:p>
                            <w:pPr>
                              <w:pStyle w:val="24"/>
                              <w:rPr>
                                <w:rFonts w:ascii="Times New Roman"/>
                                <w:sz w:val="20"/>
                              </w:rPr>
                            </w:pPr>
                          </w:p>
                        </w:tc>
                        <w:tc>
                          <w:tcPr>
                            <w:tcW w:w="4850" w:type="dxa"/>
                            <w:tcBorders>
                              <w:top w:val="single" w:color="000000" w:sz="4" w:space="0"/>
                              <w:left w:val="single" w:color="000000" w:sz="4" w:space="0"/>
                              <w:bottom w:val="single" w:color="000000" w:sz="4" w:space="0"/>
                            </w:tcBorders>
                          </w:tcPr>
                          <w:p>
                            <w:pPr>
                              <w:pStyle w:val="24"/>
                              <w:spacing w:before="39" w:line="242" w:lineRule="auto"/>
                              <w:ind w:left="62" w:right="37"/>
                              <w:rPr>
                                <w:rFonts w:ascii="宋体" w:eastAsia="宋体"/>
                                <w:sz w:val="21"/>
                              </w:rPr>
                            </w:pPr>
                            <w:r>
                              <w:rPr>
                                <w:rFonts w:hint="eastAsia" w:ascii="宋体" w:eastAsia="宋体"/>
                                <w:spacing w:val="-6"/>
                                <w:w w:val="95"/>
                                <w:sz w:val="21"/>
                              </w:rPr>
                              <w:t xml:space="preserve">重点调查可以直接使用的环境应急资源，包括：专职 </w:t>
                            </w:r>
                            <w:r>
                              <w:rPr>
                                <w:rFonts w:hint="eastAsia" w:ascii="宋体" w:eastAsia="宋体"/>
                                <w:spacing w:val="-13"/>
                                <w:w w:val="95"/>
                                <w:sz w:val="21"/>
                              </w:rPr>
                              <w:t xml:space="preserve">和兼职应急队伍；自储、代储、协议储备的环境应急 </w:t>
                            </w:r>
                            <w:r>
                              <w:rPr>
                                <w:rFonts w:hint="eastAsia" w:ascii="宋体" w:eastAsia="宋体"/>
                                <w:spacing w:val="-12"/>
                                <w:w w:val="95"/>
                                <w:sz w:val="21"/>
                              </w:rPr>
                              <w:t xml:space="preserve">装备；自储、代储、协议储备环境应急物资；应急处 </w:t>
                            </w:r>
                            <w:r>
                              <w:rPr>
                                <w:rFonts w:hint="eastAsia" w:ascii="宋体" w:eastAsia="宋体"/>
                                <w:spacing w:val="-12"/>
                                <w:sz w:val="21"/>
                              </w:rPr>
                              <w:t>置场所、应急物资或装备存放场所、应急指挥场所预案中的应急措施使用的环境应急资源与现有资源一致</w:t>
                            </w:r>
                          </w:p>
                        </w:tc>
                      </w:tr>
                    </w:tbl>
                    <w:p>
                      <w:pPr>
                        <w:pStyle w:val="10"/>
                      </w:pPr>
                    </w:p>
                  </w:txbxContent>
                </v:textbox>
              </v:shape>
            </w:pict>
          </mc:Fallback>
        </mc:AlternateContent>
      </w:r>
    </w:p>
    <w:p>
      <w:pPr>
        <w:pStyle w:val="10"/>
        <w:spacing w:before="11"/>
        <w:rPr>
          <w:rFonts w:ascii="宋体"/>
          <w:sz w:val="26"/>
        </w:rPr>
      </w:pPr>
    </w:p>
    <w:p>
      <w:pPr>
        <w:spacing w:before="70"/>
        <w:ind w:right="138"/>
        <w:jc w:val="right"/>
        <w:rPr>
          <w:rFonts w:ascii="宋体" w:eastAsia="宋体"/>
          <w:sz w:val="21"/>
        </w:rPr>
      </w:pPr>
      <w:r>
        <w:rPr>
          <w:rFonts w:hint="eastAsia" w:ascii="宋体" w:eastAsia="宋体"/>
          <w:w w:val="99"/>
          <w:sz w:val="21"/>
        </w:rPr>
        <w:t>，</w:t>
      </w: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0"/>
        </w:rPr>
      </w:pPr>
    </w:p>
    <w:p>
      <w:pPr>
        <w:pStyle w:val="10"/>
        <w:rPr>
          <w:rFonts w:ascii="宋体"/>
          <w:sz w:val="29"/>
        </w:rPr>
      </w:pPr>
    </w:p>
    <w:p>
      <w:pPr>
        <w:ind w:right="150"/>
        <w:jc w:val="right"/>
        <w:rPr>
          <w:rFonts w:ascii="宋体" w:eastAsia="宋体"/>
          <w:sz w:val="21"/>
        </w:rPr>
      </w:pPr>
      <w:r>
        <w:rPr>
          <w:rFonts w:hint="eastAsia" w:ascii="宋体" w:eastAsia="宋体"/>
          <w:w w:val="99"/>
          <w:sz w:val="21"/>
        </w:rPr>
        <w:t>。</w:t>
      </w:r>
    </w:p>
    <w:p>
      <w:pPr>
        <w:jc w:val="right"/>
        <w:rPr>
          <w:rFonts w:ascii="宋体" w:eastAsia="宋体"/>
          <w:sz w:val="21"/>
        </w:rPr>
        <w:sectPr>
          <w:pgSz w:w="16840" w:h="11910" w:orient="landscape"/>
          <w:pgMar w:top="1100" w:right="1340" w:bottom="1180" w:left="1340" w:header="882" w:footer="993" w:gutter="0"/>
          <w:cols w:space="720" w:num="1"/>
        </w:sectPr>
      </w:pPr>
    </w:p>
    <w:p>
      <w:pPr>
        <w:pStyle w:val="23"/>
        <w:numPr>
          <w:ilvl w:val="0"/>
          <w:numId w:val="75"/>
        </w:numPr>
        <w:tabs>
          <w:tab w:val="left" w:pos="732"/>
        </w:tabs>
        <w:spacing w:before="57"/>
        <w:rPr>
          <w:rFonts w:ascii="宋体" w:eastAsia="宋体"/>
          <w:sz w:val="21"/>
        </w:rPr>
      </w:pPr>
      <w:r>
        <w:rPr>
          <w:lang w:val="en-US" w:bidi="ar-SA"/>
        </w:rPr>
        <w:drawing>
          <wp:inline distT="0" distB="0" distL="114300" distR="114300">
            <wp:extent cx="8982075" cy="3576955"/>
            <wp:effectExtent l="0" t="0" r="9525" b="444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4"/>
                    <a:stretch>
                      <a:fillRect/>
                    </a:stretch>
                  </pic:blipFill>
                  <pic:spPr>
                    <a:xfrm>
                      <a:off x="0" y="0"/>
                      <a:ext cx="8982075" cy="3576955"/>
                    </a:xfrm>
                    <a:prstGeom prst="rect">
                      <a:avLst/>
                    </a:prstGeom>
                    <a:noFill/>
                    <a:ln>
                      <a:noFill/>
                    </a:ln>
                  </pic:spPr>
                </pic:pic>
              </a:graphicData>
            </a:graphic>
          </wp:inline>
        </w:drawing>
      </w:r>
    </w:p>
    <w:sectPr>
      <w:pgSz w:w="16840" w:h="11910" w:orient="landscape"/>
      <w:pgMar w:top="1100" w:right="1340" w:bottom="1180" w:left="1340" w:header="882" w:footer="99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新宋体">
    <w:panose1 w:val="02010609030101010101"/>
    <w:charset w:val="86"/>
    <w:family w:val="modern"/>
    <w:pitch w:val="default"/>
    <w:sig w:usb0="00000203" w:usb1="288F0000" w:usb2="00000006" w:usb3="00000000" w:csb0="00040001" w:csb1="00000000"/>
  </w:font>
  <w:font w:name="仿宋_GB2312">
    <w:altName w:val="仿宋"/>
    <w:panose1 w:val="020B0602010101010101"/>
    <w:charset w:val="86"/>
    <w:family w:val="modern"/>
    <w:pitch w:val="default"/>
    <w:sig w:usb0="00000000" w:usb1="00000000" w:usb2="00000000" w:usb3="00000000" w:csb0="00040000" w:csb1="00000000"/>
  </w:font>
  <w:font w:name="MS PMincho">
    <w:panose1 w:val="02020600040205080304"/>
    <w:charset w:val="80"/>
    <w:family w:val="roman"/>
    <w:pitch w:val="default"/>
    <w:sig w:usb0="E00002FF" w:usb1="6AC7FDFB" w:usb2="00000012" w:usb3="00000000" w:csb0="4002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3726180</wp:posOffset>
              </wp:positionH>
              <wp:positionV relativeFrom="page">
                <wp:posOffset>9921240</wp:posOffset>
              </wp:positionV>
              <wp:extent cx="107950" cy="152400"/>
              <wp:effectExtent l="0" t="0" r="0" b="0"/>
              <wp:wrapNone/>
              <wp:docPr id="33" name="文本框 3"/>
              <wp:cNvGraphicFramePr/>
              <a:graphic xmlns:a="http://schemas.openxmlformats.org/drawingml/2006/main">
                <a:graphicData uri="http://schemas.microsoft.com/office/word/2010/wordprocessingShape">
                  <wps:wsp>
                    <wps:cNvSpPr txBox="1"/>
                    <wps:spPr>
                      <a:xfrm>
                        <a:off x="0" y="0"/>
                        <a:ext cx="10795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6</w:t>
                          </w:r>
                          <w:r>
                            <w:fldChar w:fldCharType="end"/>
                          </w:r>
                        </w:p>
                      </w:txbxContent>
                    </wps:txbx>
                    <wps:bodyPr lIns="0" tIns="0" rIns="0" bIns="0" upright="1"/>
                  </wps:wsp>
                </a:graphicData>
              </a:graphic>
            </wp:anchor>
          </w:drawing>
        </mc:Choice>
        <mc:Fallback>
          <w:pict>
            <v:shape id="文本框 3" o:spid="_x0000_s1026" o:spt="202" type="#_x0000_t202" style="position:absolute;left:0pt;margin-left:293.4pt;margin-top:781.2pt;height:12pt;width:8.5pt;mso-position-horizontal-relative:page;mso-position-vertical-relative:page;z-index:-251654144;mso-width-relative:page;mso-height-relative:page;" filled="f" stroked="f" coordsize="21600,21600" o:gfxdata="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1Uwt/aAAAADQEAAA8AAAAAAAAAAQAgAAAAIgAAAGRycy9kb3ducmV2LnhtbFBL&#10;AQIUABQAAAAIAIdO4kBhrpm2uwEAAHIDAAAOAAAAAAAAAAEAIAAAACkBAABkcnMvZTJvRG9jLnht&#10;bFBLBQYAAAAABgAGAFkBAABWBQ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6</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1675648" behindDoc="1" locked="0" layoutInCell="1" allowOverlap="1">
              <wp:simplePos x="0" y="0"/>
              <wp:positionH relativeFrom="page">
                <wp:posOffset>3695700</wp:posOffset>
              </wp:positionH>
              <wp:positionV relativeFrom="page">
                <wp:posOffset>9921240</wp:posOffset>
              </wp:positionV>
              <wp:extent cx="167640" cy="152400"/>
              <wp:effectExtent l="0" t="0" r="0" b="0"/>
              <wp:wrapNone/>
              <wp:docPr id="46" name="文本框 16"/>
              <wp:cNvGraphicFramePr/>
              <a:graphic xmlns:a="http://schemas.openxmlformats.org/drawingml/2006/main">
                <a:graphicData uri="http://schemas.microsoft.com/office/word/2010/wordprocessingShape">
                  <wps:wsp>
                    <wps:cNvSpPr txBox="1"/>
                    <wps:spPr>
                      <a:xfrm>
                        <a:off x="0" y="0"/>
                        <a:ext cx="16764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76</w:t>
                          </w:r>
                          <w:r>
                            <w:fldChar w:fldCharType="end"/>
                          </w:r>
                        </w:p>
                      </w:txbxContent>
                    </wps:txbx>
                    <wps:bodyPr lIns="0" tIns="0" rIns="0" bIns="0" upright="1"/>
                  </wps:wsp>
                </a:graphicData>
              </a:graphic>
            </wp:anchor>
          </w:drawing>
        </mc:Choice>
        <mc:Fallback>
          <w:pict>
            <v:shape id="文本框 16" o:spid="_x0000_s1026" o:spt="202" type="#_x0000_t202" style="position:absolute;left:0pt;margin-left:291pt;margin-top:781.2pt;height:12pt;width:13.2pt;mso-position-horizontal-relative:page;mso-position-vertical-relative:page;z-index:-251640832;mso-width-relative:page;mso-height-relative:page;" filled="f" stroked="f" coordsize="21600,21600" o:gfxdata="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keqjzaAAAADQEAAA8AAAAAAAAAAQAgAAAAIgAAAGRycy9kb3ducmV2LnhtbFBL&#10;AQIUABQAAAAIAIdO4kCtaJ0RuwEAAHMDAAAOAAAAAAAAAAEAIAAAACkBAABkcnMvZTJvRG9jLnht&#10;bFBLBQYAAAAABgAGAFkBAABWBQ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76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1676672"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47" name="文本框 17"/>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85</w:t>
                          </w:r>
                          <w:r>
                            <w:fldChar w:fldCharType="end"/>
                          </w:r>
                        </w:p>
                      </w:txbxContent>
                    </wps:txbx>
                    <wps:bodyPr lIns="0" tIns="0" rIns="0" bIns="0" upright="1"/>
                  </wps:wsp>
                </a:graphicData>
              </a:graphic>
            </wp:anchor>
          </w:drawing>
        </mc:Choice>
        <mc:Fallback>
          <w:pict>
            <v:shape id="文本框 17" o:spid="_x0000_s1026" o:spt="202" type="#_x0000_t202" style="position:absolute;left:0pt;margin-left:291.15pt;margin-top:781.2pt;height:12pt;width:13.1pt;mso-position-horizontal-relative:page;mso-position-vertical-relative:page;z-index:-251639808;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8n8Z2wAAAA0BAAAPAAAAAAAAAAEAIAAAACIAAABkcnMvZG93bnJldi54bWxQ&#10;SwECFAAUAAAACACHTuJARRz7MbsBAABzAwAADgAAAAAAAAABACAAAAAqAQAAZHJzL2Uyb0RvYy54&#10;bWxQSwUGAAAAAAYABgBZAQAAVwU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85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1678720" behindDoc="1" locked="0" layoutInCell="1" allowOverlap="1">
              <wp:simplePos x="0" y="0"/>
              <wp:positionH relativeFrom="page">
                <wp:posOffset>5262245</wp:posOffset>
              </wp:positionH>
              <wp:positionV relativeFrom="page">
                <wp:posOffset>6789420</wp:posOffset>
              </wp:positionV>
              <wp:extent cx="166370" cy="152400"/>
              <wp:effectExtent l="0" t="0" r="0" b="0"/>
              <wp:wrapNone/>
              <wp:docPr id="49" name="文本框 19"/>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89</w:t>
                          </w:r>
                          <w:r>
                            <w:fldChar w:fldCharType="end"/>
                          </w:r>
                        </w:p>
                      </w:txbxContent>
                    </wps:txbx>
                    <wps:bodyPr lIns="0" tIns="0" rIns="0" bIns="0" upright="1"/>
                  </wps:wsp>
                </a:graphicData>
              </a:graphic>
            </wp:anchor>
          </w:drawing>
        </mc:Choice>
        <mc:Fallback>
          <w:pict>
            <v:shape id="文本框 19" o:spid="_x0000_s1026" o:spt="202" type="#_x0000_t202" style="position:absolute;left:0pt;margin-left:414.35pt;margin-top:534.6pt;height:12pt;width:13.1pt;mso-position-horizontal-relative:page;mso-position-vertical-relative:page;z-index:-251637760;mso-width-relative:page;mso-height-relative:page;" filled="f" stroked="f" coordsize="21600,21600" o:gfxdata="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k4cc9sAAAANAQAADwAAAAAAAAABACAAAAAiAAAAZHJzL2Rvd25yZXYueG1s&#10;UEsBAhQAFAAAAAgAh07iQHXlq/u8AQAAcwMAAA4AAAAAAAAAAQAgAAAAKgEAAGRycy9lMm9Eb2Mu&#10;eG1sUEsFBgAAAAAGAAYAWQEAAFgFA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89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1679744" behindDoc="1" locked="0" layoutInCell="1" allowOverlap="1">
              <wp:simplePos x="0" y="0"/>
              <wp:positionH relativeFrom="page">
                <wp:posOffset>5262245</wp:posOffset>
              </wp:positionH>
              <wp:positionV relativeFrom="page">
                <wp:posOffset>6789420</wp:posOffset>
              </wp:positionV>
              <wp:extent cx="166370" cy="152400"/>
              <wp:effectExtent l="0" t="0" r="0" b="0"/>
              <wp:wrapNone/>
              <wp:docPr id="50" name="文本框 20"/>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95</w:t>
                          </w:r>
                          <w:r>
                            <w:fldChar w:fldCharType="end"/>
                          </w:r>
                        </w:p>
                      </w:txbxContent>
                    </wps:txbx>
                    <wps:bodyPr lIns="0" tIns="0" rIns="0" bIns="0" upright="1"/>
                  </wps:wsp>
                </a:graphicData>
              </a:graphic>
            </wp:anchor>
          </w:drawing>
        </mc:Choice>
        <mc:Fallback>
          <w:pict>
            <v:shape id="文本框 20" o:spid="_x0000_s1026" o:spt="202" type="#_x0000_t202" style="position:absolute;left:0pt;margin-left:414.35pt;margin-top:534.6pt;height:12pt;width:13.1pt;mso-position-horizontal-relative:page;mso-position-vertical-relative:page;z-index:-251636736;mso-width-relative:page;mso-height-relative:page;" filled="f" stroked="f" coordsize="21600,21600" o:gfxdata="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k4cc9sAAAANAQAADwAAAAAAAAABACAAAAAiAAAAZHJzL2Rvd25yZXYueG1sUEsB&#10;AhQAFAAAAAgAh07iQAyixTC5AQAAcwMAAA4AAAAAAAAAAQAgAAAAKgEAAGRycy9lMm9Eb2MueG1s&#10;UEsFBgAAAAAGAAYAWQEAAFUFA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95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34" name="文本框 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23</w:t>
                          </w:r>
                          <w:r>
                            <w:fldChar w:fldCharType="end"/>
                          </w:r>
                        </w:p>
                      </w:txbxContent>
                    </wps:txbx>
                    <wps:bodyPr lIns="0" tIns="0" rIns="0" bIns="0" upright="1"/>
                  </wps:wsp>
                </a:graphicData>
              </a:graphic>
            </wp:anchor>
          </w:drawing>
        </mc:Choice>
        <mc:Fallback>
          <w:pict>
            <v:shape id="文本框 4" o:spid="_x0000_s1026" o:spt="202" type="#_x0000_t202" style="position:absolute;left:0pt;margin-left:291.15pt;margin-top:781.2pt;height:12pt;width:13.1pt;mso-position-horizontal-relative:page;mso-position-vertical-relative:page;z-index:-251653120;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nyfxnbAAAADQEAAA8AAAAAAAAAAQAgAAAAIgAAAGRycy9kb3ducmV2LnhtbFBL&#10;AQIUABQAAAAIAIdO4kA9hVJaugEAAHIDAAAOAAAAAAAAAAEAIAAAACoBAABkcnMvZTJvRG9jLnht&#10;bFBLBQYAAAAABgAGAFkBAABWBQ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1664384"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35" name="文本框 5"/>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21</w:t>
                          </w:r>
                          <w:r>
                            <w:fldChar w:fldCharType="end"/>
                          </w:r>
                        </w:p>
                      </w:txbxContent>
                    </wps:txbx>
                    <wps:bodyPr lIns="0" tIns="0" rIns="0" bIns="0" upright="1"/>
                  </wps:wsp>
                </a:graphicData>
              </a:graphic>
            </wp:anchor>
          </w:drawing>
        </mc:Choice>
        <mc:Fallback>
          <w:pict>
            <v:shape id="文本框 5" o:spid="_x0000_s1026" o:spt="202" type="#_x0000_t202" style="position:absolute;left:0pt;margin-left:291.15pt;margin-top:781.2pt;height:12pt;width:13.1pt;mso-position-horizontal-relative:page;mso-position-vertical-relative:page;z-index:-251652096;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nyfxnbAAAADQEAAA8AAAAAAAAAAQAgAAAAIgAAAGRycy9kb3ducmV2LnhtbFBL&#10;AQIUABQAAAAIAIdO4kDIdHv5ugEAAHIDAAAOAAAAAAAAAAEAIAAAACoBAABkcnMvZTJvRG9jLnht&#10;bFBLBQYAAAAABgAGAFkBAABWBQ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1667456" behindDoc="1" locked="0" layoutInCell="1" allowOverlap="1">
              <wp:simplePos x="0" y="0"/>
              <wp:positionH relativeFrom="page">
                <wp:posOffset>5262245</wp:posOffset>
              </wp:positionH>
              <wp:positionV relativeFrom="page">
                <wp:posOffset>6789420</wp:posOffset>
              </wp:positionV>
              <wp:extent cx="166370" cy="152400"/>
              <wp:effectExtent l="0" t="0" r="0" b="0"/>
              <wp:wrapNone/>
              <wp:docPr id="38" name="文本框 8"/>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22</w:t>
                          </w:r>
                          <w:r>
                            <w:fldChar w:fldCharType="end"/>
                          </w:r>
                        </w:p>
                      </w:txbxContent>
                    </wps:txbx>
                    <wps:bodyPr lIns="0" tIns="0" rIns="0" bIns="0" upright="1"/>
                  </wps:wsp>
                </a:graphicData>
              </a:graphic>
            </wp:anchor>
          </w:drawing>
        </mc:Choice>
        <mc:Fallback>
          <w:pict>
            <v:shape id="文本框 8" o:spid="_x0000_s1026" o:spt="202" type="#_x0000_t202" style="position:absolute;left:0pt;margin-left:414.35pt;margin-top:534.6pt;height:12pt;width:13.1pt;mso-position-horizontal-relative:page;mso-position-vertical-relative:page;z-index:-251649024;mso-width-relative:page;mso-height-relative:page;" filled="f" stroked="f" coordsize="21600,21600" o:gfxdata="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qThxz2wAAAA0BAAAPAAAAAAAAAAEAIAAAACIAAABkcnMvZG93bnJldi54bWxQ&#10;SwECFAAUAAAACACHTuJARdR+orsBAAByAwAADgAAAAAAAAABACAAAAAqAQAAZHJzL2Uyb0RvYy54&#10;bWxQSwUGAAAAAAYABgBZAQAAVwU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1670528"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41" name="文本框 11"/>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29</w:t>
                          </w:r>
                          <w:r>
                            <w:fldChar w:fldCharType="end"/>
                          </w:r>
                        </w:p>
                      </w:txbxContent>
                    </wps:txbx>
                    <wps:bodyPr lIns="0" tIns="0" rIns="0" bIns="0" upright="1"/>
                  </wps:wsp>
                </a:graphicData>
              </a:graphic>
            </wp:anchor>
          </w:drawing>
        </mc:Choice>
        <mc:Fallback>
          <w:pict>
            <v:shape id="文本框 11" o:spid="_x0000_s1026" o:spt="202" type="#_x0000_t202" style="position:absolute;left:0pt;margin-left:291.15pt;margin-top:781.2pt;height:12pt;width:13.1pt;mso-position-horizontal-relative:page;mso-position-vertical-relative:page;z-index:-251645952;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8n8Z2wAAAA0BAAAPAAAAAAAAAAEAIAAAACIAAABkcnMvZG93bnJldi54bWxQ&#10;SwECFAAUAAAACACHTuJAGBztjLsBAABzAwAADgAAAAAAAAABACAAAAAqAQAAZHJzL2Uyb0RvYy54&#10;bWxQSwUGAAAAAAYABgBZAQAAVwU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1671552"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42" name="文本框 1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40</w:t>
                          </w:r>
                          <w:r>
                            <w:fldChar w:fldCharType="end"/>
                          </w:r>
                        </w:p>
                      </w:txbxContent>
                    </wps:txbx>
                    <wps:bodyPr lIns="0" tIns="0" rIns="0" bIns="0" upright="1"/>
                  </wps:wsp>
                </a:graphicData>
              </a:graphic>
            </wp:anchor>
          </w:drawing>
        </mc:Choice>
        <mc:Fallback>
          <w:pict>
            <v:shape id="文本框 12" o:spid="_x0000_s1026" o:spt="202" type="#_x0000_t202" style="position:absolute;left:0pt;margin-left:291.15pt;margin-top:781.2pt;height:12pt;width:13.1pt;mso-position-horizontal-relative:page;mso-position-vertical-relative:page;z-index:-251644928;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8n8Z2wAAAA0BAAAPAAAAAAAAAAEAIAAAACIAAABkcnMvZG93bnJldi54bWxQ&#10;SwECFAAUAAAACACHTuJAFp/eP7sBAABzAwAADgAAAAAAAAABACAAAAAqAQAAZHJzL2Uyb0RvYy54&#10;bWxQSwUGAAAAAAYABgBZAQAAVwU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40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1672576"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43" name="文本框 13"/>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48</w:t>
                          </w:r>
                          <w:r>
                            <w:fldChar w:fldCharType="end"/>
                          </w:r>
                        </w:p>
                      </w:txbxContent>
                    </wps:txbx>
                    <wps:bodyPr lIns="0" tIns="0" rIns="0" bIns="0" upright="1"/>
                  </wps:wsp>
                </a:graphicData>
              </a:graphic>
            </wp:anchor>
          </w:drawing>
        </mc:Choice>
        <mc:Fallback>
          <w:pict>
            <v:shape id="文本框 13" o:spid="_x0000_s1026" o:spt="202" type="#_x0000_t202" style="position:absolute;left:0pt;margin-left:291.15pt;margin-top:781.2pt;height:12pt;width:13.1pt;mso-position-horizontal-relative:page;mso-position-vertical-relative:page;z-index:-251643904;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8n8Z2wAAAA0BAAAPAAAAAAAAAAEAIAAAACIAAABkcnMvZG93bnJldi54bWxQ&#10;SwECFAAUAAAACACHTuJA0+Pg57sBAABzAwAADgAAAAAAAAABACAAAAAqAQAAZHJzL2Uyb0RvYy54&#10;bWxQSwUGAAAAAAYABgBZAQAAVwU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48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1673600" behindDoc="1" locked="0" layoutInCell="1" allowOverlap="1">
              <wp:simplePos x="0" y="0"/>
              <wp:positionH relativeFrom="page">
                <wp:posOffset>3695700</wp:posOffset>
              </wp:positionH>
              <wp:positionV relativeFrom="page">
                <wp:posOffset>9921240</wp:posOffset>
              </wp:positionV>
              <wp:extent cx="167640" cy="152400"/>
              <wp:effectExtent l="0" t="0" r="0" b="0"/>
              <wp:wrapNone/>
              <wp:docPr id="44" name="文本框 14"/>
              <wp:cNvGraphicFramePr/>
              <a:graphic xmlns:a="http://schemas.openxmlformats.org/drawingml/2006/main">
                <a:graphicData uri="http://schemas.microsoft.com/office/word/2010/wordprocessingShape">
                  <wps:wsp>
                    <wps:cNvSpPr txBox="1"/>
                    <wps:spPr>
                      <a:xfrm>
                        <a:off x="0" y="0"/>
                        <a:ext cx="167640" cy="152400"/>
                      </a:xfrm>
                      <a:prstGeom prst="rect">
                        <a:avLst/>
                      </a:prstGeom>
                      <a:noFill/>
                      <a:ln>
                        <a:noFill/>
                      </a:ln>
                    </wps:spPr>
                    <wps:txbx>
                      <w:txbxContent>
                        <w:p>
                          <w:pPr>
                            <w:spacing w:before="12"/>
                            <w:ind w:left="42"/>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60</w:t>
                          </w:r>
                          <w:r>
                            <w:fldChar w:fldCharType="end"/>
                          </w:r>
                        </w:p>
                      </w:txbxContent>
                    </wps:txbx>
                    <wps:bodyPr lIns="0" tIns="0" rIns="0" bIns="0" upright="1"/>
                  </wps:wsp>
                </a:graphicData>
              </a:graphic>
            </wp:anchor>
          </w:drawing>
        </mc:Choice>
        <mc:Fallback>
          <w:pict>
            <v:shape id="文本框 14" o:spid="_x0000_s1026" o:spt="202" type="#_x0000_t202" style="position:absolute;left:0pt;margin-left:291pt;margin-top:781.2pt;height:12pt;width:13.2pt;mso-position-horizontal-relative:page;mso-position-vertical-relative:page;z-index:-251642880;mso-width-relative:page;mso-height-relative:page;" filled="f" stroked="f" coordsize="21600,21600" o:gfxdata="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keqjzaAAAADQEAAA8AAAAAAAAAAQAgAAAAIgAAAGRycy9kb3ducmV2LnhtbFBL&#10;AQIUABQAAAAIAIdO4kBml5B6uwEAAHMDAAAOAAAAAAAAAAEAIAAAACkBAABkcnMvZTJvRG9jLnht&#10;bFBLBQYAAAAABgAGAFkBAABWBQAAAAA=&#10;">
              <v:fill on="f" focussize="0,0"/>
              <v:stroke on="f"/>
              <v:imagedata o:title=""/>
              <o:lock v:ext="edit" aspectratio="f"/>
              <v:textbox inset="0mm,0mm,0mm,0mm">
                <w:txbxContent>
                  <w:p>
                    <w:pPr>
                      <w:spacing w:before="12"/>
                      <w:ind w:left="42"/>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60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1674624" behindDoc="1" locked="0" layoutInCell="1" allowOverlap="1">
              <wp:simplePos x="0" y="0"/>
              <wp:positionH relativeFrom="page">
                <wp:posOffset>3695700</wp:posOffset>
              </wp:positionH>
              <wp:positionV relativeFrom="page">
                <wp:posOffset>9921240</wp:posOffset>
              </wp:positionV>
              <wp:extent cx="167640" cy="152400"/>
              <wp:effectExtent l="0" t="0" r="0" b="0"/>
              <wp:wrapNone/>
              <wp:docPr id="45" name="文本框 15"/>
              <wp:cNvGraphicFramePr/>
              <a:graphic xmlns:a="http://schemas.openxmlformats.org/drawingml/2006/main">
                <a:graphicData uri="http://schemas.microsoft.com/office/word/2010/wordprocessingShape">
                  <wps:wsp>
                    <wps:cNvSpPr txBox="1"/>
                    <wps:spPr>
                      <a:xfrm>
                        <a:off x="0" y="0"/>
                        <a:ext cx="16764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69</w:t>
                          </w:r>
                          <w:r>
                            <w:fldChar w:fldCharType="end"/>
                          </w:r>
                        </w:p>
                      </w:txbxContent>
                    </wps:txbx>
                    <wps:bodyPr lIns="0" tIns="0" rIns="0" bIns="0" upright="1"/>
                  </wps:wsp>
                </a:graphicData>
              </a:graphic>
            </wp:anchor>
          </w:drawing>
        </mc:Choice>
        <mc:Fallback>
          <w:pict>
            <v:shape id="文本框 15" o:spid="_x0000_s1026" o:spt="202" type="#_x0000_t202" style="position:absolute;left:0pt;margin-left:291pt;margin-top:781.2pt;height:12pt;width:13.2pt;mso-position-horizontal-relative:page;mso-position-vertical-relative:page;z-index:-251641856;mso-width-relative:page;mso-height-relative:page;" filled="f" stroked="f" coordsize="21600,21600" o:gfxdata="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keqjzaAAAADQEAAA8AAAAAAAAAAQAgAAAAIgAAAGRycy9kb3ducmV2LnhtbFBL&#10;AQIUABQAAAAIAIdO4kCj666iuwEAAHMDAAAOAAAAAAAAAAEAIAAAACkBAABkcnMvZTJvRG9jLnht&#10;bFBLBQYAAAAABgAGAFkBAABWBQ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69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685800</wp:posOffset>
              </wp:positionH>
              <wp:positionV relativeFrom="page">
                <wp:posOffset>715645</wp:posOffset>
              </wp:positionV>
              <wp:extent cx="6188710" cy="0"/>
              <wp:effectExtent l="0" t="4445" r="0" b="5080"/>
              <wp:wrapNone/>
              <wp:docPr id="31" name="直线 1"/>
              <wp:cNvGraphicFramePr/>
              <a:graphic xmlns:a="http://schemas.openxmlformats.org/drawingml/2006/main">
                <a:graphicData uri="http://schemas.microsoft.com/office/word/2010/wordprocessingShape">
                  <wps:wsp>
                    <wps:cNvSpPr/>
                    <wps:spPr>
                      <a:xfrm>
                        <a:off x="0" y="0"/>
                        <a:ext cx="618871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margin-left:54pt;margin-top:56.35pt;height:0pt;width:487.3pt;mso-position-horizontal-relative:page;mso-position-vertical-relative:page;z-index:-251656192;mso-width-relative:page;mso-height-relative:page;" filled="f" stroked="t" coordsize="21600,21600" o:gfxdata="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9TWJGNgA&#10;AAAMAQAADwAAAAAAAAABACAAAAAiAAAAZHJzL2Rvd25yZXYueG1sUEsBAhQAFAAAAAgAh07iQA1W&#10;zufmAQAA3AMAAA4AAAAAAAAAAQAgAAAAJwEAAGRycy9lMm9Eb2MueG1sUEsFBgAAAAAGAAYAWQEA&#10;AH8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2300605</wp:posOffset>
              </wp:positionH>
              <wp:positionV relativeFrom="page">
                <wp:posOffset>547370</wp:posOffset>
              </wp:positionV>
              <wp:extent cx="2957830" cy="158115"/>
              <wp:effectExtent l="0" t="0" r="0" b="0"/>
              <wp:wrapNone/>
              <wp:docPr id="32" name="文本框 2"/>
              <wp:cNvGraphicFramePr/>
              <a:graphic xmlns:a="http://schemas.openxmlformats.org/drawingml/2006/main">
                <a:graphicData uri="http://schemas.microsoft.com/office/word/2010/wordprocessingShape">
                  <wps:wsp>
                    <wps:cNvSpPr txBox="1"/>
                    <wps:spPr>
                      <a:xfrm>
                        <a:off x="0" y="0"/>
                        <a:ext cx="2957830" cy="158115"/>
                      </a:xfrm>
                      <a:prstGeom prst="rect">
                        <a:avLst/>
                      </a:prstGeom>
                      <a:noFill/>
                      <a:ln>
                        <a:noFill/>
                      </a:ln>
                    </wps:spPr>
                    <wps:txbx>
                      <w:txbxContent>
                        <w:p>
                          <w:pPr>
                            <w:spacing w:line="249" w:lineRule="exact"/>
                            <w:ind w:left="20"/>
                            <w:rPr>
                              <w:sz w:val="21"/>
                            </w:rPr>
                          </w:pPr>
                          <w:r>
                            <w:rPr>
                              <w:rFonts w:hint="eastAsia"/>
                              <w:sz w:val="21"/>
                            </w:rPr>
                            <w:t>赤壁市泰博服饰股份有限公司</w:t>
                          </w:r>
                          <w:r>
                            <w:rPr>
                              <w:sz w:val="21"/>
                            </w:rPr>
                            <w:t>突发环境事件应急预案</w:t>
                          </w:r>
                        </w:p>
                      </w:txbxContent>
                    </wps:txbx>
                    <wps:bodyPr lIns="0" tIns="0" rIns="0" bIns="0" upright="1"/>
                  </wps:wsp>
                </a:graphicData>
              </a:graphic>
            </wp:anchor>
          </w:drawing>
        </mc:Choice>
        <mc:Fallback>
          <w:pict>
            <v:shape id="文本框 2" o:spid="_x0000_s1026" o:spt="202" type="#_x0000_t202" style="position:absolute;left:0pt;margin-left:181.15pt;margin-top:43.1pt;height:12.45pt;width:232.9pt;mso-position-horizontal-relative:page;mso-position-vertical-relative:page;z-index:-251655168;mso-width-relative:page;mso-height-relative:page;" filled="f" stroked="f" coordsize="21600,21600" o:gfxdata="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llPPdgAAAAKAQAADwAAAAAAAAABACAAAAAiAAAAZHJzL2Rvd25yZXYueG1sUEsB&#10;AhQAFAAAAAgAh07iQI2Ot8C8AQAAcwMAAA4AAAAAAAAAAQAgAAAAJwEAAGRycy9lMm9Eb2MueG1s&#10;UEsFBgAAAAAGAAYAWQEAAFUFAAAAAA==&#10;">
              <v:fill on="f" focussize="0,0"/>
              <v:stroke on="f"/>
              <v:imagedata o:title=""/>
              <o:lock v:ext="edit" aspectratio="f"/>
              <v:textbox inset="0mm,0mm,0mm,0mm">
                <w:txbxContent>
                  <w:p>
                    <w:pPr>
                      <w:spacing w:line="249" w:lineRule="exact"/>
                      <w:ind w:left="20"/>
                      <w:rPr>
                        <w:sz w:val="21"/>
                      </w:rPr>
                    </w:pPr>
                    <w:r>
                      <w:rPr>
                        <w:rFonts w:hint="eastAsia"/>
                        <w:sz w:val="21"/>
                      </w:rPr>
                      <w:t>赤壁市泰博服饰股份有限公司</w:t>
                    </w:r>
                    <w:r>
                      <w:rPr>
                        <w:sz w:val="21"/>
                      </w:rPr>
                      <w:t>突发环境事件应急预案</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685800</wp:posOffset>
              </wp:positionH>
              <wp:positionV relativeFrom="page">
                <wp:posOffset>715645</wp:posOffset>
              </wp:positionV>
              <wp:extent cx="9320530" cy="0"/>
              <wp:effectExtent l="0" t="5080" r="0" b="4445"/>
              <wp:wrapNone/>
              <wp:docPr id="36" name="直线 6"/>
              <wp:cNvGraphicFramePr/>
              <a:graphic xmlns:a="http://schemas.openxmlformats.org/drawingml/2006/main">
                <a:graphicData uri="http://schemas.microsoft.com/office/word/2010/wordprocessingShape">
                  <wps:wsp>
                    <wps:cNvSpPr/>
                    <wps:spPr>
                      <a:xfrm>
                        <a:off x="0" y="0"/>
                        <a:ext cx="932053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6" o:spid="_x0000_s1026" o:spt="20" style="position:absolute;left:0pt;margin-left:54pt;margin-top:56.35pt;height:0pt;width:733.9pt;mso-position-horizontal-relative:page;mso-position-vertical-relative:page;z-index:-251651072;mso-width-relative:page;mso-height-relative:page;" filled="f" stroked="t" coordsize="21600,21600" o:gfxdata="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CJtBa&#10;2AAAAAwBAAAPAAAAAAAAAAEAIAAAACIAAABkcnMvZG93bnJldi54bWxQSwECFAAUAAAACACHTuJA&#10;KasFYugBAADcAwAADgAAAAAAAAABACAAAAAnAQAAZHJzL2Uyb0RvYy54bWxQSwUGAAAAAAYABgBZ&#10;AQAAgQ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51666432" behindDoc="1" locked="0" layoutInCell="1" allowOverlap="1">
              <wp:simplePos x="0" y="0"/>
              <wp:positionH relativeFrom="page">
                <wp:posOffset>3865245</wp:posOffset>
              </wp:positionH>
              <wp:positionV relativeFrom="page">
                <wp:posOffset>547370</wp:posOffset>
              </wp:positionV>
              <wp:extent cx="2957830" cy="158115"/>
              <wp:effectExtent l="0" t="0" r="0" b="0"/>
              <wp:wrapNone/>
              <wp:docPr id="37" name="文本框 7"/>
              <wp:cNvGraphicFramePr/>
              <a:graphic xmlns:a="http://schemas.openxmlformats.org/drawingml/2006/main">
                <a:graphicData uri="http://schemas.microsoft.com/office/word/2010/wordprocessingShape">
                  <wps:wsp>
                    <wps:cNvSpPr txBox="1"/>
                    <wps:spPr>
                      <a:xfrm>
                        <a:off x="0" y="0"/>
                        <a:ext cx="2957830" cy="158115"/>
                      </a:xfrm>
                      <a:prstGeom prst="rect">
                        <a:avLst/>
                      </a:prstGeom>
                      <a:noFill/>
                      <a:ln>
                        <a:noFill/>
                      </a:ln>
                    </wps:spPr>
                    <wps:txbx>
                      <w:txbxContent>
                        <w:p>
                          <w:pPr>
                            <w:spacing w:line="249" w:lineRule="exact"/>
                            <w:ind w:left="20"/>
                            <w:rPr>
                              <w:sz w:val="21"/>
                            </w:rPr>
                          </w:pPr>
                          <w:r>
                            <w:rPr>
                              <w:rFonts w:hint="eastAsia"/>
                              <w:sz w:val="21"/>
                            </w:rPr>
                            <w:t>赤壁市泰博服饰股份有限公</w:t>
                          </w:r>
                          <w:r>
                            <w:rPr>
                              <w:sz w:val="21"/>
                            </w:rPr>
                            <w:t>突发环境事件应急预案</w:t>
                          </w:r>
                        </w:p>
                      </w:txbxContent>
                    </wps:txbx>
                    <wps:bodyPr lIns="0" tIns="0" rIns="0" bIns="0" upright="1"/>
                  </wps:wsp>
                </a:graphicData>
              </a:graphic>
            </wp:anchor>
          </w:drawing>
        </mc:Choice>
        <mc:Fallback>
          <w:pict>
            <v:shape id="文本框 7" o:spid="_x0000_s1026" o:spt="202" type="#_x0000_t202" style="position:absolute;left:0pt;margin-left:304.35pt;margin-top:43.1pt;height:12.45pt;width:232.9pt;mso-position-horizontal-relative:page;mso-position-vertical-relative:page;z-index:-251650048;mso-width-relative:page;mso-height-relative:page;" filled="f" stroked="f" coordsize="21600,21600" o:gfxdata="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p6vRHZAAAACwEAAA8AAAAAAAAAAQAgAAAAIgAAAGRycy9kb3ducmV2LnhtbFBL&#10;AQIUABQAAAAIAIdO4kDlEPGOvAEAAHMDAAAOAAAAAAAAAAEAIAAAACgBAABkcnMvZTJvRG9jLnht&#10;bFBLBQYAAAAABgAGAFkBAABWBQAAAAA=&#10;">
              <v:fill on="f" focussize="0,0"/>
              <v:stroke on="f"/>
              <v:imagedata o:title=""/>
              <o:lock v:ext="edit" aspectratio="f"/>
              <v:textbox inset="0mm,0mm,0mm,0mm">
                <w:txbxContent>
                  <w:p>
                    <w:pPr>
                      <w:spacing w:line="249" w:lineRule="exact"/>
                      <w:ind w:left="20"/>
                      <w:rPr>
                        <w:sz w:val="21"/>
                      </w:rPr>
                    </w:pPr>
                    <w:r>
                      <w:rPr>
                        <w:rFonts w:hint="eastAsia"/>
                        <w:sz w:val="21"/>
                      </w:rPr>
                      <w:t>赤壁市泰博服饰股份有限公</w:t>
                    </w:r>
                    <w:r>
                      <w:rPr>
                        <w:sz w:val="21"/>
                      </w:rPr>
                      <w:t>突发环境事件应急预案</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1668480" behindDoc="1" locked="0" layoutInCell="1" allowOverlap="1">
              <wp:simplePos x="0" y="0"/>
              <wp:positionH relativeFrom="page">
                <wp:posOffset>685800</wp:posOffset>
              </wp:positionH>
              <wp:positionV relativeFrom="page">
                <wp:posOffset>715645</wp:posOffset>
              </wp:positionV>
              <wp:extent cx="6188710" cy="0"/>
              <wp:effectExtent l="0" t="4445" r="0" b="5080"/>
              <wp:wrapNone/>
              <wp:docPr id="39" name="直线 9"/>
              <wp:cNvGraphicFramePr/>
              <a:graphic xmlns:a="http://schemas.openxmlformats.org/drawingml/2006/main">
                <a:graphicData uri="http://schemas.microsoft.com/office/word/2010/wordprocessingShape">
                  <wps:wsp>
                    <wps:cNvSpPr/>
                    <wps:spPr>
                      <a:xfrm>
                        <a:off x="0" y="0"/>
                        <a:ext cx="618871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9" o:spid="_x0000_s1026" o:spt="20" style="position:absolute;left:0pt;margin-left:54pt;margin-top:56.35pt;height:0pt;width:487.3pt;mso-position-horizontal-relative:page;mso-position-vertical-relative:page;z-index:-251648000;mso-width-relative:page;mso-height-relative:page;" filled="f" stroked="t" coordsize="21600,21600" o:gfxdata="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U1iRjY&#10;AAAADAEAAA8AAAAAAAAAAQAgAAAAIgAAAGRycy9kb3ducmV2LnhtbFBLAQIUABQAAAAIAIdO4kDH&#10;kppq5wEAANwDAAAOAAAAAAAAAAEAIAAAACcBAABkcnMvZTJvRG9jLnhtbFBLBQYAAAAABgAGAFkB&#10;AACABQ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51669504" behindDoc="1" locked="0" layoutInCell="1" allowOverlap="1">
              <wp:simplePos x="0" y="0"/>
              <wp:positionH relativeFrom="page">
                <wp:posOffset>2298700</wp:posOffset>
              </wp:positionH>
              <wp:positionV relativeFrom="page">
                <wp:posOffset>547370</wp:posOffset>
              </wp:positionV>
              <wp:extent cx="2957830" cy="158115"/>
              <wp:effectExtent l="0" t="0" r="0" b="0"/>
              <wp:wrapNone/>
              <wp:docPr id="40" name="文本框 10"/>
              <wp:cNvGraphicFramePr/>
              <a:graphic xmlns:a="http://schemas.openxmlformats.org/drawingml/2006/main">
                <a:graphicData uri="http://schemas.microsoft.com/office/word/2010/wordprocessingShape">
                  <wps:wsp>
                    <wps:cNvSpPr txBox="1"/>
                    <wps:spPr>
                      <a:xfrm>
                        <a:off x="0" y="0"/>
                        <a:ext cx="2957830" cy="158115"/>
                      </a:xfrm>
                      <a:prstGeom prst="rect">
                        <a:avLst/>
                      </a:prstGeom>
                      <a:noFill/>
                      <a:ln>
                        <a:noFill/>
                      </a:ln>
                    </wps:spPr>
                    <wps:txbx>
                      <w:txbxContent>
                        <w:p>
                          <w:pPr>
                            <w:spacing w:line="249" w:lineRule="exact"/>
                            <w:ind w:left="20"/>
                            <w:rPr>
                              <w:sz w:val="21"/>
                            </w:rPr>
                          </w:pPr>
                          <w:r>
                            <w:rPr>
                              <w:rFonts w:hint="eastAsia"/>
                              <w:sz w:val="21"/>
                            </w:rPr>
                            <w:t>赤壁市泰博服饰股份有限公</w:t>
                          </w:r>
                          <w:r>
                            <w:rPr>
                              <w:sz w:val="21"/>
                            </w:rPr>
                            <w:t>突发环境事件应急预案</w:t>
                          </w:r>
                        </w:p>
                      </w:txbxContent>
                    </wps:txbx>
                    <wps:bodyPr lIns="0" tIns="0" rIns="0" bIns="0" upright="1"/>
                  </wps:wsp>
                </a:graphicData>
              </a:graphic>
            </wp:anchor>
          </w:drawing>
        </mc:Choice>
        <mc:Fallback>
          <w:pict>
            <v:shape id="文本框 10" o:spid="_x0000_s1026" o:spt="202" type="#_x0000_t202" style="position:absolute;left:0pt;margin-left:181pt;margin-top:43.1pt;height:12.45pt;width:232.9pt;mso-position-horizontal-relative:page;mso-position-vertical-relative:page;z-index:-251646976;mso-width-relative:page;mso-height-relative:page;" filled="f" stroked="f" coordsize="21600,21600" o:gfxdata="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3+JFLXAAAACgEAAA8AAAAAAAAAAQAgAAAAIgAAAGRycy9kb3ducmV2LnhtbFBLAQIU&#10;ABQAAAAIAIdO4kCfBBiiuwEAAHQDAAAOAAAAAAAAAAEAIAAAACYBAABkcnMvZTJvRG9jLnhtbFBL&#10;BQYAAAAABgAGAFkBAABTBQAAAAA=&#10;">
              <v:fill on="f" focussize="0,0"/>
              <v:stroke on="f"/>
              <v:imagedata o:title=""/>
              <o:lock v:ext="edit" aspectratio="f"/>
              <v:textbox inset="0mm,0mm,0mm,0mm">
                <w:txbxContent>
                  <w:p>
                    <w:pPr>
                      <w:spacing w:line="249" w:lineRule="exact"/>
                      <w:ind w:left="20"/>
                      <w:rPr>
                        <w:sz w:val="21"/>
                      </w:rPr>
                    </w:pPr>
                    <w:r>
                      <w:rPr>
                        <w:rFonts w:hint="eastAsia"/>
                        <w:sz w:val="21"/>
                      </w:rPr>
                      <w:t>赤壁市泰博服饰股份有限公</w:t>
                    </w:r>
                    <w:r>
                      <w:rPr>
                        <w:sz w:val="21"/>
                      </w:rPr>
                      <w:t>突发环境事件应急预案</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1677696" behindDoc="1" locked="0" layoutInCell="1" allowOverlap="1">
              <wp:simplePos x="0" y="0"/>
              <wp:positionH relativeFrom="page">
                <wp:posOffset>3865245</wp:posOffset>
              </wp:positionH>
              <wp:positionV relativeFrom="page">
                <wp:posOffset>547370</wp:posOffset>
              </wp:positionV>
              <wp:extent cx="2957830" cy="158115"/>
              <wp:effectExtent l="0" t="0" r="0" b="0"/>
              <wp:wrapNone/>
              <wp:docPr id="48" name="文本框 18"/>
              <wp:cNvGraphicFramePr/>
              <a:graphic xmlns:a="http://schemas.openxmlformats.org/drawingml/2006/main">
                <a:graphicData uri="http://schemas.microsoft.com/office/word/2010/wordprocessingShape">
                  <wps:wsp>
                    <wps:cNvSpPr txBox="1"/>
                    <wps:spPr>
                      <a:xfrm>
                        <a:off x="0" y="0"/>
                        <a:ext cx="2957830" cy="158115"/>
                      </a:xfrm>
                      <a:prstGeom prst="rect">
                        <a:avLst/>
                      </a:prstGeom>
                      <a:noFill/>
                      <a:ln>
                        <a:noFill/>
                      </a:ln>
                    </wps:spPr>
                    <wps:txbx>
                      <w:txbxContent>
                        <w:p>
                          <w:pPr>
                            <w:spacing w:line="249" w:lineRule="exact"/>
                            <w:ind w:left="20"/>
                            <w:rPr>
                              <w:sz w:val="21"/>
                            </w:rPr>
                          </w:pPr>
                          <w:r>
                            <w:rPr>
                              <w:rFonts w:hint="eastAsia"/>
                              <w:sz w:val="21"/>
                            </w:rPr>
                            <w:t>赤壁市泰博服饰股份有限公</w:t>
                          </w:r>
                          <w:r>
                            <w:rPr>
                              <w:sz w:val="21"/>
                            </w:rPr>
                            <w:t>突发环境事件应急预案</w:t>
                          </w:r>
                        </w:p>
                      </w:txbxContent>
                    </wps:txbx>
                    <wps:bodyPr lIns="0" tIns="0" rIns="0" bIns="0" upright="1"/>
                  </wps:wsp>
                </a:graphicData>
              </a:graphic>
            </wp:anchor>
          </w:drawing>
        </mc:Choice>
        <mc:Fallback>
          <w:pict>
            <v:shape id="文本框 18" o:spid="_x0000_s1026" o:spt="202" type="#_x0000_t202" style="position:absolute;left:0pt;margin-left:304.35pt;margin-top:43.1pt;height:12.45pt;width:232.9pt;mso-position-horizontal-relative:page;mso-position-vertical-relative:page;z-index:-251638784;mso-width-relative:page;mso-height-relative:page;" filled="f" stroked="f" coordsize="21600,21600" o:gfxdata="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nq9EdkAAAALAQAADwAAAAAAAAABACAAAAAiAAAAZHJzL2Rvd25yZXYueG1sUEsB&#10;AhQAFAAAAAgAh07iQINfbJG7AQAAdAMAAA4AAAAAAAAAAQAgAAAAKAEAAGRycy9lMm9Eb2MueG1s&#10;UEsFBgAAAAAGAAYAWQEAAFUFAAAAAA==&#10;">
              <v:fill on="f" focussize="0,0"/>
              <v:stroke on="f"/>
              <v:imagedata o:title=""/>
              <o:lock v:ext="edit" aspectratio="f"/>
              <v:textbox inset="0mm,0mm,0mm,0mm">
                <w:txbxContent>
                  <w:p>
                    <w:pPr>
                      <w:spacing w:line="249" w:lineRule="exact"/>
                      <w:ind w:left="20"/>
                      <w:rPr>
                        <w:sz w:val="21"/>
                      </w:rPr>
                    </w:pPr>
                    <w:r>
                      <w:rPr>
                        <w:rFonts w:hint="eastAsia"/>
                        <w:sz w:val="21"/>
                      </w:rPr>
                      <w:t>赤壁市泰博服饰股份有限公</w:t>
                    </w:r>
                    <w:r>
                      <w:rPr>
                        <w:sz w:val="21"/>
                      </w:rPr>
                      <w:t>突发环境事件应急预案</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1">
    <w:nsid w:val="845B5372"/>
    <w:multiLevelType w:val="multilevel"/>
    <w:tmpl w:val="845B5372"/>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2">
    <w:nsid w:val="8461FADE"/>
    <w:multiLevelType w:val="multilevel"/>
    <w:tmpl w:val="8461FADE"/>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3">
    <w:nsid w:val="8CAEB125"/>
    <w:multiLevelType w:val="multilevel"/>
    <w:tmpl w:val="8CAEB125"/>
    <w:lvl w:ilvl="0" w:tentative="0">
      <w:start w:val="1"/>
      <w:numFmt w:val="decimal"/>
      <w:lvlText w:val="%1）"/>
      <w:lvlJc w:val="left"/>
      <w:pPr>
        <w:ind w:left="240"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238" w:hanging="361"/>
      </w:pPr>
      <w:rPr>
        <w:rFonts w:hint="default"/>
        <w:lang w:val="zh-CN" w:eastAsia="zh-CN" w:bidi="zh-CN"/>
      </w:rPr>
    </w:lvl>
    <w:lvl w:ilvl="2" w:tentative="0">
      <w:start w:val="0"/>
      <w:numFmt w:val="bullet"/>
      <w:lvlText w:val="•"/>
      <w:lvlJc w:val="left"/>
      <w:pPr>
        <w:ind w:left="2237" w:hanging="361"/>
      </w:pPr>
      <w:rPr>
        <w:rFonts w:hint="default"/>
        <w:lang w:val="zh-CN" w:eastAsia="zh-CN" w:bidi="zh-CN"/>
      </w:rPr>
    </w:lvl>
    <w:lvl w:ilvl="3" w:tentative="0">
      <w:start w:val="0"/>
      <w:numFmt w:val="bullet"/>
      <w:lvlText w:val="•"/>
      <w:lvlJc w:val="left"/>
      <w:pPr>
        <w:ind w:left="3235" w:hanging="361"/>
      </w:pPr>
      <w:rPr>
        <w:rFonts w:hint="default"/>
        <w:lang w:val="zh-CN" w:eastAsia="zh-CN" w:bidi="zh-CN"/>
      </w:rPr>
    </w:lvl>
    <w:lvl w:ilvl="4" w:tentative="0">
      <w:start w:val="0"/>
      <w:numFmt w:val="bullet"/>
      <w:lvlText w:val="•"/>
      <w:lvlJc w:val="left"/>
      <w:pPr>
        <w:ind w:left="4234" w:hanging="361"/>
      </w:pPr>
      <w:rPr>
        <w:rFonts w:hint="default"/>
        <w:lang w:val="zh-CN" w:eastAsia="zh-CN" w:bidi="zh-CN"/>
      </w:rPr>
    </w:lvl>
    <w:lvl w:ilvl="5" w:tentative="0">
      <w:start w:val="0"/>
      <w:numFmt w:val="bullet"/>
      <w:lvlText w:val="•"/>
      <w:lvlJc w:val="left"/>
      <w:pPr>
        <w:ind w:left="5233" w:hanging="361"/>
      </w:pPr>
      <w:rPr>
        <w:rFonts w:hint="default"/>
        <w:lang w:val="zh-CN" w:eastAsia="zh-CN" w:bidi="zh-CN"/>
      </w:rPr>
    </w:lvl>
    <w:lvl w:ilvl="6" w:tentative="0">
      <w:start w:val="0"/>
      <w:numFmt w:val="bullet"/>
      <w:lvlText w:val="•"/>
      <w:lvlJc w:val="left"/>
      <w:pPr>
        <w:ind w:left="6231" w:hanging="361"/>
      </w:pPr>
      <w:rPr>
        <w:rFonts w:hint="default"/>
        <w:lang w:val="zh-CN" w:eastAsia="zh-CN" w:bidi="zh-CN"/>
      </w:rPr>
    </w:lvl>
    <w:lvl w:ilvl="7" w:tentative="0">
      <w:start w:val="0"/>
      <w:numFmt w:val="bullet"/>
      <w:lvlText w:val="•"/>
      <w:lvlJc w:val="left"/>
      <w:pPr>
        <w:ind w:left="7230" w:hanging="361"/>
      </w:pPr>
      <w:rPr>
        <w:rFonts w:hint="default"/>
        <w:lang w:val="zh-CN" w:eastAsia="zh-CN" w:bidi="zh-CN"/>
      </w:rPr>
    </w:lvl>
    <w:lvl w:ilvl="8" w:tentative="0">
      <w:start w:val="0"/>
      <w:numFmt w:val="bullet"/>
      <w:lvlText w:val="•"/>
      <w:lvlJc w:val="left"/>
      <w:pPr>
        <w:ind w:left="8228" w:hanging="361"/>
      </w:pPr>
      <w:rPr>
        <w:rFonts w:hint="default"/>
        <w:lang w:val="zh-CN" w:eastAsia="zh-CN" w:bidi="zh-CN"/>
      </w:rPr>
    </w:lvl>
  </w:abstractNum>
  <w:abstractNum w:abstractNumId="4">
    <w:nsid w:val="91995D4F"/>
    <w:multiLevelType w:val="multilevel"/>
    <w:tmpl w:val="91995D4F"/>
    <w:lvl w:ilvl="0" w:tentative="0">
      <w:start w:val="1"/>
      <w:numFmt w:val="decimal"/>
      <w:lvlText w:val="%1）"/>
      <w:lvlJc w:val="left"/>
      <w:pPr>
        <w:ind w:left="240" w:hanging="361"/>
        <w:jc w:val="left"/>
      </w:pPr>
      <w:rPr>
        <w:rFonts w:hint="default" w:ascii="Times New Roman" w:hAnsi="Times New Roman" w:eastAsia="Times New Roman" w:cs="Times New Roman"/>
        <w:spacing w:val="-48"/>
        <w:w w:val="100"/>
        <w:sz w:val="22"/>
        <w:szCs w:val="22"/>
        <w:lang w:val="zh-CN" w:eastAsia="zh-CN" w:bidi="zh-CN"/>
      </w:rPr>
    </w:lvl>
    <w:lvl w:ilvl="1" w:tentative="0">
      <w:start w:val="0"/>
      <w:numFmt w:val="bullet"/>
      <w:lvlText w:val="•"/>
      <w:lvlJc w:val="left"/>
      <w:pPr>
        <w:ind w:left="1238" w:hanging="361"/>
      </w:pPr>
      <w:rPr>
        <w:rFonts w:hint="default"/>
        <w:lang w:val="zh-CN" w:eastAsia="zh-CN" w:bidi="zh-CN"/>
      </w:rPr>
    </w:lvl>
    <w:lvl w:ilvl="2" w:tentative="0">
      <w:start w:val="0"/>
      <w:numFmt w:val="bullet"/>
      <w:lvlText w:val="•"/>
      <w:lvlJc w:val="left"/>
      <w:pPr>
        <w:ind w:left="2237" w:hanging="361"/>
      </w:pPr>
      <w:rPr>
        <w:rFonts w:hint="default"/>
        <w:lang w:val="zh-CN" w:eastAsia="zh-CN" w:bidi="zh-CN"/>
      </w:rPr>
    </w:lvl>
    <w:lvl w:ilvl="3" w:tentative="0">
      <w:start w:val="0"/>
      <w:numFmt w:val="bullet"/>
      <w:lvlText w:val="•"/>
      <w:lvlJc w:val="left"/>
      <w:pPr>
        <w:ind w:left="3235" w:hanging="361"/>
      </w:pPr>
      <w:rPr>
        <w:rFonts w:hint="default"/>
        <w:lang w:val="zh-CN" w:eastAsia="zh-CN" w:bidi="zh-CN"/>
      </w:rPr>
    </w:lvl>
    <w:lvl w:ilvl="4" w:tentative="0">
      <w:start w:val="0"/>
      <w:numFmt w:val="bullet"/>
      <w:lvlText w:val="•"/>
      <w:lvlJc w:val="left"/>
      <w:pPr>
        <w:ind w:left="4234" w:hanging="361"/>
      </w:pPr>
      <w:rPr>
        <w:rFonts w:hint="default"/>
        <w:lang w:val="zh-CN" w:eastAsia="zh-CN" w:bidi="zh-CN"/>
      </w:rPr>
    </w:lvl>
    <w:lvl w:ilvl="5" w:tentative="0">
      <w:start w:val="0"/>
      <w:numFmt w:val="bullet"/>
      <w:lvlText w:val="•"/>
      <w:lvlJc w:val="left"/>
      <w:pPr>
        <w:ind w:left="5233" w:hanging="361"/>
      </w:pPr>
      <w:rPr>
        <w:rFonts w:hint="default"/>
        <w:lang w:val="zh-CN" w:eastAsia="zh-CN" w:bidi="zh-CN"/>
      </w:rPr>
    </w:lvl>
    <w:lvl w:ilvl="6" w:tentative="0">
      <w:start w:val="0"/>
      <w:numFmt w:val="bullet"/>
      <w:lvlText w:val="•"/>
      <w:lvlJc w:val="left"/>
      <w:pPr>
        <w:ind w:left="6231" w:hanging="361"/>
      </w:pPr>
      <w:rPr>
        <w:rFonts w:hint="default"/>
        <w:lang w:val="zh-CN" w:eastAsia="zh-CN" w:bidi="zh-CN"/>
      </w:rPr>
    </w:lvl>
    <w:lvl w:ilvl="7" w:tentative="0">
      <w:start w:val="0"/>
      <w:numFmt w:val="bullet"/>
      <w:lvlText w:val="•"/>
      <w:lvlJc w:val="left"/>
      <w:pPr>
        <w:ind w:left="7230" w:hanging="361"/>
      </w:pPr>
      <w:rPr>
        <w:rFonts w:hint="default"/>
        <w:lang w:val="zh-CN" w:eastAsia="zh-CN" w:bidi="zh-CN"/>
      </w:rPr>
    </w:lvl>
    <w:lvl w:ilvl="8" w:tentative="0">
      <w:start w:val="0"/>
      <w:numFmt w:val="bullet"/>
      <w:lvlText w:val="•"/>
      <w:lvlJc w:val="left"/>
      <w:pPr>
        <w:ind w:left="8228" w:hanging="361"/>
      </w:pPr>
      <w:rPr>
        <w:rFonts w:hint="default"/>
        <w:lang w:val="zh-CN" w:eastAsia="zh-CN" w:bidi="zh-CN"/>
      </w:rPr>
    </w:lvl>
  </w:abstractNum>
  <w:abstractNum w:abstractNumId="5">
    <w:nsid w:val="9239341B"/>
    <w:multiLevelType w:val="multilevel"/>
    <w:tmpl w:val="9239341B"/>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6">
    <w:nsid w:val="9288B902"/>
    <w:multiLevelType w:val="multilevel"/>
    <w:tmpl w:val="9288B902"/>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7">
    <w:nsid w:val="9C8AC8EF"/>
    <w:multiLevelType w:val="multilevel"/>
    <w:tmpl w:val="9C8AC8EF"/>
    <w:lvl w:ilvl="0" w:tentative="0">
      <w:start w:val="1"/>
      <w:numFmt w:val="decimal"/>
      <w:lvlText w:val="（%1）"/>
      <w:lvlJc w:val="left"/>
      <w:pPr>
        <w:ind w:left="240"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1238" w:hanging="601"/>
      </w:pPr>
      <w:rPr>
        <w:rFonts w:hint="default"/>
        <w:lang w:val="zh-CN" w:eastAsia="zh-CN" w:bidi="zh-CN"/>
      </w:rPr>
    </w:lvl>
    <w:lvl w:ilvl="2" w:tentative="0">
      <w:start w:val="0"/>
      <w:numFmt w:val="bullet"/>
      <w:lvlText w:val="•"/>
      <w:lvlJc w:val="left"/>
      <w:pPr>
        <w:ind w:left="2237" w:hanging="601"/>
      </w:pPr>
      <w:rPr>
        <w:rFonts w:hint="default"/>
        <w:lang w:val="zh-CN" w:eastAsia="zh-CN" w:bidi="zh-CN"/>
      </w:rPr>
    </w:lvl>
    <w:lvl w:ilvl="3" w:tentative="0">
      <w:start w:val="0"/>
      <w:numFmt w:val="bullet"/>
      <w:lvlText w:val="•"/>
      <w:lvlJc w:val="left"/>
      <w:pPr>
        <w:ind w:left="3235" w:hanging="601"/>
      </w:pPr>
      <w:rPr>
        <w:rFonts w:hint="default"/>
        <w:lang w:val="zh-CN" w:eastAsia="zh-CN" w:bidi="zh-CN"/>
      </w:rPr>
    </w:lvl>
    <w:lvl w:ilvl="4" w:tentative="0">
      <w:start w:val="0"/>
      <w:numFmt w:val="bullet"/>
      <w:lvlText w:val="•"/>
      <w:lvlJc w:val="left"/>
      <w:pPr>
        <w:ind w:left="4234" w:hanging="601"/>
      </w:pPr>
      <w:rPr>
        <w:rFonts w:hint="default"/>
        <w:lang w:val="zh-CN" w:eastAsia="zh-CN" w:bidi="zh-CN"/>
      </w:rPr>
    </w:lvl>
    <w:lvl w:ilvl="5" w:tentative="0">
      <w:start w:val="0"/>
      <w:numFmt w:val="bullet"/>
      <w:lvlText w:val="•"/>
      <w:lvlJc w:val="left"/>
      <w:pPr>
        <w:ind w:left="5233" w:hanging="601"/>
      </w:pPr>
      <w:rPr>
        <w:rFonts w:hint="default"/>
        <w:lang w:val="zh-CN" w:eastAsia="zh-CN" w:bidi="zh-CN"/>
      </w:rPr>
    </w:lvl>
    <w:lvl w:ilvl="6" w:tentative="0">
      <w:start w:val="0"/>
      <w:numFmt w:val="bullet"/>
      <w:lvlText w:val="•"/>
      <w:lvlJc w:val="left"/>
      <w:pPr>
        <w:ind w:left="6231" w:hanging="601"/>
      </w:pPr>
      <w:rPr>
        <w:rFonts w:hint="default"/>
        <w:lang w:val="zh-CN" w:eastAsia="zh-CN" w:bidi="zh-CN"/>
      </w:rPr>
    </w:lvl>
    <w:lvl w:ilvl="7" w:tentative="0">
      <w:start w:val="0"/>
      <w:numFmt w:val="bullet"/>
      <w:lvlText w:val="•"/>
      <w:lvlJc w:val="left"/>
      <w:pPr>
        <w:ind w:left="7230" w:hanging="601"/>
      </w:pPr>
      <w:rPr>
        <w:rFonts w:hint="default"/>
        <w:lang w:val="zh-CN" w:eastAsia="zh-CN" w:bidi="zh-CN"/>
      </w:rPr>
    </w:lvl>
    <w:lvl w:ilvl="8" w:tentative="0">
      <w:start w:val="0"/>
      <w:numFmt w:val="bullet"/>
      <w:lvlText w:val="•"/>
      <w:lvlJc w:val="left"/>
      <w:pPr>
        <w:ind w:left="8228" w:hanging="601"/>
      </w:pPr>
      <w:rPr>
        <w:rFonts w:hint="default"/>
        <w:lang w:val="zh-CN" w:eastAsia="zh-CN" w:bidi="zh-CN"/>
      </w:rPr>
    </w:lvl>
  </w:abstractNum>
  <w:abstractNum w:abstractNumId="8">
    <w:nsid w:val="A0F05207"/>
    <w:multiLevelType w:val="multilevel"/>
    <w:tmpl w:val="A0F05207"/>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9">
    <w:nsid w:val="B0F1ACD9"/>
    <w:multiLevelType w:val="multilevel"/>
    <w:tmpl w:val="B0F1ACD9"/>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10">
    <w:nsid w:val="B23A94A9"/>
    <w:multiLevelType w:val="multilevel"/>
    <w:tmpl w:val="B23A94A9"/>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11">
    <w:nsid w:val="B53F3350"/>
    <w:multiLevelType w:val="multilevel"/>
    <w:tmpl w:val="B53F3350"/>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12">
    <w:nsid w:val="B5E306ED"/>
    <w:multiLevelType w:val="multilevel"/>
    <w:tmpl w:val="B5E306ED"/>
    <w:lvl w:ilvl="0" w:tentative="0">
      <w:start w:val="10"/>
      <w:numFmt w:val="decimal"/>
      <w:lvlText w:val="%1"/>
      <w:lvlJc w:val="left"/>
      <w:pPr>
        <w:ind w:left="1200" w:hanging="540"/>
        <w:jc w:val="left"/>
      </w:pPr>
      <w:rPr>
        <w:rFonts w:hint="default"/>
        <w:lang w:val="zh-CN" w:eastAsia="zh-CN" w:bidi="zh-CN"/>
      </w:rPr>
    </w:lvl>
    <w:lvl w:ilvl="1" w:tentative="0">
      <w:start w:val="1"/>
      <w:numFmt w:val="decimal"/>
      <w:lvlText w:val="%1.%2"/>
      <w:lvlJc w:val="left"/>
      <w:pPr>
        <w:ind w:left="1200" w:hanging="540"/>
        <w:jc w:val="left"/>
      </w:pPr>
      <w:rPr>
        <w:rFonts w:hint="default" w:ascii="Times New Roman" w:hAnsi="Times New Roman" w:eastAsia="Times New Roman" w:cs="Times New Roman"/>
        <w:w w:val="100"/>
        <w:sz w:val="24"/>
        <w:szCs w:val="24"/>
        <w:lang w:val="zh-CN" w:eastAsia="zh-CN" w:bidi="zh-CN"/>
      </w:rPr>
    </w:lvl>
    <w:lvl w:ilvl="2" w:tentative="0">
      <w:start w:val="0"/>
      <w:numFmt w:val="bullet"/>
      <w:lvlText w:val="•"/>
      <w:lvlJc w:val="left"/>
      <w:pPr>
        <w:ind w:left="3005" w:hanging="540"/>
      </w:pPr>
      <w:rPr>
        <w:rFonts w:hint="default"/>
        <w:lang w:val="zh-CN" w:eastAsia="zh-CN" w:bidi="zh-CN"/>
      </w:rPr>
    </w:lvl>
    <w:lvl w:ilvl="3" w:tentative="0">
      <w:start w:val="0"/>
      <w:numFmt w:val="bullet"/>
      <w:lvlText w:val="•"/>
      <w:lvlJc w:val="left"/>
      <w:pPr>
        <w:ind w:left="3907" w:hanging="540"/>
      </w:pPr>
      <w:rPr>
        <w:rFonts w:hint="default"/>
        <w:lang w:val="zh-CN" w:eastAsia="zh-CN" w:bidi="zh-CN"/>
      </w:rPr>
    </w:lvl>
    <w:lvl w:ilvl="4" w:tentative="0">
      <w:start w:val="0"/>
      <w:numFmt w:val="bullet"/>
      <w:lvlText w:val="•"/>
      <w:lvlJc w:val="left"/>
      <w:pPr>
        <w:ind w:left="4810" w:hanging="540"/>
      </w:pPr>
      <w:rPr>
        <w:rFonts w:hint="default"/>
        <w:lang w:val="zh-CN" w:eastAsia="zh-CN" w:bidi="zh-CN"/>
      </w:rPr>
    </w:lvl>
    <w:lvl w:ilvl="5" w:tentative="0">
      <w:start w:val="0"/>
      <w:numFmt w:val="bullet"/>
      <w:lvlText w:val="•"/>
      <w:lvlJc w:val="left"/>
      <w:pPr>
        <w:ind w:left="5713" w:hanging="540"/>
      </w:pPr>
      <w:rPr>
        <w:rFonts w:hint="default"/>
        <w:lang w:val="zh-CN" w:eastAsia="zh-CN" w:bidi="zh-CN"/>
      </w:rPr>
    </w:lvl>
    <w:lvl w:ilvl="6" w:tentative="0">
      <w:start w:val="0"/>
      <w:numFmt w:val="bullet"/>
      <w:lvlText w:val="•"/>
      <w:lvlJc w:val="left"/>
      <w:pPr>
        <w:ind w:left="6615" w:hanging="540"/>
      </w:pPr>
      <w:rPr>
        <w:rFonts w:hint="default"/>
        <w:lang w:val="zh-CN" w:eastAsia="zh-CN" w:bidi="zh-CN"/>
      </w:rPr>
    </w:lvl>
    <w:lvl w:ilvl="7" w:tentative="0">
      <w:start w:val="0"/>
      <w:numFmt w:val="bullet"/>
      <w:lvlText w:val="•"/>
      <w:lvlJc w:val="left"/>
      <w:pPr>
        <w:ind w:left="7518" w:hanging="540"/>
      </w:pPr>
      <w:rPr>
        <w:rFonts w:hint="default"/>
        <w:lang w:val="zh-CN" w:eastAsia="zh-CN" w:bidi="zh-CN"/>
      </w:rPr>
    </w:lvl>
    <w:lvl w:ilvl="8" w:tentative="0">
      <w:start w:val="0"/>
      <w:numFmt w:val="bullet"/>
      <w:lvlText w:val="•"/>
      <w:lvlJc w:val="left"/>
      <w:pPr>
        <w:ind w:left="8420" w:hanging="540"/>
      </w:pPr>
      <w:rPr>
        <w:rFonts w:hint="default"/>
        <w:lang w:val="zh-CN" w:eastAsia="zh-CN" w:bidi="zh-CN"/>
      </w:rPr>
    </w:lvl>
  </w:abstractNum>
  <w:abstractNum w:abstractNumId="13">
    <w:nsid w:val="B8CEF35B"/>
    <w:multiLevelType w:val="multilevel"/>
    <w:tmpl w:val="B8CEF35B"/>
    <w:lvl w:ilvl="0" w:tentative="0">
      <w:start w:val="1"/>
      <w:numFmt w:val="decimal"/>
      <w:lvlText w:val="%1）"/>
      <w:lvlJc w:val="left"/>
      <w:pPr>
        <w:ind w:left="240" w:hanging="361"/>
        <w:jc w:val="left"/>
      </w:pPr>
      <w:rPr>
        <w:rFonts w:hint="default" w:ascii="Times New Roman" w:hAnsi="Times New Roman" w:eastAsia="Times New Roman" w:cs="Times New Roman"/>
        <w:spacing w:val="-101"/>
        <w:w w:val="100"/>
        <w:sz w:val="22"/>
        <w:szCs w:val="22"/>
        <w:lang w:val="zh-CN" w:eastAsia="zh-CN" w:bidi="zh-CN"/>
      </w:rPr>
    </w:lvl>
    <w:lvl w:ilvl="1" w:tentative="0">
      <w:start w:val="0"/>
      <w:numFmt w:val="bullet"/>
      <w:lvlText w:val="•"/>
      <w:lvlJc w:val="left"/>
      <w:pPr>
        <w:ind w:left="1238" w:hanging="361"/>
      </w:pPr>
      <w:rPr>
        <w:rFonts w:hint="default"/>
        <w:lang w:val="zh-CN" w:eastAsia="zh-CN" w:bidi="zh-CN"/>
      </w:rPr>
    </w:lvl>
    <w:lvl w:ilvl="2" w:tentative="0">
      <w:start w:val="0"/>
      <w:numFmt w:val="bullet"/>
      <w:lvlText w:val="•"/>
      <w:lvlJc w:val="left"/>
      <w:pPr>
        <w:ind w:left="2237" w:hanging="361"/>
      </w:pPr>
      <w:rPr>
        <w:rFonts w:hint="default"/>
        <w:lang w:val="zh-CN" w:eastAsia="zh-CN" w:bidi="zh-CN"/>
      </w:rPr>
    </w:lvl>
    <w:lvl w:ilvl="3" w:tentative="0">
      <w:start w:val="0"/>
      <w:numFmt w:val="bullet"/>
      <w:lvlText w:val="•"/>
      <w:lvlJc w:val="left"/>
      <w:pPr>
        <w:ind w:left="3235" w:hanging="361"/>
      </w:pPr>
      <w:rPr>
        <w:rFonts w:hint="default"/>
        <w:lang w:val="zh-CN" w:eastAsia="zh-CN" w:bidi="zh-CN"/>
      </w:rPr>
    </w:lvl>
    <w:lvl w:ilvl="4" w:tentative="0">
      <w:start w:val="0"/>
      <w:numFmt w:val="bullet"/>
      <w:lvlText w:val="•"/>
      <w:lvlJc w:val="left"/>
      <w:pPr>
        <w:ind w:left="4234" w:hanging="361"/>
      </w:pPr>
      <w:rPr>
        <w:rFonts w:hint="default"/>
        <w:lang w:val="zh-CN" w:eastAsia="zh-CN" w:bidi="zh-CN"/>
      </w:rPr>
    </w:lvl>
    <w:lvl w:ilvl="5" w:tentative="0">
      <w:start w:val="0"/>
      <w:numFmt w:val="bullet"/>
      <w:lvlText w:val="•"/>
      <w:lvlJc w:val="left"/>
      <w:pPr>
        <w:ind w:left="5233" w:hanging="361"/>
      </w:pPr>
      <w:rPr>
        <w:rFonts w:hint="default"/>
        <w:lang w:val="zh-CN" w:eastAsia="zh-CN" w:bidi="zh-CN"/>
      </w:rPr>
    </w:lvl>
    <w:lvl w:ilvl="6" w:tentative="0">
      <w:start w:val="0"/>
      <w:numFmt w:val="bullet"/>
      <w:lvlText w:val="•"/>
      <w:lvlJc w:val="left"/>
      <w:pPr>
        <w:ind w:left="6231" w:hanging="361"/>
      </w:pPr>
      <w:rPr>
        <w:rFonts w:hint="default"/>
        <w:lang w:val="zh-CN" w:eastAsia="zh-CN" w:bidi="zh-CN"/>
      </w:rPr>
    </w:lvl>
    <w:lvl w:ilvl="7" w:tentative="0">
      <w:start w:val="0"/>
      <w:numFmt w:val="bullet"/>
      <w:lvlText w:val="•"/>
      <w:lvlJc w:val="left"/>
      <w:pPr>
        <w:ind w:left="7230" w:hanging="361"/>
      </w:pPr>
      <w:rPr>
        <w:rFonts w:hint="default"/>
        <w:lang w:val="zh-CN" w:eastAsia="zh-CN" w:bidi="zh-CN"/>
      </w:rPr>
    </w:lvl>
    <w:lvl w:ilvl="8" w:tentative="0">
      <w:start w:val="0"/>
      <w:numFmt w:val="bullet"/>
      <w:lvlText w:val="•"/>
      <w:lvlJc w:val="left"/>
      <w:pPr>
        <w:ind w:left="8228" w:hanging="361"/>
      </w:pPr>
      <w:rPr>
        <w:rFonts w:hint="default"/>
        <w:lang w:val="zh-CN" w:eastAsia="zh-CN" w:bidi="zh-CN"/>
      </w:rPr>
    </w:lvl>
  </w:abstractNum>
  <w:abstractNum w:abstractNumId="14">
    <w:nsid w:val="BB64CFA9"/>
    <w:multiLevelType w:val="multilevel"/>
    <w:tmpl w:val="BB64CFA9"/>
    <w:lvl w:ilvl="0" w:tentative="0">
      <w:start w:val="1"/>
      <w:numFmt w:val="decimal"/>
      <w:lvlText w:val="%1）"/>
      <w:lvlJc w:val="left"/>
      <w:pPr>
        <w:ind w:left="1081"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994" w:hanging="361"/>
      </w:pPr>
      <w:rPr>
        <w:rFonts w:hint="default"/>
        <w:lang w:val="zh-CN" w:eastAsia="zh-CN" w:bidi="zh-CN"/>
      </w:rPr>
    </w:lvl>
    <w:lvl w:ilvl="2" w:tentative="0">
      <w:start w:val="0"/>
      <w:numFmt w:val="bullet"/>
      <w:lvlText w:val="•"/>
      <w:lvlJc w:val="left"/>
      <w:pPr>
        <w:ind w:left="2909" w:hanging="361"/>
      </w:pPr>
      <w:rPr>
        <w:rFonts w:hint="default"/>
        <w:lang w:val="zh-CN" w:eastAsia="zh-CN" w:bidi="zh-CN"/>
      </w:rPr>
    </w:lvl>
    <w:lvl w:ilvl="3" w:tentative="0">
      <w:start w:val="0"/>
      <w:numFmt w:val="bullet"/>
      <w:lvlText w:val="•"/>
      <w:lvlJc w:val="left"/>
      <w:pPr>
        <w:ind w:left="3823" w:hanging="361"/>
      </w:pPr>
      <w:rPr>
        <w:rFonts w:hint="default"/>
        <w:lang w:val="zh-CN" w:eastAsia="zh-CN" w:bidi="zh-CN"/>
      </w:rPr>
    </w:lvl>
    <w:lvl w:ilvl="4" w:tentative="0">
      <w:start w:val="0"/>
      <w:numFmt w:val="bullet"/>
      <w:lvlText w:val="•"/>
      <w:lvlJc w:val="left"/>
      <w:pPr>
        <w:ind w:left="4738" w:hanging="361"/>
      </w:pPr>
      <w:rPr>
        <w:rFonts w:hint="default"/>
        <w:lang w:val="zh-CN" w:eastAsia="zh-CN" w:bidi="zh-CN"/>
      </w:rPr>
    </w:lvl>
    <w:lvl w:ilvl="5" w:tentative="0">
      <w:start w:val="0"/>
      <w:numFmt w:val="bullet"/>
      <w:lvlText w:val="•"/>
      <w:lvlJc w:val="left"/>
      <w:pPr>
        <w:ind w:left="5653" w:hanging="361"/>
      </w:pPr>
      <w:rPr>
        <w:rFonts w:hint="default"/>
        <w:lang w:val="zh-CN" w:eastAsia="zh-CN" w:bidi="zh-CN"/>
      </w:rPr>
    </w:lvl>
    <w:lvl w:ilvl="6" w:tentative="0">
      <w:start w:val="0"/>
      <w:numFmt w:val="bullet"/>
      <w:lvlText w:val="•"/>
      <w:lvlJc w:val="left"/>
      <w:pPr>
        <w:ind w:left="6567" w:hanging="361"/>
      </w:pPr>
      <w:rPr>
        <w:rFonts w:hint="default"/>
        <w:lang w:val="zh-CN" w:eastAsia="zh-CN" w:bidi="zh-CN"/>
      </w:rPr>
    </w:lvl>
    <w:lvl w:ilvl="7" w:tentative="0">
      <w:start w:val="0"/>
      <w:numFmt w:val="bullet"/>
      <w:lvlText w:val="•"/>
      <w:lvlJc w:val="left"/>
      <w:pPr>
        <w:ind w:left="7482" w:hanging="361"/>
      </w:pPr>
      <w:rPr>
        <w:rFonts w:hint="default"/>
        <w:lang w:val="zh-CN" w:eastAsia="zh-CN" w:bidi="zh-CN"/>
      </w:rPr>
    </w:lvl>
    <w:lvl w:ilvl="8" w:tentative="0">
      <w:start w:val="0"/>
      <w:numFmt w:val="bullet"/>
      <w:lvlText w:val="•"/>
      <w:lvlJc w:val="left"/>
      <w:pPr>
        <w:ind w:left="8396" w:hanging="361"/>
      </w:pPr>
      <w:rPr>
        <w:rFonts w:hint="default"/>
        <w:lang w:val="zh-CN" w:eastAsia="zh-CN" w:bidi="zh-CN"/>
      </w:rPr>
    </w:lvl>
  </w:abstractNum>
  <w:abstractNum w:abstractNumId="15">
    <w:nsid w:val="BE923771"/>
    <w:multiLevelType w:val="multilevel"/>
    <w:tmpl w:val="BE923771"/>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16">
    <w:nsid w:val="BF205925"/>
    <w:multiLevelType w:val="multilevel"/>
    <w:tmpl w:val="BF205925"/>
    <w:lvl w:ilvl="0" w:tentative="0">
      <w:start w:val="4"/>
      <w:numFmt w:val="decimal"/>
      <w:lvlText w:val="%1"/>
      <w:lvlJc w:val="left"/>
      <w:pPr>
        <w:ind w:left="1080" w:hanging="420"/>
        <w:jc w:val="left"/>
      </w:pPr>
      <w:rPr>
        <w:rFonts w:hint="default"/>
        <w:lang w:val="zh-CN" w:eastAsia="zh-CN" w:bidi="zh-CN"/>
      </w:rPr>
    </w:lvl>
    <w:lvl w:ilvl="1" w:tentative="0">
      <w:start w:val="2"/>
      <w:numFmt w:val="decimal"/>
      <w:lvlText w:val="%1.%2"/>
      <w:lvlJc w:val="left"/>
      <w:pPr>
        <w:ind w:left="1080" w:hanging="420"/>
        <w:jc w:val="left"/>
      </w:pPr>
      <w:rPr>
        <w:rFonts w:hint="default" w:ascii="Times New Roman" w:hAnsi="Times New Roman" w:eastAsia="Times New Roman" w:cs="Times New Roman"/>
        <w:w w:val="100"/>
        <w:sz w:val="24"/>
        <w:szCs w:val="24"/>
        <w:lang w:val="zh-CN" w:eastAsia="zh-CN" w:bidi="zh-CN"/>
      </w:rPr>
    </w:lvl>
    <w:lvl w:ilvl="2" w:tentative="0">
      <w:start w:val="1"/>
      <w:numFmt w:val="decimal"/>
      <w:lvlText w:val="%1.%2.%3"/>
      <w:lvlJc w:val="left"/>
      <w:pPr>
        <w:ind w:left="1620" w:hanging="540"/>
        <w:jc w:val="left"/>
      </w:pPr>
      <w:rPr>
        <w:rFonts w:hint="default" w:ascii="Times New Roman" w:hAnsi="Times New Roman" w:eastAsia="Times New Roman" w:cs="Times New Roman"/>
        <w:w w:val="100"/>
        <w:sz w:val="24"/>
        <w:szCs w:val="24"/>
        <w:lang w:val="zh-CN" w:eastAsia="zh-CN" w:bidi="zh-CN"/>
      </w:rPr>
    </w:lvl>
    <w:lvl w:ilvl="3" w:tentative="0">
      <w:start w:val="0"/>
      <w:numFmt w:val="bullet"/>
      <w:lvlText w:val="•"/>
      <w:lvlJc w:val="left"/>
      <w:pPr>
        <w:ind w:left="3532" w:hanging="540"/>
      </w:pPr>
      <w:rPr>
        <w:rFonts w:hint="default"/>
        <w:lang w:val="zh-CN" w:eastAsia="zh-CN" w:bidi="zh-CN"/>
      </w:rPr>
    </w:lvl>
    <w:lvl w:ilvl="4" w:tentative="0">
      <w:start w:val="0"/>
      <w:numFmt w:val="bullet"/>
      <w:lvlText w:val="•"/>
      <w:lvlJc w:val="left"/>
      <w:pPr>
        <w:ind w:left="4488" w:hanging="540"/>
      </w:pPr>
      <w:rPr>
        <w:rFonts w:hint="default"/>
        <w:lang w:val="zh-CN" w:eastAsia="zh-CN" w:bidi="zh-CN"/>
      </w:rPr>
    </w:lvl>
    <w:lvl w:ilvl="5" w:tentative="0">
      <w:start w:val="0"/>
      <w:numFmt w:val="bullet"/>
      <w:lvlText w:val="•"/>
      <w:lvlJc w:val="left"/>
      <w:pPr>
        <w:ind w:left="5444" w:hanging="540"/>
      </w:pPr>
      <w:rPr>
        <w:rFonts w:hint="default"/>
        <w:lang w:val="zh-CN" w:eastAsia="zh-CN" w:bidi="zh-CN"/>
      </w:rPr>
    </w:lvl>
    <w:lvl w:ilvl="6" w:tentative="0">
      <w:start w:val="0"/>
      <w:numFmt w:val="bullet"/>
      <w:lvlText w:val="•"/>
      <w:lvlJc w:val="left"/>
      <w:pPr>
        <w:ind w:left="6401" w:hanging="540"/>
      </w:pPr>
      <w:rPr>
        <w:rFonts w:hint="default"/>
        <w:lang w:val="zh-CN" w:eastAsia="zh-CN" w:bidi="zh-CN"/>
      </w:rPr>
    </w:lvl>
    <w:lvl w:ilvl="7" w:tentative="0">
      <w:start w:val="0"/>
      <w:numFmt w:val="bullet"/>
      <w:lvlText w:val="•"/>
      <w:lvlJc w:val="left"/>
      <w:pPr>
        <w:ind w:left="7357" w:hanging="540"/>
      </w:pPr>
      <w:rPr>
        <w:rFonts w:hint="default"/>
        <w:lang w:val="zh-CN" w:eastAsia="zh-CN" w:bidi="zh-CN"/>
      </w:rPr>
    </w:lvl>
    <w:lvl w:ilvl="8" w:tentative="0">
      <w:start w:val="0"/>
      <w:numFmt w:val="bullet"/>
      <w:lvlText w:val="•"/>
      <w:lvlJc w:val="left"/>
      <w:pPr>
        <w:ind w:left="8313" w:hanging="540"/>
      </w:pPr>
      <w:rPr>
        <w:rFonts w:hint="default"/>
        <w:lang w:val="zh-CN" w:eastAsia="zh-CN" w:bidi="zh-CN"/>
      </w:rPr>
    </w:lvl>
  </w:abstractNum>
  <w:abstractNum w:abstractNumId="17">
    <w:nsid w:val="C0915F4F"/>
    <w:multiLevelType w:val="multilevel"/>
    <w:tmpl w:val="C0915F4F"/>
    <w:lvl w:ilvl="0" w:tentative="0">
      <w:start w:val="1"/>
      <w:numFmt w:val="decimal"/>
      <w:lvlText w:val="（%1）"/>
      <w:lvlJc w:val="left"/>
      <w:pPr>
        <w:ind w:left="240" w:hanging="601"/>
        <w:jc w:val="left"/>
      </w:pPr>
      <w:rPr>
        <w:rFonts w:hint="default" w:ascii="仿宋" w:hAnsi="仿宋" w:eastAsia="仿宋" w:cs="仿宋"/>
        <w:spacing w:val="-108"/>
        <w:w w:val="100"/>
        <w:sz w:val="22"/>
        <w:szCs w:val="22"/>
        <w:lang w:val="zh-CN" w:eastAsia="zh-CN" w:bidi="zh-CN"/>
      </w:rPr>
    </w:lvl>
    <w:lvl w:ilvl="1" w:tentative="0">
      <w:start w:val="0"/>
      <w:numFmt w:val="bullet"/>
      <w:lvlText w:val="•"/>
      <w:lvlJc w:val="left"/>
      <w:pPr>
        <w:ind w:left="1238" w:hanging="601"/>
      </w:pPr>
      <w:rPr>
        <w:rFonts w:hint="default"/>
        <w:lang w:val="zh-CN" w:eastAsia="zh-CN" w:bidi="zh-CN"/>
      </w:rPr>
    </w:lvl>
    <w:lvl w:ilvl="2" w:tentative="0">
      <w:start w:val="0"/>
      <w:numFmt w:val="bullet"/>
      <w:lvlText w:val="•"/>
      <w:lvlJc w:val="left"/>
      <w:pPr>
        <w:ind w:left="2237" w:hanging="601"/>
      </w:pPr>
      <w:rPr>
        <w:rFonts w:hint="default"/>
        <w:lang w:val="zh-CN" w:eastAsia="zh-CN" w:bidi="zh-CN"/>
      </w:rPr>
    </w:lvl>
    <w:lvl w:ilvl="3" w:tentative="0">
      <w:start w:val="0"/>
      <w:numFmt w:val="bullet"/>
      <w:lvlText w:val="•"/>
      <w:lvlJc w:val="left"/>
      <w:pPr>
        <w:ind w:left="3235" w:hanging="601"/>
      </w:pPr>
      <w:rPr>
        <w:rFonts w:hint="default"/>
        <w:lang w:val="zh-CN" w:eastAsia="zh-CN" w:bidi="zh-CN"/>
      </w:rPr>
    </w:lvl>
    <w:lvl w:ilvl="4" w:tentative="0">
      <w:start w:val="0"/>
      <w:numFmt w:val="bullet"/>
      <w:lvlText w:val="•"/>
      <w:lvlJc w:val="left"/>
      <w:pPr>
        <w:ind w:left="4234" w:hanging="601"/>
      </w:pPr>
      <w:rPr>
        <w:rFonts w:hint="default"/>
        <w:lang w:val="zh-CN" w:eastAsia="zh-CN" w:bidi="zh-CN"/>
      </w:rPr>
    </w:lvl>
    <w:lvl w:ilvl="5" w:tentative="0">
      <w:start w:val="0"/>
      <w:numFmt w:val="bullet"/>
      <w:lvlText w:val="•"/>
      <w:lvlJc w:val="left"/>
      <w:pPr>
        <w:ind w:left="5233" w:hanging="601"/>
      </w:pPr>
      <w:rPr>
        <w:rFonts w:hint="default"/>
        <w:lang w:val="zh-CN" w:eastAsia="zh-CN" w:bidi="zh-CN"/>
      </w:rPr>
    </w:lvl>
    <w:lvl w:ilvl="6" w:tentative="0">
      <w:start w:val="0"/>
      <w:numFmt w:val="bullet"/>
      <w:lvlText w:val="•"/>
      <w:lvlJc w:val="left"/>
      <w:pPr>
        <w:ind w:left="6231" w:hanging="601"/>
      </w:pPr>
      <w:rPr>
        <w:rFonts w:hint="default"/>
        <w:lang w:val="zh-CN" w:eastAsia="zh-CN" w:bidi="zh-CN"/>
      </w:rPr>
    </w:lvl>
    <w:lvl w:ilvl="7" w:tentative="0">
      <w:start w:val="0"/>
      <w:numFmt w:val="bullet"/>
      <w:lvlText w:val="•"/>
      <w:lvlJc w:val="left"/>
      <w:pPr>
        <w:ind w:left="7230" w:hanging="601"/>
      </w:pPr>
      <w:rPr>
        <w:rFonts w:hint="default"/>
        <w:lang w:val="zh-CN" w:eastAsia="zh-CN" w:bidi="zh-CN"/>
      </w:rPr>
    </w:lvl>
    <w:lvl w:ilvl="8" w:tentative="0">
      <w:start w:val="0"/>
      <w:numFmt w:val="bullet"/>
      <w:lvlText w:val="•"/>
      <w:lvlJc w:val="left"/>
      <w:pPr>
        <w:ind w:left="8228" w:hanging="601"/>
      </w:pPr>
      <w:rPr>
        <w:rFonts w:hint="default"/>
        <w:lang w:val="zh-CN" w:eastAsia="zh-CN" w:bidi="zh-CN"/>
      </w:rPr>
    </w:lvl>
  </w:abstractNum>
  <w:abstractNum w:abstractNumId="18">
    <w:nsid w:val="C8879AEF"/>
    <w:multiLevelType w:val="multilevel"/>
    <w:tmpl w:val="C8879AEF"/>
    <w:lvl w:ilvl="0" w:tentative="0">
      <w:start w:val="1"/>
      <w:numFmt w:val="decimal"/>
      <w:lvlText w:val="（%1）"/>
      <w:lvlJc w:val="left"/>
      <w:pPr>
        <w:ind w:left="1321" w:hanging="601"/>
        <w:jc w:val="left"/>
      </w:pPr>
      <w:rPr>
        <w:rFonts w:hint="default" w:ascii="仿宋" w:hAnsi="仿宋" w:eastAsia="仿宋" w:cs="仿宋"/>
        <w:spacing w:val="-1"/>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19">
    <w:nsid w:val="CF092B84"/>
    <w:multiLevelType w:val="multilevel"/>
    <w:tmpl w:val="CF092B84"/>
    <w:lvl w:ilvl="0" w:tentative="0">
      <w:start w:val="1"/>
      <w:numFmt w:val="decimal"/>
      <w:lvlText w:val="%1"/>
      <w:lvlJc w:val="left"/>
      <w:pPr>
        <w:ind w:left="420" w:hanging="180"/>
        <w:jc w:val="left"/>
      </w:pPr>
      <w:rPr>
        <w:rFonts w:hint="default" w:ascii="Times New Roman" w:hAnsi="Times New Roman" w:eastAsia="Times New Roman" w:cs="Times New Roman"/>
        <w:b/>
        <w:bCs/>
        <w:w w:val="99"/>
        <w:sz w:val="24"/>
        <w:szCs w:val="24"/>
        <w:lang w:val="zh-CN" w:eastAsia="zh-CN" w:bidi="zh-CN"/>
      </w:rPr>
    </w:lvl>
    <w:lvl w:ilvl="1" w:tentative="0">
      <w:start w:val="1"/>
      <w:numFmt w:val="decimal"/>
      <w:lvlText w:val="%1.%2"/>
      <w:lvlJc w:val="left"/>
      <w:pPr>
        <w:ind w:left="1080" w:hanging="420"/>
        <w:jc w:val="left"/>
      </w:pPr>
      <w:rPr>
        <w:rFonts w:hint="default" w:ascii="Times New Roman" w:hAnsi="Times New Roman" w:eastAsia="Times New Roman" w:cs="Times New Roman"/>
        <w:w w:val="100"/>
        <w:sz w:val="24"/>
        <w:szCs w:val="24"/>
        <w:lang w:val="zh-CN" w:eastAsia="zh-CN" w:bidi="zh-CN"/>
      </w:rPr>
    </w:lvl>
    <w:lvl w:ilvl="2" w:tentative="0">
      <w:start w:val="1"/>
      <w:numFmt w:val="decimal"/>
      <w:lvlText w:val="%1.%2.%3"/>
      <w:lvlJc w:val="left"/>
      <w:pPr>
        <w:ind w:left="1620" w:hanging="540"/>
        <w:jc w:val="left"/>
      </w:pPr>
      <w:rPr>
        <w:rFonts w:hint="default" w:ascii="Times New Roman" w:hAnsi="Times New Roman" w:eastAsia="Times New Roman" w:cs="Times New Roman"/>
        <w:w w:val="100"/>
        <w:sz w:val="24"/>
        <w:szCs w:val="24"/>
        <w:lang w:val="zh-CN" w:eastAsia="zh-CN" w:bidi="zh-CN"/>
      </w:rPr>
    </w:lvl>
    <w:lvl w:ilvl="3" w:tentative="0">
      <w:start w:val="0"/>
      <w:numFmt w:val="bullet"/>
      <w:lvlText w:val="•"/>
      <w:lvlJc w:val="left"/>
      <w:pPr>
        <w:ind w:left="1620" w:hanging="540"/>
      </w:pPr>
      <w:rPr>
        <w:rFonts w:hint="default"/>
        <w:lang w:val="zh-CN" w:eastAsia="zh-CN" w:bidi="zh-CN"/>
      </w:rPr>
    </w:lvl>
    <w:lvl w:ilvl="4" w:tentative="0">
      <w:start w:val="0"/>
      <w:numFmt w:val="bullet"/>
      <w:lvlText w:val="•"/>
      <w:lvlJc w:val="left"/>
      <w:pPr>
        <w:ind w:left="1680" w:hanging="540"/>
      </w:pPr>
      <w:rPr>
        <w:rFonts w:hint="default"/>
        <w:lang w:val="zh-CN" w:eastAsia="zh-CN" w:bidi="zh-CN"/>
      </w:rPr>
    </w:lvl>
    <w:lvl w:ilvl="5" w:tentative="0">
      <w:start w:val="0"/>
      <w:numFmt w:val="bullet"/>
      <w:lvlText w:val="•"/>
      <w:lvlJc w:val="left"/>
      <w:pPr>
        <w:ind w:left="3104" w:hanging="540"/>
      </w:pPr>
      <w:rPr>
        <w:rFonts w:hint="default"/>
        <w:lang w:val="zh-CN" w:eastAsia="zh-CN" w:bidi="zh-CN"/>
      </w:rPr>
    </w:lvl>
    <w:lvl w:ilvl="6" w:tentative="0">
      <w:start w:val="0"/>
      <w:numFmt w:val="bullet"/>
      <w:lvlText w:val="•"/>
      <w:lvlJc w:val="left"/>
      <w:pPr>
        <w:ind w:left="4528" w:hanging="540"/>
      </w:pPr>
      <w:rPr>
        <w:rFonts w:hint="default"/>
        <w:lang w:val="zh-CN" w:eastAsia="zh-CN" w:bidi="zh-CN"/>
      </w:rPr>
    </w:lvl>
    <w:lvl w:ilvl="7" w:tentative="0">
      <w:start w:val="0"/>
      <w:numFmt w:val="bullet"/>
      <w:lvlText w:val="•"/>
      <w:lvlJc w:val="left"/>
      <w:pPr>
        <w:ind w:left="5953" w:hanging="540"/>
      </w:pPr>
      <w:rPr>
        <w:rFonts w:hint="default"/>
        <w:lang w:val="zh-CN" w:eastAsia="zh-CN" w:bidi="zh-CN"/>
      </w:rPr>
    </w:lvl>
    <w:lvl w:ilvl="8" w:tentative="0">
      <w:start w:val="0"/>
      <w:numFmt w:val="bullet"/>
      <w:lvlText w:val="•"/>
      <w:lvlJc w:val="left"/>
      <w:pPr>
        <w:ind w:left="7377" w:hanging="540"/>
      </w:pPr>
      <w:rPr>
        <w:rFonts w:hint="default"/>
        <w:lang w:val="zh-CN" w:eastAsia="zh-CN" w:bidi="zh-CN"/>
      </w:rPr>
    </w:lvl>
  </w:abstractNum>
  <w:abstractNum w:abstractNumId="20">
    <w:nsid w:val="D7D140E4"/>
    <w:multiLevelType w:val="multilevel"/>
    <w:tmpl w:val="D7D140E4"/>
    <w:lvl w:ilvl="0" w:tentative="0">
      <w:start w:val="1"/>
      <w:numFmt w:val="decimal"/>
      <w:lvlText w:val="%1）"/>
      <w:lvlJc w:val="left"/>
      <w:pPr>
        <w:ind w:left="1081"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994" w:hanging="361"/>
      </w:pPr>
      <w:rPr>
        <w:rFonts w:hint="default"/>
        <w:lang w:val="zh-CN" w:eastAsia="zh-CN" w:bidi="zh-CN"/>
      </w:rPr>
    </w:lvl>
    <w:lvl w:ilvl="2" w:tentative="0">
      <w:start w:val="0"/>
      <w:numFmt w:val="bullet"/>
      <w:lvlText w:val="•"/>
      <w:lvlJc w:val="left"/>
      <w:pPr>
        <w:ind w:left="2909" w:hanging="361"/>
      </w:pPr>
      <w:rPr>
        <w:rFonts w:hint="default"/>
        <w:lang w:val="zh-CN" w:eastAsia="zh-CN" w:bidi="zh-CN"/>
      </w:rPr>
    </w:lvl>
    <w:lvl w:ilvl="3" w:tentative="0">
      <w:start w:val="0"/>
      <w:numFmt w:val="bullet"/>
      <w:lvlText w:val="•"/>
      <w:lvlJc w:val="left"/>
      <w:pPr>
        <w:ind w:left="3823" w:hanging="361"/>
      </w:pPr>
      <w:rPr>
        <w:rFonts w:hint="default"/>
        <w:lang w:val="zh-CN" w:eastAsia="zh-CN" w:bidi="zh-CN"/>
      </w:rPr>
    </w:lvl>
    <w:lvl w:ilvl="4" w:tentative="0">
      <w:start w:val="0"/>
      <w:numFmt w:val="bullet"/>
      <w:lvlText w:val="•"/>
      <w:lvlJc w:val="left"/>
      <w:pPr>
        <w:ind w:left="4738" w:hanging="361"/>
      </w:pPr>
      <w:rPr>
        <w:rFonts w:hint="default"/>
        <w:lang w:val="zh-CN" w:eastAsia="zh-CN" w:bidi="zh-CN"/>
      </w:rPr>
    </w:lvl>
    <w:lvl w:ilvl="5" w:tentative="0">
      <w:start w:val="0"/>
      <w:numFmt w:val="bullet"/>
      <w:lvlText w:val="•"/>
      <w:lvlJc w:val="left"/>
      <w:pPr>
        <w:ind w:left="5653" w:hanging="361"/>
      </w:pPr>
      <w:rPr>
        <w:rFonts w:hint="default"/>
        <w:lang w:val="zh-CN" w:eastAsia="zh-CN" w:bidi="zh-CN"/>
      </w:rPr>
    </w:lvl>
    <w:lvl w:ilvl="6" w:tentative="0">
      <w:start w:val="0"/>
      <w:numFmt w:val="bullet"/>
      <w:lvlText w:val="•"/>
      <w:lvlJc w:val="left"/>
      <w:pPr>
        <w:ind w:left="6567" w:hanging="361"/>
      </w:pPr>
      <w:rPr>
        <w:rFonts w:hint="default"/>
        <w:lang w:val="zh-CN" w:eastAsia="zh-CN" w:bidi="zh-CN"/>
      </w:rPr>
    </w:lvl>
    <w:lvl w:ilvl="7" w:tentative="0">
      <w:start w:val="0"/>
      <w:numFmt w:val="bullet"/>
      <w:lvlText w:val="•"/>
      <w:lvlJc w:val="left"/>
      <w:pPr>
        <w:ind w:left="7482" w:hanging="361"/>
      </w:pPr>
      <w:rPr>
        <w:rFonts w:hint="default"/>
        <w:lang w:val="zh-CN" w:eastAsia="zh-CN" w:bidi="zh-CN"/>
      </w:rPr>
    </w:lvl>
    <w:lvl w:ilvl="8" w:tentative="0">
      <w:start w:val="0"/>
      <w:numFmt w:val="bullet"/>
      <w:lvlText w:val="•"/>
      <w:lvlJc w:val="left"/>
      <w:pPr>
        <w:ind w:left="8396" w:hanging="361"/>
      </w:pPr>
      <w:rPr>
        <w:rFonts w:hint="default"/>
        <w:lang w:val="zh-CN" w:eastAsia="zh-CN" w:bidi="zh-CN"/>
      </w:rPr>
    </w:lvl>
  </w:abstractNum>
  <w:abstractNum w:abstractNumId="21">
    <w:nsid w:val="D7F9FE59"/>
    <w:multiLevelType w:val="multilevel"/>
    <w:tmpl w:val="D7F9FE59"/>
    <w:lvl w:ilvl="0" w:tentative="0">
      <w:start w:val="1"/>
      <w:numFmt w:val="decimal"/>
      <w:lvlText w:val="（%1）"/>
      <w:lvlJc w:val="left"/>
      <w:pPr>
        <w:ind w:left="240"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1238" w:hanging="601"/>
      </w:pPr>
      <w:rPr>
        <w:rFonts w:hint="default"/>
        <w:lang w:val="zh-CN" w:eastAsia="zh-CN" w:bidi="zh-CN"/>
      </w:rPr>
    </w:lvl>
    <w:lvl w:ilvl="2" w:tentative="0">
      <w:start w:val="0"/>
      <w:numFmt w:val="bullet"/>
      <w:lvlText w:val="•"/>
      <w:lvlJc w:val="left"/>
      <w:pPr>
        <w:ind w:left="2237" w:hanging="601"/>
      </w:pPr>
      <w:rPr>
        <w:rFonts w:hint="default"/>
        <w:lang w:val="zh-CN" w:eastAsia="zh-CN" w:bidi="zh-CN"/>
      </w:rPr>
    </w:lvl>
    <w:lvl w:ilvl="3" w:tentative="0">
      <w:start w:val="0"/>
      <w:numFmt w:val="bullet"/>
      <w:lvlText w:val="•"/>
      <w:lvlJc w:val="left"/>
      <w:pPr>
        <w:ind w:left="3235" w:hanging="601"/>
      </w:pPr>
      <w:rPr>
        <w:rFonts w:hint="default"/>
        <w:lang w:val="zh-CN" w:eastAsia="zh-CN" w:bidi="zh-CN"/>
      </w:rPr>
    </w:lvl>
    <w:lvl w:ilvl="4" w:tentative="0">
      <w:start w:val="0"/>
      <w:numFmt w:val="bullet"/>
      <w:lvlText w:val="•"/>
      <w:lvlJc w:val="left"/>
      <w:pPr>
        <w:ind w:left="4234" w:hanging="601"/>
      </w:pPr>
      <w:rPr>
        <w:rFonts w:hint="default"/>
        <w:lang w:val="zh-CN" w:eastAsia="zh-CN" w:bidi="zh-CN"/>
      </w:rPr>
    </w:lvl>
    <w:lvl w:ilvl="5" w:tentative="0">
      <w:start w:val="0"/>
      <w:numFmt w:val="bullet"/>
      <w:lvlText w:val="•"/>
      <w:lvlJc w:val="left"/>
      <w:pPr>
        <w:ind w:left="5233" w:hanging="601"/>
      </w:pPr>
      <w:rPr>
        <w:rFonts w:hint="default"/>
        <w:lang w:val="zh-CN" w:eastAsia="zh-CN" w:bidi="zh-CN"/>
      </w:rPr>
    </w:lvl>
    <w:lvl w:ilvl="6" w:tentative="0">
      <w:start w:val="0"/>
      <w:numFmt w:val="bullet"/>
      <w:lvlText w:val="•"/>
      <w:lvlJc w:val="left"/>
      <w:pPr>
        <w:ind w:left="6231" w:hanging="601"/>
      </w:pPr>
      <w:rPr>
        <w:rFonts w:hint="default"/>
        <w:lang w:val="zh-CN" w:eastAsia="zh-CN" w:bidi="zh-CN"/>
      </w:rPr>
    </w:lvl>
    <w:lvl w:ilvl="7" w:tentative="0">
      <w:start w:val="0"/>
      <w:numFmt w:val="bullet"/>
      <w:lvlText w:val="•"/>
      <w:lvlJc w:val="left"/>
      <w:pPr>
        <w:ind w:left="7230" w:hanging="601"/>
      </w:pPr>
      <w:rPr>
        <w:rFonts w:hint="default"/>
        <w:lang w:val="zh-CN" w:eastAsia="zh-CN" w:bidi="zh-CN"/>
      </w:rPr>
    </w:lvl>
    <w:lvl w:ilvl="8" w:tentative="0">
      <w:start w:val="0"/>
      <w:numFmt w:val="bullet"/>
      <w:lvlText w:val="•"/>
      <w:lvlJc w:val="left"/>
      <w:pPr>
        <w:ind w:left="8228" w:hanging="601"/>
      </w:pPr>
      <w:rPr>
        <w:rFonts w:hint="default"/>
        <w:lang w:val="zh-CN" w:eastAsia="zh-CN" w:bidi="zh-CN"/>
      </w:rPr>
    </w:lvl>
  </w:abstractNum>
  <w:abstractNum w:abstractNumId="22">
    <w:nsid w:val="DCBA6B53"/>
    <w:multiLevelType w:val="multilevel"/>
    <w:tmpl w:val="DCBA6B53"/>
    <w:lvl w:ilvl="0" w:tentative="0">
      <w:start w:val="1"/>
      <w:numFmt w:val="decimal"/>
      <w:lvlText w:val="（%1）"/>
      <w:lvlJc w:val="left"/>
      <w:pPr>
        <w:ind w:left="240"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1238" w:hanging="601"/>
      </w:pPr>
      <w:rPr>
        <w:rFonts w:hint="default"/>
        <w:lang w:val="zh-CN" w:eastAsia="zh-CN" w:bidi="zh-CN"/>
      </w:rPr>
    </w:lvl>
    <w:lvl w:ilvl="2" w:tentative="0">
      <w:start w:val="0"/>
      <w:numFmt w:val="bullet"/>
      <w:lvlText w:val="•"/>
      <w:lvlJc w:val="left"/>
      <w:pPr>
        <w:ind w:left="2237" w:hanging="601"/>
      </w:pPr>
      <w:rPr>
        <w:rFonts w:hint="default"/>
        <w:lang w:val="zh-CN" w:eastAsia="zh-CN" w:bidi="zh-CN"/>
      </w:rPr>
    </w:lvl>
    <w:lvl w:ilvl="3" w:tentative="0">
      <w:start w:val="0"/>
      <w:numFmt w:val="bullet"/>
      <w:lvlText w:val="•"/>
      <w:lvlJc w:val="left"/>
      <w:pPr>
        <w:ind w:left="3235" w:hanging="601"/>
      </w:pPr>
      <w:rPr>
        <w:rFonts w:hint="default"/>
        <w:lang w:val="zh-CN" w:eastAsia="zh-CN" w:bidi="zh-CN"/>
      </w:rPr>
    </w:lvl>
    <w:lvl w:ilvl="4" w:tentative="0">
      <w:start w:val="0"/>
      <w:numFmt w:val="bullet"/>
      <w:lvlText w:val="•"/>
      <w:lvlJc w:val="left"/>
      <w:pPr>
        <w:ind w:left="4234" w:hanging="601"/>
      </w:pPr>
      <w:rPr>
        <w:rFonts w:hint="default"/>
        <w:lang w:val="zh-CN" w:eastAsia="zh-CN" w:bidi="zh-CN"/>
      </w:rPr>
    </w:lvl>
    <w:lvl w:ilvl="5" w:tentative="0">
      <w:start w:val="0"/>
      <w:numFmt w:val="bullet"/>
      <w:lvlText w:val="•"/>
      <w:lvlJc w:val="left"/>
      <w:pPr>
        <w:ind w:left="5233" w:hanging="601"/>
      </w:pPr>
      <w:rPr>
        <w:rFonts w:hint="default"/>
        <w:lang w:val="zh-CN" w:eastAsia="zh-CN" w:bidi="zh-CN"/>
      </w:rPr>
    </w:lvl>
    <w:lvl w:ilvl="6" w:tentative="0">
      <w:start w:val="0"/>
      <w:numFmt w:val="bullet"/>
      <w:lvlText w:val="•"/>
      <w:lvlJc w:val="left"/>
      <w:pPr>
        <w:ind w:left="6231" w:hanging="601"/>
      </w:pPr>
      <w:rPr>
        <w:rFonts w:hint="default"/>
        <w:lang w:val="zh-CN" w:eastAsia="zh-CN" w:bidi="zh-CN"/>
      </w:rPr>
    </w:lvl>
    <w:lvl w:ilvl="7" w:tentative="0">
      <w:start w:val="0"/>
      <w:numFmt w:val="bullet"/>
      <w:lvlText w:val="•"/>
      <w:lvlJc w:val="left"/>
      <w:pPr>
        <w:ind w:left="7230" w:hanging="601"/>
      </w:pPr>
      <w:rPr>
        <w:rFonts w:hint="default"/>
        <w:lang w:val="zh-CN" w:eastAsia="zh-CN" w:bidi="zh-CN"/>
      </w:rPr>
    </w:lvl>
    <w:lvl w:ilvl="8" w:tentative="0">
      <w:start w:val="0"/>
      <w:numFmt w:val="bullet"/>
      <w:lvlText w:val="•"/>
      <w:lvlJc w:val="left"/>
      <w:pPr>
        <w:ind w:left="8228" w:hanging="601"/>
      </w:pPr>
      <w:rPr>
        <w:rFonts w:hint="default"/>
        <w:lang w:val="zh-CN" w:eastAsia="zh-CN" w:bidi="zh-CN"/>
      </w:rPr>
    </w:lvl>
  </w:abstractNum>
  <w:abstractNum w:abstractNumId="23">
    <w:nsid w:val="E093A4B0"/>
    <w:multiLevelType w:val="multilevel"/>
    <w:tmpl w:val="E093A4B0"/>
    <w:lvl w:ilvl="0" w:tentative="0">
      <w:start w:val="1"/>
      <w:numFmt w:val="decimal"/>
      <w:lvlText w:val="%1）"/>
      <w:lvlJc w:val="left"/>
      <w:pPr>
        <w:ind w:left="240" w:hanging="361"/>
        <w:jc w:val="left"/>
      </w:pPr>
      <w:rPr>
        <w:rFonts w:hint="default" w:ascii="Times New Roman" w:hAnsi="Times New Roman" w:eastAsia="Times New Roman" w:cs="Times New Roman"/>
        <w:spacing w:val="-27"/>
        <w:w w:val="100"/>
        <w:sz w:val="22"/>
        <w:szCs w:val="22"/>
        <w:lang w:val="zh-CN" w:eastAsia="zh-CN" w:bidi="zh-CN"/>
      </w:rPr>
    </w:lvl>
    <w:lvl w:ilvl="1" w:tentative="0">
      <w:start w:val="0"/>
      <w:numFmt w:val="bullet"/>
      <w:lvlText w:val="•"/>
      <w:lvlJc w:val="left"/>
      <w:pPr>
        <w:ind w:left="1238" w:hanging="361"/>
      </w:pPr>
      <w:rPr>
        <w:rFonts w:hint="default"/>
        <w:lang w:val="zh-CN" w:eastAsia="zh-CN" w:bidi="zh-CN"/>
      </w:rPr>
    </w:lvl>
    <w:lvl w:ilvl="2" w:tentative="0">
      <w:start w:val="0"/>
      <w:numFmt w:val="bullet"/>
      <w:lvlText w:val="•"/>
      <w:lvlJc w:val="left"/>
      <w:pPr>
        <w:ind w:left="2237" w:hanging="361"/>
      </w:pPr>
      <w:rPr>
        <w:rFonts w:hint="default"/>
        <w:lang w:val="zh-CN" w:eastAsia="zh-CN" w:bidi="zh-CN"/>
      </w:rPr>
    </w:lvl>
    <w:lvl w:ilvl="3" w:tentative="0">
      <w:start w:val="0"/>
      <w:numFmt w:val="bullet"/>
      <w:lvlText w:val="•"/>
      <w:lvlJc w:val="left"/>
      <w:pPr>
        <w:ind w:left="3235" w:hanging="361"/>
      </w:pPr>
      <w:rPr>
        <w:rFonts w:hint="default"/>
        <w:lang w:val="zh-CN" w:eastAsia="zh-CN" w:bidi="zh-CN"/>
      </w:rPr>
    </w:lvl>
    <w:lvl w:ilvl="4" w:tentative="0">
      <w:start w:val="0"/>
      <w:numFmt w:val="bullet"/>
      <w:lvlText w:val="•"/>
      <w:lvlJc w:val="left"/>
      <w:pPr>
        <w:ind w:left="4234" w:hanging="361"/>
      </w:pPr>
      <w:rPr>
        <w:rFonts w:hint="default"/>
        <w:lang w:val="zh-CN" w:eastAsia="zh-CN" w:bidi="zh-CN"/>
      </w:rPr>
    </w:lvl>
    <w:lvl w:ilvl="5" w:tentative="0">
      <w:start w:val="0"/>
      <w:numFmt w:val="bullet"/>
      <w:lvlText w:val="•"/>
      <w:lvlJc w:val="left"/>
      <w:pPr>
        <w:ind w:left="5233" w:hanging="361"/>
      </w:pPr>
      <w:rPr>
        <w:rFonts w:hint="default"/>
        <w:lang w:val="zh-CN" w:eastAsia="zh-CN" w:bidi="zh-CN"/>
      </w:rPr>
    </w:lvl>
    <w:lvl w:ilvl="6" w:tentative="0">
      <w:start w:val="0"/>
      <w:numFmt w:val="bullet"/>
      <w:lvlText w:val="•"/>
      <w:lvlJc w:val="left"/>
      <w:pPr>
        <w:ind w:left="6231" w:hanging="361"/>
      </w:pPr>
      <w:rPr>
        <w:rFonts w:hint="default"/>
        <w:lang w:val="zh-CN" w:eastAsia="zh-CN" w:bidi="zh-CN"/>
      </w:rPr>
    </w:lvl>
    <w:lvl w:ilvl="7" w:tentative="0">
      <w:start w:val="0"/>
      <w:numFmt w:val="bullet"/>
      <w:lvlText w:val="•"/>
      <w:lvlJc w:val="left"/>
      <w:pPr>
        <w:ind w:left="7230" w:hanging="361"/>
      </w:pPr>
      <w:rPr>
        <w:rFonts w:hint="default"/>
        <w:lang w:val="zh-CN" w:eastAsia="zh-CN" w:bidi="zh-CN"/>
      </w:rPr>
    </w:lvl>
    <w:lvl w:ilvl="8" w:tentative="0">
      <w:start w:val="0"/>
      <w:numFmt w:val="bullet"/>
      <w:lvlText w:val="•"/>
      <w:lvlJc w:val="left"/>
      <w:pPr>
        <w:ind w:left="8228" w:hanging="361"/>
      </w:pPr>
      <w:rPr>
        <w:rFonts w:hint="default"/>
        <w:lang w:val="zh-CN" w:eastAsia="zh-CN" w:bidi="zh-CN"/>
      </w:rPr>
    </w:lvl>
  </w:abstractNum>
  <w:abstractNum w:abstractNumId="24">
    <w:nsid w:val="F0E89278"/>
    <w:multiLevelType w:val="multilevel"/>
    <w:tmpl w:val="F0E89278"/>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25">
    <w:nsid w:val="F4B5D9F5"/>
    <w:multiLevelType w:val="multilevel"/>
    <w:tmpl w:val="F4B5D9F5"/>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26">
    <w:nsid w:val="F689643B"/>
    <w:multiLevelType w:val="multilevel"/>
    <w:tmpl w:val="F689643B"/>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27">
    <w:nsid w:val="F7735DC9"/>
    <w:multiLevelType w:val="multilevel"/>
    <w:tmpl w:val="F7735DC9"/>
    <w:lvl w:ilvl="0" w:tentative="0">
      <w:start w:val="1"/>
      <w:numFmt w:val="decimal"/>
      <w:lvlText w:val="%1）"/>
      <w:lvlJc w:val="left"/>
      <w:pPr>
        <w:ind w:left="240"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238" w:hanging="361"/>
      </w:pPr>
      <w:rPr>
        <w:rFonts w:hint="default"/>
        <w:lang w:val="zh-CN" w:eastAsia="zh-CN" w:bidi="zh-CN"/>
      </w:rPr>
    </w:lvl>
    <w:lvl w:ilvl="2" w:tentative="0">
      <w:start w:val="0"/>
      <w:numFmt w:val="bullet"/>
      <w:lvlText w:val="•"/>
      <w:lvlJc w:val="left"/>
      <w:pPr>
        <w:ind w:left="2237" w:hanging="361"/>
      </w:pPr>
      <w:rPr>
        <w:rFonts w:hint="default"/>
        <w:lang w:val="zh-CN" w:eastAsia="zh-CN" w:bidi="zh-CN"/>
      </w:rPr>
    </w:lvl>
    <w:lvl w:ilvl="3" w:tentative="0">
      <w:start w:val="0"/>
      <w:numFmt w:val="bullet"/>
      <w:lvlText w:val="•"/>
      <w:lvlJc w:val="left"/>
      <w:pPr>
        <w:ind w:left="3235" w:hanging="361"/>
      </w:pPr>
      <w:rPr>
        <w:rFonts w:hint="default"/>
        <w:lang w:val="zh-CN" w:eastAsia="zh-CN" w:bidi="zh-CN"/>
      </w:rPr>
    </w:lvl>
    <w:lvl w:ilvl="4" w:tentative="0">
      <w:start w:val="0"/>
      <w:numFmt w:val="bullet"/>
      <w:lvlText w:val="•"/>
      <w:lvlJc w:val="left"/>
      <w:pPr>
        <w:ind w:left="4234" w:hanging="361"/>
      </w:pPr>
      <w:rPr>
        <w:rFonts w:hint="default"/>
        <w:lang w:val="zh-CN" w:eastAsia="zh-CN" w:bidi="zh-CN"/>
      </w:rPr>
    </w:lvl>
    <w:lvl w:ilvl="5" w:tentative="0">
      <w:start w:val="0"/>
      <w:numFmt w:val="bullet"/>
      <w:lvlText w:val="•"/>
      <w:lvlJc w:val="left"/>
      <w:pPr>
        <w:ind w:left="5233" w:hanging="361"/>
      </w:pPr>
      <w:rPr>
        <w:rFonts w:hint="default"/>
        <w:lang w:val="zh-CN" w:eastAsia="zh-CN" w:bidi="zh-CN"/>
      </w:rPr>
    </w:lvl>
    <w:lvl w:ilvl="6" w:tentative="0">
      <w:start w:val="0"/>
      <w:numFmt w:val="bullet"/>
      <w:lvlText w:val="•"/>
      <w:lvlJc w:val="left"/>
      <w:pPr>
        <w:ind w:left="6231" w:hanging="361"/>
      </w:pPr>
      <w:rPr>
        <w:rFonts w:hint="default"/>
        <w:lang w:val="zh-CN" w:eastAsia="zh-CN" w:bidi="zh-CN"/>
      </w:rPr>
    </w:lvl>
    <w:lvl w:ilvl="7" w:tentative="0">
      <w:start w:val="0"/>
      <w:numFmt w:val="bullet"/>
      <w:lvlText w:val="•"/>
      <w:lvlJc w:val="left"/>
      <w:pPr>
        <w:ind w:left="7230" w:hanging="361"/>
      </w:pPr>
      <w:rPr>
        <w:rFonts w:hint="default"/>
        <w:lang w:val="zh-CN" w:eastAsia="zh-CN" w:bidi="zh-CN"/>
      </w:rPr>
    </w:lvl>
    <w:lvl w:ilvl="8" w:tentative="0">
      <w:start w:val="0"/>
      <w:numFmt w:val="bullet"/>
      <w:lvlText w:val="•"/>
      <w:lvlJc w:val="left"/>
      <w:pPr>
        <w:ind w:left="8228" w:hanging="361"/>
      </w:pPr>
      <w:rPr>
        <w:rFonts w:hint="default"/>
        <w:lang w:val="zh-CN" w:eastAsia="zh-CN" w:bidi="zh-CN"/>
      </w:rPr>
    </w:lvl>
  </w:abstractNum>
  <w:abstractNum w:abstractNumId="28">
    <w:nsid w:val="FEC2EA36"/>
    <w:multiLevelType w:val="multilevel"/>
    <w:tmpl w:val="FEC2EA36"/>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29">
    <w:nsid w:val="00000007"/>
    <w:multiLevelType w:val="singleLevel"/>
    <w:tmpl w:val="00000007"/>
    <w:lvl w:ilvl="0" w:tentative="0">
      <w:start w:val="2"/>
      <w:numFmt w:val="decimal"/>
      <w:suff w:val="nothing"/>
      <w:lvlText w:val="%1、"/>
      <w:lvlJc w:val="left"/>
    </w:lvl>
  </w:abstractNum>
  <w:abstractNum w:abstractNumId="30">
    <w:nsid w:val="0053208E"/>
    <w:multiLevelType w:val="multilevel"/>
    <w:tmpl w:val="0053208E"/>
    <w:lvl w:ilvl="0" w:tentative="0">
      <w:start w:val="1"/>
      <w:numFmt w:val="decimal"/>
      <w:lvlText w:val="（%1）"/>
      <w:lvlJc w:val="left"/>
      <w:pPr>
        <w:ind w:left="240" w:hanging="702"/>
        <w:jc w:val="left"/>
      </w:pPr>
      <w:rPr>
        <w:rFonts w:hint="default" w:ascii="仿宋" w:hAnsi="仿宋" w:eastAsia="仿宋" w:cs="仿宋"/>
        <w:spacing w:val="-2"/>
        <w:w w:val="100"/>
        <w:sz w:val="26"/>
        <w:szCs w:val="26"/>
        <w:lang w:val="zh-CN" w:eastAsia="zh-CN" w:bidi="zh-CN"/>
      </w:rPr>
    </w:lvl>
    <w:lvl w:ilvl="1" w:tentative="0">
      <w:start w:val="0"/>
      <w:numFmt w:val="bullet"/>
      <w:lvlText w:val="•"/>
      <w:lvlJc w:val="left"/>
      <w:pPr>
        <w:ind w:left="1238" w:hanging="702"/>
      </w:pPr>
      <w:rPr>
        <w:rFonts w:hint="default"/>
        <w:lang w:val="zh-CN" w:eastAsia="zh-CN" w:bidi="zh-CN"/>
      </w:rPr>
    </w:lvl>
    <w:lvl w:ilvl="2" w:tentative="0">
      <w:start w:val="0"/>
      <w:numFmt w:val="bullet"/>
      <w:lvlText w:val="•"/>
      <w:lvlJc w:val="left"/>
      <w:pPr>
        <w:ind w:left="2237" w:hanging="702"/>
      </w:pPr>
      <w:rPr>
        <w:rFonts w:hint="default"/>
        <w:lang w:val="zh-CN" w:eastAsia="zh-CN" w:bidi="zh-CN"/>
      </w:rPr>
    </w:lvl>
    <w:lvl w:ilvl="3" w:tentative="0">
      <w:start w:val="0"/>
      <w:numFmt w:val="bullet"/>
      <w:lvlText w:val="•"/>
      <w:lvlJc w:val="left"/>
      <w:pPr>
        <w:ind w:left="3235" w:hanging="702"/>
      </w:pPr>
      <w:rPr>
        <w:rFonts w:hint="default"/>
        <w:lang w:val="zh-CN" w:eastAsia="zh-CN" w:bidi="zh-CN"/>
      </w:rPr>
    </w:lvl>
    <w:lvl w:ilvl="4" w:tentative="0">
      <w:start w:val="0"/>
      <w:numFmt w:val="bullet"/>
      <w:lvlText w:val="•"/>
      <w:lvlJc w:val="left"/>
      <w:pPr>
        <w:ind w:left="4234" w:hanging="702"/>
      </w:pPr>
      <w:rPr>
        <w:rFonts w:hint="default"/>
        <w:lang w:val="zh-CN" w:eastAsia="zh-CN" w:bidi="zh-CN"/>
      </w:rPr>
    </w:lvl>
    <w:lvl w:ilvl="5" w:tentative="0">
      <w:start w:val="0"/>
      <w:numFmt w:val="bullet"/>
      <w:lvlText w:val="•"/>
      <w:lvlJc w:val="left"/>
      <w:pPr>
        <w:ind w:left="5233" w:hanging="702"/>
      </w:pPr>
      <w:rPr>
        <w:rFonts w:hint="default"/>
        <w:lang w:val="zh-CN" w:eastAsia="zh-CN" w:bidi="zh-CN"/>
      </w:rPr>
    </w:lvl>
    <w:lvl w:ilvl="6" w:tentative="0">
      <w:start w:val="0"/>
      <w:numFmt w:val="bullet"/>
      <w:lvlText w:val="•"/>
      <w:lvlJc w:val="left"/>
      <w:pPr>
        <w:ind w:left="6231" w:hanging="702"/>
      </w:pPr>
      <w:rPr>
        <w:rFonts w:hint="default"/>
        <w:lang w:val="zh-CN" w:eastAsia="zh-CN" w:bidi="zh-CN"/>
      </w:rPr>
    </w:lvl>
    <w:lvl w:ilvl="7" w:tentative="0">
      <w:start w:val="0"/>
      <w:numFmt w:val="bullet"/>
      <w:lvlText w:val="•"/>
      <w:lvlJc w:val="left"/>
      <w:pPr>
        <w:ind w:left="7230" w:hanging="702"/>
      </w:pPr>
      <w:rPr>
        <w:rFonts w:hint="default"/>
        <w:lang w:val="zh-CN" w:eastAsia="zh-CN" w:bidi="zh-CN"/>
      </w:rPr>
    </w:lvl>
    <w:lvl w:ilvl="8" w:tentative="0">
      <w:start w:val="0"/>
      <w:numFmt w:val="bullet"/>
      <w:lvlText w:val="•"/>
      <w:lvlJc w:val="left"/>
      <w:pPr>
        <w:ind w:left="8228" w:hanging="702"/>
      </w:pPr>
      <w:rPr>
        <w:rFonts w:hint="default"/>
        <w:lang w:val="zh-CN" w:eastAsia="zh-CN" w:bidi="zh-CN"/>
      </w:rPr>
    </w:lvl>
  </w:abstractNum>
  <w:abstractNum w:abstractNumId="31">
    <w:nsid w:val="0248C179"/>
    <w:multiLevelType w:val="multilevel"/>
    <w:tmpl w:val="0248C179"/>
    <w:lvl w:ilvl="0" w:tentative="0">
      <w:start w:val="1"/>
      <w:numFmt w:val="decimal"/>
      <w:lvlText w:val="（%1）"/>
      <w:lvlJc w:val="left"/>
      <w:pPr>
        <w:ind w:left="1321" w:hanging="601"/>
        <w:jc w:val="left"/>
      </w:pPr>
      <w:rPr>
        <w:rFonts w:hint="default" w:ascii="仿宋" w:hAnsi="仿宋" w:eastAsia="仿宋" w:cs="仿宋"/>
        <w:spacing w:val="-60"/>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32">
    <w:nsid w:val="03A63A41"/>
    <w:multiLevelType w:val="multilevel"/>
    <w:tmpl w:val="03A63A41"/>
    <w:lvl w:ilvl="0" w:tentative="0">
      <w:start w:val="1"/>
      <w:numFmt w:val="decimal"/>
      <w:lvlText w:val="（%1）"/>
      <w:lvlJc w:val="left"/>
      <w:pPr>
        <w:ind w:left="240"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1238" w:hanging="601"/>
      </w:pPr>
      <w:rPr>
        <w:rFonts w:hint="default"/>
        <w:lang w:val="zh-CN" w:eastAsia="zh-CN" w:bidi="zh-CN"/>
      </w:rPr>
    </w:lvl>
    <w:lvl w:ilvl="2" w:tentative="0">
      <w:start w:val="0"/>
      <w:numFmt w:val="bullet"/>
      <w:lvlText w:val="•"/>
      <w:lvlJc w:val="left"/>
      <w:pPr>
        <w:ind w:left="2237" w:hanging="601"/>
      </w:pPr>
      <w:rPr>
        <w:rFonts w:hint="default"/>
        <w:lang w:val="zh-CN" w:eastAsia="zh-CN" w:bidi="zh-CN"/>
      </w:rPr>
    </w:lvl>
    <w:lvl w:ilvl="3" w:tentative="0">
      <w:start w:val="0"/>
      <w:numFmt w:val="bullet"/>
      <w:lvlText w:val="•"/>
      <w:lvlJc w:val="left"/>
      <w:pPr>
        <w:ind w:left="3235" w:hanging="601"/>
      </w:pPr>
      <w:rPr>
        <w:rFonts w:hint="default"/>
        <w:lang w:val="zh-CN" w:eastAsia="zh-CN" w:bidi="zh-CN"/>
      </w:rPr>
    </w:lvl>
    <w:lvl w:ilvl="4" w:tentative="0">
      <w:start w:val="0"/>
      <w:numFmt w:val="bullet"/>
      <w:lvlText w:val="•"/>
      <w:lvlJc w:val="left"/>
      <w:pPr>
        <w:ind w:left="4234" w:hanging="601"/>
      </w:pPr>
      <w:rPr>
        <w:rFonts w:hint="default"/>
        <w:lang w:val="zh-CN" w:eastAsia="zh-CN" w:bidi="zh-CN"/>
      </w:rPr>
    </w:lvl>
    <w:lvl w:ilvl="5" w:tentative="0">
      <w:start w:val="0"/>
      <w:numFmt w:val="bullet"/>
      <w:lvlText w:val="•"/>
      <w:lvlJc w:val="left"/>
      <w:pPr>
        <w:ind w:left="5233" w:hanging="601"/>
      </w:pPr>
      <w:rPr>
        <w:rFonts w:hint="default"/>
        <w:lang w:val="zh-CN" w:eastAsia="zh-CN" w:bidi="zh-CN"/>
      </w:rPr>
    </w:lvl>
    <w:lvl w:ilvl="6" w:tentative="0">
      <w:start w:val="0"/>
      <w:numFmt w:val="bullet"/>
      <w:lvlText w:val="•"/>
      <w:lvlJc w:val="left"/>
      <w:pPr>
        <w:ind w:left="6231" w:hanging="601"/>
      </w:pPr>
      <w:rPr>
        <w:rFonts w:hint="default"/>
        <w:lang w:val="zh-CN" w:eastAsia="zh-CN" w:bidi="zh-CN"/>
      </w:rPr>
    </w:lvl>
    <w:lvl w:ilvl="7" w:tentative="0">
      <w:start w:val="0"/>
      <w:numFmt w:val="bullet"/>
      <w:lvlText w:val="•"/>
      <w:lvlJc w:val="left"/>
      <w:pPr>
        <w:ind w:left="7230" w:hanging="601"/>
      </w:pPr>
      <w:rPr>
        <w:rFonts w:hint="default"/>
        <w:lang w:val="zh-CN" w:eastAsia="zh-CN" w:bidi="zh-CN"/>
      </w:rPr>
    </w:lvl>
    <w:lvl w:ilvl="8" w:tentative="0">
      <w:start w:val="0"/>
      <w:numFmt w:val="bullet"/>
      <w:lvlText w:val="•"/>
      <w:lvlJc w:val="left"/>
      <w:pPr>
        <w:ind w:left="8228" w:hanging="601"/>
      </w:pPr>
      <w:rPr>
        <w:rFonts w:hint="default"/>
        <w:lang w:val="zh-CN" w:eastAsia="zh-CN" w:bidi="zh-CN"/>
      </w:rPr>
    </w:lvl>
  </w:abstractNum>
  <w:abstractNum w:abstractNumId="33">
    <w:nsid w:val="03D62ECE"/>
    <w:multiLevelType w:val="multilevel"/>
    <w:tmpl w:val="03D62ECE"/>
    <w:lvl w:ilvl="0" w:tentative="0">
      <w:start w:val="1"/>
      <w:numFmt w:val="decimal"/>
      <w:lvlText w:val="%1"/>
      <w:lvlJc w:val="left"/>
      <w:pPr>
        <w:ind w:left="480" w:hanging="240"/>
        <w:jc w:val="left"/>
      </w:pPr>
      <w:rPr>
        <w:rFonts w:hint="default" w:ascii="Times New Roman" w:hAnsi="Times New Roman" w:eastAsia="Times New Roman" w:cs="Times New Roman"/>
        <w:b/>
        <w:bCs/>
        <w:w w:val="99"/>
        <w:sz w:val="32"/>
        <w:szCs w:val="32"/>
        <w:lang w:val="zh-CN" w:eastAsia="zh-CN" w:bidi="zh-CN"/>
      </w:rPr>
    </w:lvl>
    <w:lvl w:ilvl="1" w:tentative="0">
      <w:start w:val="1"/>
      <w:numFmt w:val="decimal"/>
      <w:lvlText w:val="%1.%2"/>
      <w:lvlJc w:val="left"/>
      <w:pPr>
        <w:ind w:left="765" w:hanging="526"/>
        <w:jc w:val="lef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868"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240" w:hanging="608"/>
        <w:jc w:val="left"/>
      </w:pPr>
      <w:rPr>
        <w:rFonts w:hint="default" w:ascii="仿宋" w:hAnsi="仿宋" w:eastAsia="仿宋" w:cs="仿宋"/>
        <w:spacing w:val="2"/>
        <w:w w:val="100"/>
        <w:sz w:val="22"/>
        <w:szCs w:val="22"/>
        <w:lang w:val="zh-CN" w:eastAsia="zh-CN" w:bidi="zh-CN"/>
      </w:rPr>
    </w:lvl>
    <w:lvl w:ilvl="4" w:tentative="0">
      <w:start w:val="0"/>
      <w:numFmt w:val="bullet"/>
      <w:lvlText w:val="•"/>
      <w:lvlJc w:val="left"/>
      <w:pPr>
        <w:ind w:left="860" w:hanging="608"/>
      </w:pPr>
      <w:rPr>
        <w:rFonts w:hint="default"/>
        <w:lang w:val="zh-CN" w:eastAsia="zh-CN" w:bidi="zh-CN"/>
      </w:rPr>
    </w:lvl>
    <w:lvl w:ilvl="5" w:tentative="0">
      <w:start w:val="0"/>
      <w:numFmt w:val="bullet"/>
      <w:lvlText w:val="•"/>
      <w:lvlJc w:val="left"/>
      <w:pPr>
        <w:ind w:left="920" w:hanging="608"/>
      </w:pPr>
      <w:rPr>
        <w:rFonts w:hint="default"/>
        <w:lang w:val="zh-CN" w:eastAsia="zh-CN" w:bidi="zh-CN"/>
      </w:rPr>
    </w:lvl>
    <w:lvl w:ilvl="6" w:tentative="0">
      <w:start w:val="0"/>
      <w:numFmt w:val="bullet"/>
      <w:lvlText w:val="•"/>
      <w:lvlJc w:val="left"/>
      <w:pPr>
        <w:ind w:left="940" w:hanging="608"/>
      </w:pPr>
      <w:rPr>
        <w:rFonts w:hint="default"/>
        <w:lang w:val="zh-CN" w:eastAsia="zh-CN" w:bidi="zh-CN"/>
      </w:rPr>
    </w:lvl>
    <w:lvl w:ilvl="7" w:tentative="0">
      <w:start w:val="0"/>
      <w:numFmt w:val="bullet"/>
      <w:lvlText w:val="•"/>
      <w:lvlJc w:val="left"/>
      <w:pPr>
        <w:ind w:left="3261" w:hanging="608"/>
      </w:pPr>
      <w:rPr>
        <w:rFonts w:hint="default"/>
        <w:lang w:val="zh-CN" w:eastAsia="zh-CN" w:bidi="zh-CN"/>
      </w:rPr>
    </w:lvl>
    <w:lvl w:ilvl="8" w:tentative="0">
      <w:start w:val="0"/>
      <w:numFmt w:val="bullet"/>
      <w:lvlText w:val="•"/>
      <w:lvlJc w:val="left"/>
      <w:pPr>
        <w:ind w:left="5583" w:hanging="608"/>
      </w:pPr>
      <w:rPr>
        <w:rFonts w:hint="default"/>
        <w:lang w:val="zh-CN" w:eastAsia="zh-CN" w:bidi="zh-CN"/>
      </w:rPr>
    </w:lvl>
  </w:abstractNum>
  <w:abstractNum w:abstractNumId="34">
    <w:nsid w:val="0709FD3E"/>
    <w:multiLevelType w:val="multilevel"/>
    <w:tmpl w:val="0709FD3E"/>
    <w:lvl w:ilvl="0" w:tentative="0">
      <w:start w:val="1"/>
      <w:numFmt w:val="decimal"/>
      <w:lvlText w:val="%1）"/>
      <w:lvlJc w:val="left"/>
      <w:pPr>
        <w:ind w:left="240"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238" w:hanging="361"/>
      </w:pPr>
      <w:rPr>
        <w:rFonts w:hint="default"/>
        <w:lang w:val="zh-CN" w:eastAsia="zh-CN" w:bidi="zh-CN"/>
      </w:rPr>
    </w:lvl>
    <w:lvl w:ilvl="2" w:tentative="0">
      <w:start w:val="0"/>
      <w:numFmt w:val="bullet"/>
      <w:lvlText w:val="•"/>
      <w:lvlJc w:val="left"/>
      <w:pPr>
        <w:ind w:left="2237" w:hanging="361"/>
      </w:pPr>
      <w:rPr>
        <w:rFonts w:hint="default"/>
        <w:lang w:val="zh-CN" w:eastAsia="zh-CN" w:bidi="zh-CN"/>
      </w:rPr>
    </w:lvl>
    <w:lvl w:ilvl="3" w:tentative="0">
      <w:start w:val="0"/>
      <w:numFmt w:val="bullet"/>
      <w:lvlText w:val="•"/>
      <w:lvlJc w:val="left"/>
      <w:pPr>
        <w:ind w:left="3235" w:hanging="361"/>
      </w:pPr>
      <w:rPr>
        <w:rFonts w:hint="default"/>
        <w:lang w:val="zh-CN" w:eastAsia="zh-CN" w:bidi="zh-CN"/>
      </w:rPr>
    </w:lvl>
    <w:lvl w:ilvl="4" w:tentative="0">
      <w:start w:val="0"/>
      <w:numFmt w:val="bullet"/>
      <w:lvlText w:val="•"/>
      <w:lvlJc w:val="left"/>
      <w:pPr>
        <w:ind w:left="4234" w:hanging="361"/>
      </w:pPr>
      <w:rPr>
        <w:rFonts w:hint="default"/>
        <w:lang w:val="zh-CN" w:eastAsia="zh-CN" w:bidi="zh-CN"/>
      </w:rPr>
    </w:lvl>
    <w:lvl w:ilvl="5" w:tentative="0">
      <w:start w:val="0"/>
      <w:numFmt w:val="bullet"/>
      <w:lvlText w:val="•"/>
      <w:lvlJc w:val="left"/>
      <w:pPr>
        <w:ind w:left="5233" w:hanging="361"/>
      </w:pPr>
      <w:rPr>
        <w:rFonts w:hint="default"/>
        <w:lang w:val="zh-CN" w:eastAsia="zh-CN" w:bidi="zh-CN"/>
      </w:rPr>
    </w:lvl>
    <w:lvl w:ilvl="6" w:tentative="0">
      <w:start w:val="0"/>
      <w:numFmt w:val="bullet"/>
      <w:lvlText w:val="•"/>
      <w:lvlJc w:val="left"/>
      <w:pPr>
        <w:ind w:left="6231" w:hanging="361"/>
      </w:pPr>
      <w:rPr>
        <w:rFonts w:hint="default"/>
        <w:lang w:val="zh-CN" w:eastAsia="zh-CN" w:bidi="zh-CN"/>
      </w:rPr>
    </w:lvl>
    <w:lvl w:ilvl="7" w:tentative="0">
      <w:start w:val="0"/>
      <w:numFmt w:val="bullet"/>
      <w:lvlText w:val="•"/>
      <w:lvlJc w:val="left"/>
      <w:pPr>
        <w:ind w:left="7230" w:hanging="361"/>
      </w:pPr>
      <w:rPr>
        <w:rFonts w:hint="default"/>
        <w:lang w:val="zh-CN" w:eastAsia="zh-CN" w:bidi="zh-CN"/>
      </w:rPr>
    </w:lvl>
    <w:lvl w:ilvl="8" w:tentative="0">
      <w:start w:val="0"/>
      <w:numFmt w:val="bullet"/>
      <w:lvlText w:val="•"/>
      <w:lvlJc w:val="left"/>
      <w:pPr>
        <w:ind w:left="8228" w:hanging="361"/>
      </w:pPr>
      <w:rPr>
        <w:rFonts w:hint="default"/>
        <w:lang w:val="zh-CN" w:eastAsia="zh-CN" w:bidi="zh-CN"/>
      </w:rPr>
    </w:lvl>
  </w:abstractNum>
  <w:abstractNum w:abstractNumId="35">
    <w:nsid w:val="0CEF100B"/>
    <w:multiLevelType w:val="multilevel"/>
    <w:tmpl w:val="0CEF100B"/>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36">
    <w:nsid w:val="0E640482"/>
    <w:multiLevelType w:val="multilevel"/>
    <w:tmpl w:val="0E640482"/>
    <w:lvl w:ilvl="0" w:tentative="0">
      <w:start w:val="1"/>
      <w:numFmt w:val="decimal"/>
      <w:lvlText w:val="（%1）"/>
      <w:lvlJc w:val="left"/>
      <w:pPr>
        <w:ind w:left="240"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1238" w:hanging="601"/>
      </w:pPr>
      <w:rPr>
        <w:rFonts w:hint="default"/>
        <w:lang w:val="zh-CN" w:eastAsia="zh-CN" w:bidi="zh-CN"/>
      </w:rPr>
    </w:lvl>
    <w:lvl w:ilvl="2" w:tentative="0">
      <w:start w:val="0"/>
      <w:numFmt w:val="bullet"/>
      <w:lvlText w:val="•"/>
      <w:lvlJc w:val="left"/>
      <w:pPr>
        <w:ind w:left="2237" w:hanging="601"/>
      </w:pPr>
      <w:rPr>
        <w:rFonts w:hint="default"/>
        <w:lang w:val="zh-CN" w:eastAsia="zh-CN" w:bidi="zh-CN"/>
      </w:rPr>
    </w:lvl>
    <w:lvl w:ilvl="3" w:tentative="0">
      <w:start w:val="0"/>
      <w:numFmt w:val="bullet"/>
      <w:lvlText w:val="•"/>
      <w:lvlJc w:val="left"/>
      <w:pPr>
        <w:ind w:left="3235" w:hanging="601"/>
      </w:pPr>
      <w:rPr>
        <w:rFonts w:hint="default"/>
        <w:lang w:val="zh-CN" w:eastAsia="zh-CN" w:bidi="zh-CN"/>
      </w:rPr>
    </w:lvl>
    <w:lvl w:ilvl="4" w:tentative="0">
      <w:start w:val="0"/>
      <w:numFmt w:val="bullet"/>
      <w:lvlText w:val="•"/>
      <w:lvlJc w:val="left"/>
      <w:pPr>
        <w:ind w:left="4234" w:hanging="601"/>
      </w:pPr>
      <w:rPr>
        <w:rFonts w:hint="default"/>
        <w:lang w:val="zh-CN" w:eastAsia="zh-CN" w:bidi="zh-CN"/>
      </w:rPr>
    </w:lvl>
    <w:lvl w:ilvl="5" w:tentative="0">
      <w:start w:val="0"/>
      <w:numFmt w:val="bullet"/>
      <w:lvlText w:val="•"/>
      <w:lvlJc w:val="left"/>
      <w:pPr>
        <w:ind w:left="5233" w:hanging="601"/>
      </w:pPr>
      <w:rPr>
        <w:rFonts w:hint="default"/>
        <w:lang w:val="zh-CN" w:eastAsia="zh-CN" w:bidi="zh-CN"/>
      </w:rPr>
    </w:lvl>
    <w:lvl w:ilvl="6" w:tentative="0">
      <w:start w:val="0"/>
      <w:numFmt w:val="bullet"/>
      <w:lvlText w:val="•"/>
      <w:lvlJc w:val="left"/>
      <w:pPr>
        <w:ind w:left="6231" w:hanging="601"/>
      </w:pPr>
      <w:rPr>
        <w:rFonts w:hint="default"/>
        <w:lang w:val="zh-CN" w:eastAsia="zh-CN" w:bidi="zh-CN"/>
      </w:rPr>
    </w:lvl>
    <w:lvl w:ilvl="7" w:tentative="0">
      <w:start w:val="0"/>
      <w:numFmt w:val="bullet"/>
      <w:lvlText w:val="•"/>
      <w:lvlJc w:val="left"/>
      <w:pPr>
        <w:ind w:left="7230" w:hanging="601"/>
      </w:pPr>
      <w:rPr>
        <w:rFonts w:hint="default"/>
        <w:lang w:val="zh-CN" w:eastAsia="zh-CN" w:bidi="zh-CN"/>
      </w:rPr>
    </w:lvl>
    <w:lvl w:ilvl="8" w:tentative="0">
      <w:start w:val="0"/>
      <w:numFmt w:val="bullet"/>
      <w:lvlText w:val="•"/>
      <w:lvlJc w:val="left"/>
      <w:pPr>
        <w:ind w:left="8228" w:hanging="601"/>
      </w:pPr>
      <w:rPr>
        <w:rFonts w:hint="default"/>
        <w:lang w:val="zh-CN" w:eastAsia="zh-CN" w:bidi="zh-CN"/>
      </w:rPr>
    </w:lvl>
  </w:abstractNum>
  <w:abstractNum w:abstractNumId="37">
    <w:nsid w:val="0F9F9CCA"/>
    <w:multiLevelType w:val="multilevel"/>
    <w:tmpl w:val="0F9F9CCA"/>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38">
    <w:nsid w:val="12EADF99"/>
    <w:multiLevelType w:val="multilevel"/>
    <w:tmpl w:val="12EADF99"/>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39">
    <w:nsid w:val="18F74015"/>
    <w:multiLevelType w:val="multilevel"/>
    <w:tmpl w:val="18F74015"/>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40">
    <w:nsid w:val="1ACDE60F"/>
    <w:multiLevelType w:val="multilevel"/>
    <w:tmpl w:val="1ACDE60F"/>
    <w:lvl w:ilvl="0" w:tentative="0">
      <w:start w:val="1"/>
      <w:numFmt w:val="decimal"/>
      <w:lvlText w:val="%1）"/>
      <w:lvlJc w:val="left"/>
      <w:pPr>
        <w:ind w:left="1081"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994" w:hanging="361"/>
      </w:pPr>
      <w:rPr>
        <w:rFonts w:hint="default"/>
        <w:lang w:val="zh-CN" w:eastAsia="zh-CN" w:bidi="zh-CN"/>
      </w:rPr>
    </w:lvl>
    <w:lvl w:ilvl="2" w:tentative="0">
      <w:start w:val="0"/>
      <w:numFmt w:val="bullet"/>
      <w:lvlText w:val="•"/>
      <w:lvlJc w:val="left"/>
      <w:pPr>
        <w:ind w:left="2909" w:hanging="361"/>
      </w:pPr>
      <w:rPr>
        <w:rFonts w:hint="default"/>
        <w:lang w:val="zh-CN" w:eastAsia="zh-CN" w:bidi="zh-CN"/>
      </w:rPr>
    </w:lvl>
    <w:lvl w:ilvl="3" w:tentative="0">
      <w:start w:val="0"/>
      <w:numFmt w:val="bullet"/>
      <w:lvlText w:val="•"/>
      <w:lvlJc w:val="left"/>
      <w:pPr>
        <w:ind w:left="3823" w:hanging="361"/>
      </w:pPr>
      <w:rPr>
        <w:rFonts w:hint="default"/>
        <w:lang w:val="zh-CN" w:eastAsia="zh-CN" w:bidi="zh-CN"/>
      </w:rPr>
    </w:lvl>
    <w:lvl w:ilvl="4" w:tentative="0">
      <w:start w:val="0"/>
      <w:numFmt w:val="bullet"/>
      <w:lvlText w:val="•"/>
      <w:lvlJc w:val="left"/>
      <w:pPr>
        <w:ind w:left="4738" w:hanging="361"/>
      </w:pPr>
      <w:rPr>
        <w:rFonts w:hint="default"/>
        <w:lang w:val="zh-CN" w:eastAsia="zh-CN" w:bidi="zh-CN"/>
      </w:rPr>
    </w:lvl>
    <w:lvl w:ilvl="5" w:tentative="0">
      <w:start w:val="0"/>
      <w:numFmt w:val="bullet"/>
      <w:lvlText w:val="•"/>
      <w:lvlJc w:val="left"/>
      <w:pPr>
        <w:ind w:left="5653" w:hanging="361"/>
      </w:pPr>
      <w:rPr>
        <w:rFonts w:hint="default"/>
        <w:lang w:val="zh-CN" w:eastAsia="zh-CN" w:bidi="zh-CN"/>
      </w:rPr>
    </w:lvl>
    <w:lvl w:ilvl="6" w:tentative="0">
      <w:start w:val="0"/>
      <w:numFmt w:val="bullet"/>
      <w:lvlText w:val="•"/>
      <w:lvlJc w:val="left"/>
      <w:pPr>
        <w:ind w:left="6567" w:hanging="361"/>
      </w:pPr>
      <w:rPr>
        <w:rFonts w:hint="default"/>
        <w:lang w:val="zh-CN" w:eastAsia="zh-CN" w:bidi="zh-CN"/>
      </w:rPr>
    </w:lvl>
    <w:lvl w:ilvl="7" w:tentative="0">
      <w:start w:val="0"/>
      <w:numFmt w:val="bullet"/>
      <w:lvlText w:val="•"/>
      <w:lvlJc w:val="left"/>
      <w:pPr>
        <w:ind w:left="7482" w:hanging="361"/>
      </w:pPr>
      <w:rPr>
        <w:rFonts w:hint="default"/>
        <w:lang w:val="zh-CN" w:eastAsia="zh-CN" w:bidi="zh-CN"/>
      </w:rPr>
    </w:lvl>
    <w:lvl w:ilvl="8" w:tentative="0">
      <w:start w:val="0"/>
      <w:numFmt w:val="bullet"/>
      <w:lvlText w:val="•"/>
      <w:lvlJc w:val="left"/>
      <w:pPr>
        <w:ind w:left="8396" w:hanging="361"/>
      </w:pPr>
      <w:rPr>
        <w:rFonts w:hint="default"/>
        <w:lang w:val="zh-CN" w:eastAsia="zh-CN" w:bidi="zh-CN"/>
      </w:rPr>
    </w:lvl>
  </w:abstractNum>
  <w:abstractNum w:abstractNumId="41">
    <w:nsid w:val="1C257C7B"/>
    <w:multiLevelType w:val="multilevel"/>
    <w:tmpl w:val="1C257C7B"/>
    <w:lvl w:ilvl="0" w:tentative="0">
      <w:start w:val="1"/>
      <w:numFmt w:val="decimal"/>
      <w:lvlText w:val="（%1）"/>
      <w:lvlJc w:val="left"/>
      <w:pPr>
        <w:ind w:left="240"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1238" w:hanging="601"/>
      </w:pPr>
      <w:rPr>
        <w:rFonts w:hint="default"/>
        <w:lang w:val="zh-CN" w:eastAsia="zh-CN" w:bidi="zh-CN"/>
      </w:rPr>
    </w:lvl>
    <w:lvl w:ilvl="2" w:tentative="0">
      <w:start w:val="0"/>
      <w:numFmt w:val="bullet"/>
      <w:lvlText w:val="•"/>
      <w:lvlJc w:val="left"/>
      <w:pPr>
        <w:ind w:left="2237" w:hanging="601"/>
      </w:pPr>
      <w:rPr>
        <w:rFonts w:hint="default"/>
        <w:lang w:val="zh-CN" w:eastAsia="zh-CN" w:bidi="zh-CN"/>
      </w:rPr>
    </w:lvl>
    <w:lvl w:ilvl="3" w:tentative="0">
      <w:start w:val="0"/>
      <w:numFmt w:val="bullet"/>
      <w:lvlText w:val="•"/>
      <w:lvlJc w:val="left"/>
      <w:pPr>
        <w:ind w:left="3235" w:hanging="601"/>
      </w:pPr>
      <w:rPr>
        <w:rFonts w:hint="default"/>
        <w:lang w:val="zh-CN" w:eastAsia="zh-CN" w:bidi="zh-CN"/>
      </w:rPr>
    </w:lvl>
    <w:lvl w:ilvl="4" w:tentative="0">
      <w:start w:val="0"/>
      <w:numFmt w:val="bullet"/>
      <w:lvlText w:val="•"/>
      <w:lvlJc w:val="left"/>
      <w:pPr>
        <w:ind w:left="4234" w:hanging="601"/>
      </w:pPr>
      <w:rPr>
        <w:rFonts w:hint="default"/>
        <w:lang w:val="zh-CN" w:eastAsia="zh-CN" w:bidi="zh-CN"/>
      </w:rPr>
    </w:lvl>
    <w:lvl w:ilvl="5" w:tentative="0">
      <w:start w:val="0"/>
      <w:numFmt w:val="bullet"/>
      <w:lvlText w:val="•"/>
      <w:lvlJc w:val="left"/>
      <w:pPr>
        <w:ind w:left="5233" w:hanging="601"/>
      </w:pPr>
      <w:rPr>
        <w:rFonts w:hint="default"/>
        <w:lang w:val="zh-CN" w:eastAsia="zh-CN" w:bidi="zh-CN"/>
      </w:rPr>
    </w:lvl>
    <w:lvl w:ilvl="6" w:tentative="0">
      <w:start w:val="0"/>
      <w:numFmt w:val="bullet"/>
      <w:lvlText w:val="•"/>
      <w:lvlJc w:val="left"/>
      <w:pPr>
        <w:ind w:left="6231" w:hanging="601"/>
      </w:pPr>
      <w:rPr>
        <w:rFonts w:hint="default"/>
        <w:lang w:val="zh-CN" w:eastAsia="zh-CN" w:bidi="zh-CN"/>
      </w:rPr>
    </w:lvl>
    <w:lvl w:ilvl="7" w:tentative="0">
      <w:start w:val="0"/>
      <w:numFmt w:val="bullet"/>
      <w:lvlText w:val="•"/>
      <w:lvlJc w:val="left"/>
      <w:pPr>
        <w:ind w:left="7230" w:hanging="601"/>
      </w:pPr>
      <w:rPr>
        <w:rFonts w:hint="default"/>
        <w:lang w:val="zh-CN" w:eastAsia="zh-CN" w:bidi="zh-CN"/>
      </w:rPr>
    </w:lvl>
    <w:lvl w:ilvl="8" w:tentative="0">
      <w:start w:val="0"/>
      <w:numFmt w:val="bullet"/>
      <w:lvlText w:val="•"/>
      <w:lvlJc w:val="left"/>
      <w:pPr>
        <w:ind w:left="8228" w:hanging="601"/>
      </w:pPr>
      <w:rPr>
        <w:rFonts w:hint="default"/>
        <w:lang w:val="zh-CN" w:eastAsia="zh-CN" w:bidi="zh-CN"/>
      </w:rPr>
    </w:lvl>
  </w:abstractNum>
  <w:abstractNum w:abstractNumId="42">
    <w:nsid w:val="23E97754"/>
    <w:multiLevelType w:val="multilevel"/>
    <w:tmpl w:val="23E97754"/>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43">
    <w:nsid w:val="243FCF68"/>
    <w:multiLevelType w:val="multilevel"/>
    <w:tmpl w:val="243FCF68"/>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44">
    <w:nsid w:val="2470EC97"/>
    <w:multiLevelType w:val="multilevel"/>
    <w:tmpl w:val="2470EC97"/>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45">
    <w:nsid w:val="25B654F3"/>
    <w:multiLevelType w:val="multilevel"/>
    <w:tmpl w:val="25B654F3"/>
    <w:lvl w:ilvl="0" w:tentative="0">
      <w:start w:val="1"/>
      <w:numFmt w:val="decimal"/>
      <w:lvlText w:val="（%1）"/>
      <w:lvlJc w:val="left"/>
      <w:pPr>
        <w:ind w:left="1321" w:hanging="601"/>
        <w:jc w:val="left"/>
      </w:pPr>
      <w:rPr>
        <w:rFonts w:hint="default" w:ascii="仿宋" w:hAnsi="仿宋" w:eastAsia="仿宋" w:cs="仿宋"/>
        <w:spacing w:val="-1"/>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46">
    <w:nsid w:val="2A8F537B"/>
    <w:multiLevelType w:val="multilevel"/>
    <w:tmpl w:val="2A8F537B"/>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47">
    <w:nsid w:val="30A0AC00"/>
    <w:multiLevelType w:val="multilevel"/>
    <w:tmpl w:val="30A0AC00"/>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48">
    <w:nsid w:val="30FC5B15"/>
    <w:multiLevelType w:val="multilevel"/>
    <w:tmpl w:val="30FC5B15"/>
    <w:lvl w:ilvl="0" w:tentative="0">
      <w:start w:val="3"/>
      <w:numFmt w:val="decimal"/>
      <w:lvlText w:val="%1）"/>
      <w:lvlJc w:val="left"/>
      <w:pPr>
        <w:ind w:left="1081"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994" w:hanging="361"/>
      </w:pPr>
      <w:rPr>
        <w:rFonts w:hint="default"/>
        <w:lang w:val="zh-CN" w:eastAsia="zh-CN" w:bidi="zh-CN"/>
      </w:rPr>
    </w:lvl>
    <w:lvl w:ilvl="2" w:tentative="0">
      <w:start w:val="0"/>
      <w:numFmt w:val="bullet"/>
      <w:lvlText w:val="•"/>
      <w:lvlJc w:val="left"/>
      <w:pPr>
        <w:ind w:left="2909" w:hanging="361"/>
      </w:pPr>
      <w:rPr>
        <w:rFonts w:hint="default"/>
        <w:lang w:val="zh-CN" w:eastAsia="zh-CN" w:bidi="zh-CN"/>
      </w:rPr>
    </w:lvl>
    <w:lvl w:ilvl="3" w:tentative="0">
      <w:start w:val="0"/>
      <w:numFmt w:val="bullet"/>
      <w:lvlText w:val="•"/>
      <w:lvlJc w:val="left"/>
      <w:pPr>
        <w:ind w:left="3823" w:hanging="361"/>
      </w:pPr>
      <w:rPr>
        <w:rFonts w:hint="default"/>
        <w:lang w:val="zh-CN" w:eastAsia="zh-CN" w:bidi="zh-CN"/>
      </w:rPr>
    </w:lvl>
    <w:lvl w:ilvl="4" w:tentative="0">
      <w:start w:val="0"/>
      <w:numFmt w:val="bullet"/>
      <w:lvlText w:val="•"/>
      <w:lvlJc w:val="left"/>
      <w:pPr>
        <w:ind w:left="4738" w:hanging="361"/>
      </w:pPr>
      <w:rPr>
        <w:rFonts w:hint="default"/>
        <w:lang w:val="zh-CN" w:eastAsia="zh-CN" w:bidi="zh-CN"/>
      </w:rPr>
    </w:lvl>
    <w:lvl w:ilvl="5" w:tentative="0">
      <w:start w:val="0"/>
      <w:numFmt w:val="bullet"/>
      <w:lvlText w:val="•"/>
      <w:lvlJc w:val="left"/>
      <w:pPr>
        <w:ind w:left="5653" w:hanging="361"/>
      </w:pPr>
      <w:rPr>
        <w:rFonts w:hint="default"/>
        <w:lang w:val="zh-CN" w:eastAsia="zh-CN" w:bidi="zh-CN"/>
      </w:rPr>
    </w:lvl>
    <w:lvl w:ilvl="6" w:tentative="0">
      <w:start w:val="0"/>
      <w:numFmt w:val="bullet"/>
      <w:lvlText w:val="•"/>
      <w:lvlJc w:val="left"/>
      <w:pPr>
        <w:ind w:left="6567" w:hanging="361"/>
      </w:pPr>
      <w:rPr>
        <w:rFonts w:hint="default"/>
        <w:lang w:val="zh-CN" w:eastAsia="zh-CN" w:bidi="zh-CN"/>
      </w:rPr>
    </w:lvl>
    <w:lvl w:ilvl="7" w:tentative="0">
      <w:start w:val="0"/>
      <w:numFmt w:val="bullet"/>
      <w:lvlText w:val="•"/>
      <w:lvlJc w:val="left"/>
      <w:pPr>
        <w:ind w:left="7482" w:hanging="361"/>
      </w:pPr>
      <w:rPr>
        <w:rFonts w:hint="default"/>
        <w:lang w:val="zh-CN" w:eastAsia="zh-CN" w:bidi="zh-CN"/>
      </w:rPr>
    </w:lvl>
    <w:lvl w:ilvl="8" w:tentative="0">
      <w:start w:val="0"/>
      <w:numFmt w:val="bullet"/>
      <w:lvlText w:val="•"/>
      <w:lvlJc w:val="left"/>
      <w:pPr>
        <w:ind w:left="8396" w:hanging="361"/>
      </w:pPr>
      <w:rPr>
        <w:rFonts w:hint="default"/>
        <w:lang w:val="zh-CN" w:eastAsia="zh-CN" w:bidi="zh-CN"/>
      </w:rPr>
    </w:lvl>
  </w:abstractNum>
  <w:abstractNum w:abstractNumId="49">
    <w:nsid w:val="322D85CA"/>
    <w:multiLevelType w:val="multilevel"/>
    <w:tmpl w:val="322D85CA"/>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50">
    <w:nsid w:val="32A7AF2D"/>
    <w:multiLevelType w:val="multilevel"/>
    <w:tmpl w:val="32A7AF2D"/>
    <w:lvl w:ilvl="0" w:tentative="0">
      <w:start w:val="1"/>
      <w:numFmt w:val="decimal"/>
      <w:lvlText w:val="%1）"/>
      <w:lvlJc w:val="left"/>
      <w:pPr>
        <w:ind w:left="240" w:hanging="361"/>
        <w:jc w:val="left"/>
      </w:pPr>
      <w:rPr>
        <w:rFonts w:hint="default" w:ascii="Times New Roman" w:hAnsi="Times New Roman" w:eastAsia="Times New Roman" w:cs="Times New Roman"/>
        <w:spacing w:val="-14"/>
        <w:w w:val="100"/>
        <w:sz w:val="22"/>
        <w:szCs w:val="22"/>
        <w:lang w:val="zh-CN" w:eastAsia="zh-CN" w:bidi="zh-CN"/>
      </w:rPr>
    </w:lvl>
    <w:lvl w:ilvl="1" w:tentative="0">
      <w:start w:val="0"/>
      <w:numFmt w:val="bullet"/>
      <w:lvlText w:val="•"/>
      <w:lvlJc w:val="left"/>
      <w:pPr>
        <w:ind w:left="1238" w:hanging="361"/>
      </w:pPr>
      <w:rPr>
        <w:rFonts w:hint="default"/>
        <w:lang w:val="zh-CN" w:eastAsia="zh-CN" w:bidi="zh-CN"/>
      </w:rPr>
    </w:lvl>
    <w:lvl w:ilvl="2" w:tentative="0">
      <w:start w:val="0"/>
      <w:numFmt w:val="bullet"/>
      <w:lvlText w:val="•"/>
      <w:lvlJc w:val="left"/>
      <w:pPr>
        <w:ind w:left="2237" w:hanging="361"/>
      </w:pPr>
      <w:rPr>
        <w:rFonts w:hint="default"/>
        <w:lang w:val="zh-CN" w:eastAsia="zh-CN" w:bidi="zh-CN"/>
      </w:rPr>
    </w:lvl>
    <w:lvl w:ilvl="3" w:tentative="0">
      <w:start w:val="0"/>
      <w:numFmt w:val="bullet"/>
      <w:lvlText w:val="•"/>
      <w:lvlJc w:val="left"/>
      <w:pPr>
        <w:ind w:left="3235" w:hanging="361"/>
      </w:pPr>
      <w:rPr>
        <w:rFonts w:hint="default"/>
        <w:lang w:val="zh-CN" w:eastAsia="zh-CN" w:bidi="zh-CN"/>
      </w:rPr>
    </w:lvl>
    <w:lvl w:ilvl="4" w:tentative="0">
      <w:start w:val="0"/>
      <w:numFmt w:val="bullet"/>
      <w:lvlText w:val="•"/>
      <w:lvlJc w:val="left"/>
      <w:pPr>
        <w:ind w:left="4234" w:hanging="361"/>
      </w:pPr>
      <w:rPr>
        <w:rFonts w:hint="default"/>
        <w:lang w:val="zh-CN" w:eastAsia="zh-CN" w:bidi="zh-CN"/>
      </w:rPr>
    </w:lvl>
    <w:lvl w:ilvl="5" w:tentative="0">
      <w:start w:val="0"/>
      <w:numFmt w:val="bullet"/>
      <w:lvlText w:val="•"/>
      <w:lvlJc w:val="left"/>
      <w:pPr>
        <w:ind w:left="5233" w:hanging="361"/>
      </w:pPr>
      <w:rPr>
        <w:rFonts w:hint="default"/>
        <w:lang w:val="zh-CN" w:eastAsia="zh-CN" w:bidi="zh-CN"/>
      </w:rPr>
    </w:lvl>
    <w:lvl w:ilvl="6" w:tentative="0">
      <w:start w:val="0"/>
      <w:numFmt w:val="bullet"/>
      <w:lvlText w:val="•"/>
      <w:lvlJc w:val="left"/>
      <w:pPr>
        <w:ind w:left="6231" w:hanging="361"/>
      </w:pPr>
      <w:rPr>
        <w:rFonts w:hint="default"/>
        <w:lang w:val="zh-CN" w:eastAsia="zh-CN" w:bidi="zh-CN"/>
      </w:rPr>
    </w:lvl>
    <w:lvl w:ilvl="7" w:tentative="0">
      <w:start w:val="0"/>
      <w:numFmt w:val="bullet"/>
      <w:lvlText w:val="•"/>
      <w:lvlJc w:val="left"/>
      <w:pPr>
        <w:ind w:left="7230" w:hanging="361"/>
      </w:pPr>
      <w:rPr>
        <w:rFonts w:hint="default"/>
        <w:lang w:val="zh-CN" w:eastAsia="zh-CN" w:bidi="zh-CN"/>
      </w:rPr>
    </w:lvl>
    <w:lvl w:ilvl="8" w:tentative="0">
      <w:start w:val="0"/>
      <w:numFmt w:val="bullet"/>
      <w:lvlText w:val="•"/>
      <w:lvlJc w:val="left"/>
      <w:pPr>
        <w:ind w:left="8228" w:hanging="361"/>
      </w:pPr>
      <w:rPr>
        <w:rFonts w:hint="default"/>
        <w:lang w:val="zh-CN" w:eastAsia="zh-CN" w:bidi="zh-CN"/>
      </w:rPr>
    </w:lvl>
  </w:abstractNum>
  <w:abstractNum w:abstractNumId="51">
    <w:nsid w:val="35E83B33"/>
    <w:multiLevelType w:val="multilevel"/>
    <w:tmpl w:val="35E83B33"/>
    <w:lvl w:ilvl="0" w:tentative="0">
      <w:start w:val="1"/>
      <w:numFmt w:val="decimal"/>
      <w:lvlText w:val="（%1）"/>
      <w:lvlJc w:val="left"/>
      <w:pPr>
        <w:ind w:left="240"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1238" w:hanging="601"/>
      </w:pPr>
      <w:rPr>
        <w:rFonts w:hint="default"/>
        <w:lang w:val="zh-CN" w:eastAsia="zh-CN" w:bidi="zh-CN"/>
      </w:rPr>
    </w:lvl>
    <w:lvl w:ilvl="2" w:tentative="0">
      <w:start w:val="0"/>
      <w:numFmt w:val="bullet"/>
      <w:lvlText w:val="•"/>
      <w:lvlJc w:val="left"/>
      <w:pPr>
        <w:ind w:left="2237" w:hanging="601"/>
      </w:pPr>
      <w:rPr>
        <w:rFonts w:hint="default"/>
        <w:lang w:val="zh-CN" w:eastAsia="zh-CN" w:bidi="zh-CN"/>
      </w:rPr>
    </w:lvl>
    <w:lvl w:ilvl="3" w:tentative="0">
      <w:start w:val="0"/>
      <w:numFmt w:val="bullet"/>
      <w:lvlText w:val="•"/>
      <w:lvlJc w:val="left"/>
      <w:pPr>
        <w:ind w:left="3235" w:hanging="601"/>
      </w:pPr>
      <w:rPr>
        <w:rFonts w:hint="default"/>
        <w:lang w:val="zh-CN" w:eastAsia="zh-CN" w:bidi="zh-CN"/>
      </w:rPr>
    </w:lvl>
    <w:lvl w:ilvl="4" w:tentative="0">
      <w:start w:val="0"/>
      <w:numFmt w:val="bullet"/>
      <w:lvlText w:val="•"/>
      <w:lvlJc w:val="left"/>
      <w:pPr>
        <w:ind w:left="4234" w:hanging="601"/>
      </w:pPr>
      <w:rPr>
        <w:rFonts w:hint="default"/>
        <w:lang w:val="zh-CN" w:eastAsia="zh-CN" w:bidi="zh-CN"/>
      </w:rPr>
    </w:lvl>
    <w:lvl w:ilvl="5" w:tentative="0">
      <w:start w:val="0"/>
      <w:numFmt w:val="bullet"/>
      <w:lvlText w:val="•"/>
      <w:lvlJc w:val="left"/>
      <w:pPr>
        <w:ind w:left="5233" w:hanging="601"/>
      </w:pPr>
      <w:rPr>
        <w:rFonts w:hint="default"/>
        <w:lang w:val="zh-CN" w:eastAsia="zh-CN" w:bidi="zh-CN"/>
      </w:rPr>
    </w:lvl>
    <w:lvl w:ilvl="6" w:tentative="0">
      <w:start w:val="0"/>
      <w:numFmt w:val="bullet"/>
      <w:lvlText w:val="•"/>
      <w:lvlJc w:val="left"/>
      <w:pPr>
        <w:ind w:left="6231" w:hanging="601"/>
      </w:pPr>
      <w:rPr>
        <w:rFonts w:hint="default"/>
        <w:lang w:val="zh-CN" w:eastAsia="zh-CN" w:bidi="zh-CN"/>
      </w:rPr>
    </w:lvl>
    <w:lvl w:ilvl="7" w:tentative="0">
      <w:start w:val="0"/>
      <w:numFmt w:val="bullet"/>
      <w:lvlText w:val="•"/>
      <w:lvlJc w:val="left"/>
      <w:pPr>
        <w:ind w:left="7230" w:hanging="601"/>
      </w:pPr>
      <w:rPr>
        <w:rFonts w:hint="default"/>
        <w:lang w:val="zh-CN" w:eastAsia="zh-CN" w:bidi="zh-CN"/>
      </w:rPr>
    </w:lvl>
    <w:lvl w:ilvl="8" w:tentative="0">
      <w:start w:val="0"/>
      <w:numFmt w:val="bullet"/>
      <w:lvlText w:val="•"/>
      <w:lvlJc w:val="left"/>
      <w:pPr>
        <w:ind w:left="8228" w:hanging="601"/>
      </w:pPr>
      <w:rPr>
        <w:rFonts w:hint="default"/>
        <w:lang w:val="zh-CN" w:eastAsia="zh-CN" w:bidi="zh-CN"/>
      </w:rPr>
    </w:lvl>
  </w:abstractNum>
  <w:abstractNum w:abstractNumId="52">
    <w:nsid w:val="39A0D9AC"/>
    <w:multiLevelType w:val="multilevel"/>
    <w:tmpl w:val="39A0D9AC"/>
    <w:lvl w:ilvl="0" w:tentative="0">
      <w:start w:val="1"/>
      <w:numFmt w:val="decimal"/>
      <w:lvlText w:val="（%1）"/>
      <w:lvlJc w:val="left"/>
      <w:pPr>
        <w:ind w:left="240" w:hanging="601"/>
        <w:jc w:val="left"/>
      </w:pPr>
      <w:rPr>
        <w:rFonts w:hint="default" w:ascii="仿宋" w:hAnsi="仿宋" w:eastAsia="仿宋" w:cs="仿宋"/>
        <w:spacing w:val="-48"/>
        <w:w w:val="100"/>
        <w:sz w:val="22"/>
        <w:szCs w:val="22"/>
        <w:lang w:val="zh-CN" w:eastAsia="zh-CN" w:bidi="zh-CN"/>
      </w:rPr>
    </w:lvl>
    <w:lvl w:ilvl="1" w:tentative="0">
      <w:start w:val="0"/>
      <w:numFmt w:val="bullet"/>
      <w:lvlText w:val="•"/>
      <w:lvlJc w:val="left"/>
      <w:pPr>
        <w:ind w:left="1238" w:hanging="601"/>
      </w:pPr>
      <w:rPr>
        <w:rFonts w:hint="default"/>
        <w:lang w:val="zh-CN" w:eastAsia="zh-CN" w:bidi="zh-CN"/>
      </w:rPr>
    </w:lvl>
    <w:lvl w:ilvl="2" w:tentative="0">
      <w:start w:val="0"/>
      <w:numFmt w:val="bullet"/>
      <w:lvlText w:val="•"/>
      <w:lvlJc w:val="left"/>
      <w:pPr>
        <w:ind w:left="2237" w:hanging="601"/>
      </w:pPr>
      <w:rPr>
        <w:rFonts w:hint="default"/>
        <w:lang w:val="zh-CN" w:eastAsia="zh-CN" w:bidi="zh-CN"/>
      </w:rPr>
    </w:lvl>
    <w:lvl w:ilvl="3" w:tentative="0">
      <w:start w:val="0"/>
      <w:numFmt w:val="bullet"/>
      <w:lvlText w:val="•"/>
      <w:lvlJc w:val="left"/>
      <w:pPr>
        <w:ind w:left="3235" w:hanging="601"/>
      </w:pPr>
      <w:rPr>
        <w:rFonts w:hint="default"/>
        <w:lang w:val="zh-CN" w:eastAsia="zh-CN" w:bidi="zh-CN"/>
      </w:rPr>
    </w:lvl>
    <w:lvl w:ilvl="4" w:tentative="0">
      <w:start w:val="0"/>
      <w:numFmt w:val="bullet"/>
      <w:lvlText w:val="•"/>
      <w:lvlJc w:val="left"/>
      <w:pPr>
        <w:ind w:left="4234" w:hanging="601"/>
      </w:pPr>
      <w:rPr>
        <w:rFonts w:hint="default"/>
        <w:lang w:val="zh-CN" w:eastAsia="zh-CN" w:bidi="zh-CN"/>
      </w:rPr>
    </w:lvl>
    <w:lvl w:ilvl="5" w:tentative="0">
      <w:start w:val="0"/>
      <w:numFmt w:val="bullet"/>
      <w:lvlText w:val="•"/>
      <w:lvlJc w:val="left"/>
      <w:pPr>
        <w:ind w:left="5233" w:hanging="601"/>
      </w:pPr>
      <w:rPr>
        <w:rFonts w:hint="default"/>
        <w:lang w:val="zh-CN" w:eastAsia="zh-CN" w:bidi="zh-CN"/>
      </w:rPr>
    </w:lvl>
    <w:lvl w:ilvl="6" w:tentative="0">
      <w:start w:val="0"/>
      <w:numFmt w:val="bullet"/>
      <w:lvlText w:val="•"/>
      <w:lvlJc w:val="left"/>
      <w:pPr>
        <w:ind w:left="6231" w:hanging="601"/>
      </w:pPr>
      <w:rPr>
        <w:rFonts w:hint="default"/>
        <w:lang w:val="zh-CN" w:eastAsia="zh-CN" w:bidi="zh-CN"/>
      </w:rPr>
    </w:lvl>
    <w:lvl w:ilvl="7" w:tentative="0">
      <w:start w:val="0"/>
      <w:numFmt w:val="bullet"/>
      <w:lvlText w:val="•"/>
      <w:lvlJc w:val="left"/>
      <w:pPr>
        <w:ind w:left="7230" w:hanging="601"/>
      </w:pPr>
      <w:rPr>
        <w:rFonts w:hint="default"/>
        <w:lang w:val="zh-CN" w:eastAsia="zh-CN" w:bidi="zh-CN"/>
      </w:rPr>
    </w:lvl>
    <w:lvl w:ilvl="8" w:tentative="0">
      <w:start w:val="0"/>
      <w:numFmt w:val="bullet"/>
      <w:lvlText w:val="•"/>
      <w:lvlJc w:val="left"/>
      <w:pPr>
        <w:ind w:left="8228" w:hanging="601"/>
      </w:pPr>
      <w:rPr>
        <w:rFonts w:hint="default"/>
        <w:lang w:val="zh-CN" w:eastAsia="zh-CN" w:bidi="zh-CN"/>
      </w:rPr>
    </w:lvl>
  </w:abstractNum>
  <w:abstractNum w:abstractNumId="53">
    <w:nsid w:val="3B8127DF"/>
    <w:multiLevelType w:val="multilevel"/>
    <w:tmpl w:val="3B8127DF"/>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54">
    <w:nsid w:val="40B249F9"/>
    <w:multiLevelType w:val="multilevel"/>
    <w:tmpl w:val="40B249F9"/>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55">
    <w:nsid w:val="46A08BB8"/>
    <w:multiLevelType w:val="multilevel"/>
    <w:tmpl w:val="46A08BB8"/>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56">
    <w:nsid w:val="4C1BAE26"/>
    <w:multiLevelType w:val="multilevel"/>
    <w:tmpl w:val="4C1BAE26"/>
    <w:lvl w:ilvl="0" w:tentative="0">
      <w:start w:val="1"/>
      <w:numFmt w:val="decimal"/>
      <w:lvlText w:val="（%1）"/>
      <w:lvlJc w:val="left"/>
      <w:pPr>
        <w:ind w:left="240"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1238" w:hanging="601"/>
      </w:pPr>
      <w:rPr>
        <w:rFonts w:hint="default"/>
        <w:lang w:val="zh-CN" w:eastAsia="zh-CN" w:bidi="zh-CN"/>
      </w:rPr>
    </w:lvl>
    <w:lvl w:ilvl="2" w:tentative="0">
      <w:start w:val="0"/>
      <w:numFmt w:val="bullet"/>
      <w:lvlText w:val="•"/>
      <w:lvlJc w:val="left"/>
      <w:pPr>
        <w:ind w:left="2237" w:hanging="601"/>
      </w:pPr>
      <w:rPr>
        <w:rFonts w:hint="default"/>
        <w:lang w:val="zh-CN" w:eastAsia="zh-CN" w:bidi="zh-CN"/>
      </w:rPr>
    </w:lvl>
    <w:lvl w:ilvl="3" w:tentative="0">
      <w:start w:val="0"/>
      <w:numFmt w:val="bullet"/>
      <w:lvlText w:val="•"/>
      <w:lvlJc w:val="left"/>
      <w:pPr>
        <w:ind w:left="3235" w:hanging="601"/>
      </w:pPr>
      <w:rPr>
        <w:rFonts w:hint="default"/>
        <w:lang w:val="zh-CN" w:eastAsia="zh-CN" w:bidi="zh-CN"/>
      </w:rPr>
    </w:lvl>
    <w:lvl w:ilvl="4" w:tentative="0">
      <w:start w:val="0"/>
      <w:numFmt w:val="bullet"/>
      <w:lvlText w:val="•"/>
      <w:lvlJc w:val="left"/>
      <w:pPr>
        <w:ind w:left="4234" w:hanging="601"/>
      </w:pPr>
      <w:rPr>
        <w:rFonts w:hint="default"/>
        <w:lang w:val="zh-CN" w:eastAsia="zh-CN" w:bidi="zh-CN"/>
      </w:rPr>
    </w:lvl>
    <w:lvl w:ilvl="5" w:tentative="0">
      <w:start w:val="0"/>
      <w:numFmt w:val="bullet"/>
      <w:lvlText w:val="•"/>
      <w:lvlJc w:val="left"/>
      <w:pPr>
        <w:ind w:left="5233" w:hanging="601"/>
      </w:pPr>
      <w:rPr>
        <w:rFonts w:hint="default"/>
        <w:lang w:val="zh-CN" w:eastAsia="zh-CN" w:bidi="zh-CN"/>
      </w:rPr>
    </w:lvl>
    <w:lvl w:ilvl="6" w:tentative="0">
      <w:start w:val="0"/>
      <w:numFmt w:val="bullet"/>
      <w:lvlText w:val="•"/>
      <w:lvlJc w:val="left"/>
      <w:pPr>
        <w:ind w:left="6231" w:hanging="601"/>
      </w:pPr>
      <w:rPr>
        <w:rFonts w:hint="default"/>
        <w:lang w:val="zh-CN" w:eastAsia="zh-CN" w:bidi="zh-CN"/>
      </w:rPr>
    </w:lvl>
    <w:lvl w:ilvl="7" w:tentative="0">
      <w:start w:val="0"/>
      <w:numFmt w:val="bullet"/>
      <w:lvlText w:val="•"/>
      <w:lvlJc w:val="left"/>
      <w:pPr>
        <w:ind w:left="7230" w:hanging="601"/>
      </w:pPr>
      <w:rPr>
        <w:rFonts w:hint="default"/>
        <w:lang w:val="zh-CN" w:eastAsia="zh-CN" w:bidi="zh-CN"/>
      </w:rPr>
    </w:lvl>
    <w:lvl w:ilvl="8" w:tentative="0">
      <w:start w:val="0"/>
      <w:numFmt w:val="bullet"/>
      <w:lvlText w:val="•"/>
      <w:lvlJc w:val="left"/>
      <w:pPr>
        <w:ind w:left="8228" w:hanging="601"/>
      </w:pPr>
      <w:rPr>
        <w:rFonts w:hint="default"/>
        <w:lang w:val="zh-CN" w:eastAsia="zh-CN" w:bidi="zh-CN"/>
      </w:rPr>
    </w:lvl>
  </w:abstractNum>
  <w:abstractNum w:abstractNumId="57">
    <w:nsid w:val="4C3D7A74"/>
    <w:multiLevelType w:val="multilevel"/>
    <w:tmpl w:val="4C3D7A74"/>
    <w:lvl w:ilvl="0" w:tentative="0">
      <w:start w:val="1"/>
      <w:numFmt w:val="decimal"/>
      <w:lvlText w:val="%1）"/>
      <w:lvlJc w:val="left"/>
      <w:pPr>
        <w:ind w:left="1081"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994" w:hanging="361"/>
      </w:pPr>
      <w:rPr>
        <w:rFonts w:hint="default"/>
        <w:lang w:val="zh-CN" w:eastAsia="zh-CN" w:bidi="zh-CN"/>
      </w:rPr>
    </w:lvl>
    <w:lvl w:ilvl="2" w:tentative="0">
      <w:start w:val="0"/>
      <w:numFmt w:val="bullet"/>
      <w:lvlText w:val="•"/>
      <w:lvlJc w:val="left"/>
      <w:pPr>
        <w:ind w:left="2909" w:hanging="361"/>
      </w:pPr>
      <w:rPr>
        <w:rFonts w:hint="default"/>
        <w:lang w:val="zh-CN" w:eastAsia="zh-CN" w:bidi="zh-CN"/>
      </w:rPr>
    </w:lvl>
    <w:lvl w:ilvl="3" w:tentative="0">
      <w:start w:val="0"/>
      <w:numFmt w:val="bullet"/>
      <w:lvlText w:val="•"/>
      <w:lvlJc w:val="left"/>
      <w:pPr>
        <w:ind w:left="3823" w:hanging="361"/>
      </w:pPr>
      <w:rPr>
        <w:rFonts w:hint="default"/>
        <w:lang w:val="zh-CN" w:eastAsia="zh-CN" w:bidi="zh-CN"/>
      </w:rPr>
    </w:lvl>
    <w:lvl w:ilvl="4" w:tentative="0">
      <w:start w:val="0"/>
      <w:numFmt w:val="bullet"/>
      <w:lvlText w:val="•"/>
      <w:lvlJc w:val="left"/>
      <w:pPr>
        <w:ind w:left="4738" w:hanging="361"/>
      </w:pPr>
      <w:rPr>
        <w:rFonts w:hint="default"/>
        <w:lang w:val="zh-CN" w:eastAsia="zh-CN" w:bidi="zh-CN"/>
      </w:rPr>
    </w:lvl>
    <w:lvl w:ilvl="5" w:tentative="0">
      <w:start w:val="0"/>
      <w:numFmt w:val="bullet"/>
      <w:lvlText w:val="•"/>
      <w:lvlJc w:val="left"/>
      <w:pPr>
        <w:ind w:left="5653" w:hanging="361"/>
      </w:pPr>
      <w:rPr>
        <w:rFonts w:hint="default"/>
        <w:lang w:val="zh-CN" w:eastAsia="zh-CN" w:bidi="zh-CN"/>
      </w:rPr>
    </w:lvl>
    <w:lvl w:ilvl="6" w:tentative="0">
      <w:start w:val="0"/>
      <w:numFmt w:val="bullet"/>
      <w:lvlText w:val="•"/>
      <w:lvlJc w:val="left"/>
      <w:pPr>
        <w:ind w:left="6567" w:hanging="361"/>
      </w:pPr>
      <w:rPr>
        <w:rFonts w:hint="default"/>
        <w:lang w:val="zh-CN" w:eastAsia="zh-CN" w:bidi="zh-CN"/>
      </w:rPr>
    </w:lvl>
    <w:lvl w:ilvl="7" w:tentative="0">
      <w:start w:val="0"/>
      <w:numFmt w:val="bullet"/>
      <w:lvlText w:val="•"/>
      <w:lvlJc w:val="left"/>
      <w:pPr>
        <w:ind w:left="7482" w:hanging="361"/>
      </w:pPr>
      <w:rPr>
        <w:rFonts w:hint="default"/>
        <w:lang w:val="zh-CN" w:eastAsia="zh-CN" w:bidi="zh-CN"/>
      </w:rPr>
    </w:lvl>
    <w:lvl w:ilvl="8" w:tentative="0">
      <w:start w:val="0"/>
      <w:numFmt w:val="bullet"/>
      <w:lvlText w:val="•"/>
      <w:lvlJc w:val="left"/>
      <w:pPr>
        <w:ind w:left="8396" w:hanging="361"/>
      </w:pPr>
      <w:rPr>
        <w:rFonts w:hint="default"/>
        <w:lang w:val="zh-CN" w:eastAsia="zh-CN" w:bidi="zh-CN"/>
      </w:rPr>
    </w:lvl>
  </w:abstractNum>
  <w:abstractNum w:abstractNumId="58">
    <w:nsid w:val="4D4DC07F"/>
    <w:multiLevelType w:val="multilevel"/>
    <w:tmpl w:val="4D4DC07F"/>
    <w:lvl w:ilvl="0" w:tentative="0">
      <w:start w:val="1"/>
      <w:numFmt w:val="decimal"/>
      <w:lvlText w:val="（%1）"/>
      <w:lvlJc w:val="left"/>
      <w:pPr>
        <w:ind w:left="240"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1238" w:hanging="601"/>
      </w:pPr>
      <w:rPr>
        <w:rFonts w:hint="default"/>
        <w:lang w:val="zh-CN" w:eastAsia="zh-CN" w:bidi="zh-CN"/>
      </w:rPr>
    </w:lvl>
    <w:lvl w:ilvl="2" w:tentative="0">
      <w:start w:val="0"/>
      <w:numFmt w:val="bullet"/>
      <w:lvlText w:val="•"/>
      <w:lvlJc w:val="left"/>
      <w:pPr>
        <w:ind w:left="2237" w:hanging="601"/>
      </w:pPr>
      <w:rPr>
        <w:rFonts w:hint="default"/>
        <w:lang w:val="zh-CN" w:eastAsia="zh-CN" w:bidi="zh-CN"/>
      </w:rPr>
    </w:lvl>
    <w:lvl w:ilvl="3" w:tentative="0">
      <w:start w:val="0"/>
      <w:numFmt w:val="bullet"/>
      <w:lvlText w:val="•"/>
      <w:lvlJc w:val="left"/>
      <w:pPr>
        <w:ind w:left="3235" w:hanging="601"/>
      </w:pPr>
      <w:rPr>
        <w:rFonts w:hint="default"/>
        <w:lang w:val="zh-CN" w:eastAsia="zh-CN" w:bidi="zh-CN"/>
      </w:rPr>
    </w:lvl>
    <w:lvl w:ilvl="4" w:tentative="0">
      <w:start w:val="0"/>
      <w:numFmt w:val="bullet"/>
      <w:lvlText w:val="•"/>
      <w:lvlJc w:val="left"/>
      <w:pPr>
        <w:ind w:left="4234" w:hanging="601"/>
      </w:pPr>
      <w:rPr>
        <w:rFonts w:hint="default"/>
        <w:lang w:val="zh-CN" w:eastAsia="zh-CN" w:bidi="zh-CN"/>
      </w:rPr>
    </w:lvl>
    <w:lvl w:ilvl="5" w:tentative="0">
      <w:start w:val="0"/>
      <w:numFmt w:val="bullet"/>
      <w:lvlText w:val="•"/>
      <w:lvlJc w:val="left"/>
      <w:pPr>
        <w:ind w:left="5233" w:hanging="601"/>
      </w:pPr>
      <w:rPr>
        <w:rFonts w:hint="default"/>
        <w:lang w:val="zh-CN" w:eastAsia="zh-CN" w:bidi="zh-CN"/>
      </w:rPr>
    </w:lvl>
    <w:lvl w:ilvl="6" w:tentative="0">
      <w:start w:val="0"/>
      <w:numFmt w:val="bullet"/>
      <w:lvlText w:val="•"/>
      <w:lvlJc w:val="left"/>
      <w:pPr>
        <w:ind w:left="6231" w:hanging="601"/>
      </w:pPr>
      <w:rPr>
        <w:rFonts w:hint="default"/>
        <w:lang w:val="zh-CN" w:eastAsia="zh-CN" w:bidi="zh-CN"/>
      </w:rPr>
    </w:lvl>
    <w:lvl w:ilvl="7" w:tentative="0">
      <w:start w:val="0"/>
      <w:numFmt w:val="bullet"/>
      <w:lvlText w:val="•"/>
      <w:lvlJc w:val="left"/>
      <w:pPr>
        <w:ind w:left="7230" w:hanging="601"/>
      </w:pPr>
      <w:rPr>
        <w:rFonts w:hint="default"/>
        <w:lang w:val="zh-CN" w:eastAsia="zh-CN" w:bidi="zh-CN"/>
      </w:rPr>
    </w:lvl>
    <w:lvl w:ilvl="8" w:tentative="0">
      <w:start w:val="0"/>
      <w:numFmt w:val="bullet"/>
      <w:lvlText w:val="•"/>
      <w:lvlJc w:val="left"/>
      <w:pPr>
        <w:ind w:left="8228" w:hanging="601"/>
      </w:pPr>
      <w:rPr>
        <w:rFonts w:hint="default"/>
        <w:lang w:val="zh-CN" w:eastAsia="zh-CN" w:bidi="zh-CN"/>
      </w:rPr>
    </w:lvl>
  </w:abstractNum>
  <w:abstractNum w:abstractNumId="59">
    <w:nsid w:val="4D94DA66"/>
    <w:multiLevelType w:val="multilevel"/>
    <w:tmpl w:val="4D94DA66"/>
    <w:lvl w:ilvl="0" w:tentative="0">
      <w:start w:val="1"/>
      <w:numFmt w:val="decimal"/>
      <w:lvlText w:val="%1）"/>
      <w:lvlJc w:val="left"/>
      <w:pPr>
        <w:ind w:left="1081"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994" w:hanging="361"/>
      </w:pPr>
      <w:rPr>
        <w:rFonts w:hint="default"/>
        <w:lang w:val="zh-CN" w:eastAsia="zh-CN" w:bidi="zh-CN"/>
      </w:rPr>
    </w:lvl>
    <w:lvl w:ilvl="2" w:tentative="0">
      <w:start w:val="0"/>
      <w:numFmt w:val="bullet"/>
      <w:lvlText w:val="•"/>
      <w:lvlJc w:val="left"/>
      <w:pPr>
        <w:ind w:left="2909" w:hanging="361"/>
      </w:pPr>
      <w:rPr>
        <w:rFonts w:hint="default"/>
        <w:lang w:val="zh-CN" w:eastAsia="zh-CN" w:bidi="zh-CN"/>
      </w:rPr>
    </w:lvl>
    <w:lvl w:ilvl="3" w:tentative="0">
      <w:start w:val="0"/>
      <w:numFmt w:val="bullet"/>
      <w:lvlText w:val="•"/>
      <w:lvlJc w:val="left"/>
      <w:pPr>
        <w:ind w:left="3823" w:hanging="361"/>
      </w:pPr>
      <w:rPr>
        <w:rFonts w:hint="default"/>
        <w:lang w:val="zh-CN" w:eastAsia="zh-CN" w:bidi="zh-CN"/>
      </w:rPr>
    </w:lvl>
    <w:lvl w:ilvl="4" w:tentative="0">
      <w:start w:val="0"/>
      <w:numFmt w:val="bullet"/>
      <w:lvlText w:val="•"/>
      <w:lvlJc w:val="left"/>
      <w:pPr>
        <w:ind w:left="4738" w:hanging="361"/>
      </w:pPr>
      <w:rPr>
        <w:rFonts w:hint="default"/>
        <w:lang w:val="zh-CN" w:eastAsia="zh-CN" w:bidi="zh-CN"/>
      </w:rPr>
    </w:lvl>
    <w:lvl w:ilvl="5" w:tentative="0">
      <w:start w:val="0"/>
      <w:numFmt w:val="bullet"/>
      <w:lvlText w:val="•"/>
      <w:lvlJc w:val="left"/>
      <w:pPr>
        <w:ind w:left="5653" w:hanging="361"/>
      </w:pPr>
      <w:rPr>
        <w:rFonts w:hint="default"/>
        <w:lang w:val="zh-CN" w:eastAsia="zh-CN" w:bidi="zh-CN"/>
      </w:rPr>
    </w:lvl>
    <w:lvl w:ilvl="6" w:tentative="0">
      <w:start w:val="0"/>
      <w:numFmt w:val="bullet"/>
      <w:lvlText w:val="•"/>
      <w:lvlJc w:val="left"/>
      <w:pPr>
        <w:ind w:left="6567" w:hanging="361"/>
      </w:pPr>
      <w:rPr>
        <w:rFonts w:hint="default"/>
        <w:lang w:val="zh-CN" w:eastAsia="zh-CN" w:bidi="zh-CN"/>
      </w:rPr>
    </w:lvl>
    <w:lvl w:ilvl="7" w:tentative="0">
      <w:start w:val="0"/>
      <w:numFmt w:val="bullet"/>
      <w:lvlText w:val="•"/>
      <w:lvlJc w:val="left"/>
      <w:pPr>
        <w:ind w:left="7482" w:hanging="361"/>
      </w:pPr>
      <w:rPr>
        <w:rFonts w:hint="default"/>
        <w:lang w:val="zh-CN" w:eastAsia="zh-CN" w:bidi="zh-CN"/>
      </w:rPr>
    </w:lvl>
    <w:lvl w:ilvl="8" w:tentative="0">
      <w:start w:val="0"/>
      <w:numFmt w:val="bullet"/>
      <w:lvlText w:val="•"/>
      <w:lvlJc w:val="left"/>
      <w:pPr>
        <w:ind w:left="8396" w:hanging="361"/>
      </w:pPr>
      <w:rPr>
        <w:rFonts w:hint="default"/>
        <w:lang w:val="zh-CN" w:eastAsia="zh-CN" w:bidi="zh-CN"/>
      </w:rPr>
    </w:lvl>
  </w:abstractNum>
  <w:abstractNum w:abstractNumId="60">
    <w:nsid w:val="58765686"/>
    <w:multiLevelType w:val="multilevel"/>
    <w:tmpl w:val="58765686"/>
    <w:lvl w:ilvl="0" w:tentative="0">
      <w:start w:val="1"/>
      <w:numFmt w:val="decimal"/>
      <w:lvlText w:val="（%1）"/>
      <w:lvlJc w:val="left"/>
      <w:pPr>
        <w:ind w:left="240"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1238" w:hanging="601"/>
      </w:pPr>
      <w:rPr>
        <w:rFonts w:hint="default"/>
        <w:lang w:val="zh-CN" w:eastAsia="zh-CN" w:bidi="zh-CN"/>
      </w:rPr>
    </w:lvl>
    <w:lvl w:ilvl="2" w:tentative="0">
      <w:start w:val="0"/>
      <w:numFmt w:val="bullet"/>
      <w:lvlText w:val="•"/>
      <w:lvlJc w:val="left"/>
      <w:pPr>
        <w:ind w:left="2237" w:hanging="601"/>
      </w:pPr>
      <w:rPr>
        <w:rFonts w:hint="default"/>
        <w:lang w:val="zh-CN" w:eastAsia="zh-CN" w:bidi="zh-CN"/>
      </w:rPr>
    </w:lvl>
    <w:lvl w:ilvl="3" w:tentative="0">
      <w:start w:val="0"/>
      <w:numFmt w:val="bullet"/>
      <w:lvlText w:val="•"/>
      <w:lvlJc w:val="left"/>
      <w:pPr>
        <w:ind w:left="3235" w:hanging="601"/>
      </w:pPr>
      <w:rPr>
        <w:rFonts w:hint="default"/>
        <w:lang w:val="zh-CN" w:eastAsia="zh-CN" w:bidi="zh-CN"/>
      </w:rPr>
    </w:lvl>
    <w:lvl w:ilvl="4" w:tentative="0">
      <w:start w:val="0"/>
      <w:numFmt w:val="bullet"/>
      <w:lvlText w:val="•"/>
      <w:lvlJc w:val="left"/>
      <w:pPr>
        <w:ind w:left="4234" w:hanging="601"/>
      </w:pPr>
      <w:rPr>
        <w:rFonts w:hint="default"/>
        <w:lang w:val="zh-CN" w:eastAsia="zh-CN" w:bidi="zh-CN"/>
      </w:rPr>
    </w:lvl>
    <w:lvl w:ilvl="5" w:tentative="0">
      <w:start w:val="0"/>
      <w:numFmt w:val="bullet"/>
      <w:lvlText w:val="•"/>
      <w:lvlJc w:val="left"/>
      <w:pPr>
        <w:ind w:left="5233" w:hanging="601"/>
      </w:pPr>
      <w:rPr>
        <w:rFonts w:hint="default"/>
        <w:lang w:val="zh-CN" w:eastAsia="zh-CN" w:bidi="zh-CN"/>
      </w:rPr>
    </w:lvl>
    <w:lvl w:ilvl="6" w:tentative="0">
      <w:start w:val="0"/>
      <w:numFmt w:val="bullet"/>
      <w:lvlText w:val="•"/>
      <w:lvlJc w:val="left"/>
      <w:pPr>
        <w:ind w:left="6231" w:hanging="601"/>
      </w:pPr>
      <w:rPr>
        <w:rFonts w:hint="default"/>
        <w:lang w:val="zh-CN" w:eastAsia="zh-CN" w:bidi="zh-CN"/>
      </w:rPr>
    </w:lvl>
    <w:lvl w:ilvl="7" w:tentative="0">
      <w:start w:val="0"/>
      <w:numFmt w:val="bullet"/>
      <w:lvlText w:val="•"/>
      <w:lvlJc w:val="left"/>
      <w:pPr>
        <w:ind w:left="7230" w:hanging="601"/>
      </w:pPr>
      <w:rPr>
        <w:rFonts w:hint="default"/>
        <w:lang w:val="zh-CN" w:eastAsia="zh-CN" w:bidi="zh-CN"/>
      </w:rPr>
    </w:lvl>
    <w:lvl w:ilvl="8" w:tentative="0">
      <w:start w:val="0"/>
      <w:numFmt w:val="bullet"/>
      <w:lvlText w:val="•"/>
      <w:lvlJc w:val="left"/>
      <w:pPr>
        <w:ind w:left="8228" w:hanging="601"/>
      </w:pPr>
      <w:rPr>
        <w:rFonts w:hint="default"/>
        <w:lang w:val="zh-CN" w:eastAsia="zh-CN" w:bidi="zh-CN"/>
      </w:rPr>
    </w:lvl>
  </w:abstractNum>
  <w:abstractNum w:abstractNumId="61">
    <w:nsid w:val="59ADCABA"/>
    <w:multiLevelType w:val="multilevel"/>
    <w:tmpl w:val="59ADCABA"/>
    <w:lvl w:ilvl="0" w:tentative="0">
      <w:start w:val="4"/>
      <w:numFmt w:val="decimal"/>
      <w:lvlText w:val="%1"/>
      <w:lvlJc w:val="left"/>
      <w:pPr>
        <w:ind w:left="1680" w:hanging="600"/>
        <w:jc w:val="left"/>
      </w:pPr>
      <w:rPr>
        <w:rFonts w:hint="default"/>
        <w:lang w:val="zh-CN" w:eastAsia="zh-CN" w:bidi="zh-CN"/>
      </w:rPr>
    </w:lvl>
    <w:lvl w:ilvl="1" w:tentative="0">
      <w:start w:val="1"/>
      <w:numFmt w:val="decimal"/>
      <w:lvlText w:val="%1.%2"/>
      <w:lvlJc w:val="left"/>
      <w:pPr>
        <w:ind w:left="1680" w:hanging="600"/>
        <w:jc w:val="left"/>
      </w:pPr>
      <w:rPr>
        <w:rFonts w:hint="default"/>
        <w:lang w:val="zh-CN" w:eastAsia="zh-CN" w:bidi="zh-CN"/>
      </w:rPr>
    </w:lvl>
    <w:lvl w:ilvl="2" w:tentative="0">
      <w:start w:val="1"/>
      <w:numFmt w:val="decimal"/>
      <w:lvlText w:val="%1.%2.%3"/>
      <w:lvlJc w:val="left"/>
      <w:pPr>
        <w:ind w:left="1680" w:hanging="600"/>
        <w:jc w:val="left"/>
      </w:pPr>
      <w:rPr>
        <w:rFonts w:hint="default" w:ascii="Times New Roman" w:hAnsi="Times New Roman" w:eastAsia="Times New Roman" w:cs="Times New Roman"/>
        <w:w w:val="100"/>
        <w:sz w:val="24"/>
        <w:szCs w:val="24"/>
        <w:lang w:val="zh-CN" w:eastAsia="zh-CN" w:bidi="zh-CN"/>
      </w:rPr>
    </w:lvl>
    <w:lvl w:ilvl="3" w:tentative="0">
      <w:start w:val="0"/>
      <w:numFmt w:val="bullet"/>
      <w:lvlText w:val="•"/>
      <w:lvlJc w:val="left"/>
      <w:pPr>
        <w:ind w:left="4243" w:hanging="600"/>
      </w:pPr>
      <w:rPr>
        <w:rFonts w:hint="default"/>
        <w:lang w:val="zh-CN" w:eastAsia="zh-CN" w:bidi="zh-CN"/>
      </w:rPr>
    </w:lvl>
    <w:lvl w:ilvl="4" w:tentative="0">
      <w:start w:val="0"/>
      <w:numFmt w:val="bullet"/>
      <w:lvlText w:val="•"/>
      <w:lvlJc w:val="left"/>
      <w:pPr>
        <w:ind w:left="5098" w:hanging="600"/>
      </w:pPr>
      <w:rPr>
        <w:rFonts w:hint="default"/>
        <w:lang w:val="zh-CN" w:eastAsia="zh-CN" w:bidi="zh-CN"/>
      </w:rPr>
    </w:lvl>
    <w:lvl w:ilvl="5" w:tentative="0">
      <w:start w:val="0"/>
      <w:numFmt w:val="bullet"/>
      <w:lvlText w:val="•"/>
      <w:lvlJc w:val="left"/>
      <w:pPr>
        <w:ind w:left="5953" w:hanging="600"/>
      </w:pPr>
      <w:rPr>
        <w:rFonts w:hint="default"/>
        <w:lang w:val="zh-CN" w:eastAsia="zh-CN" w:bidi="zh-CN"/>
      </w:rPr>
    </w:lvl>
    <w:lvl w:ilvl="6" w:tentative="0">
      <w:start w:val="0"/>
      <w:numFmt w:val="bullet"/>
      <w:lvlText w:val="•"/>
      <w:lvlJc w:val="left"/>
      <w:pPr>
        <w:ind w:left="6807" w:hanging="600"/>
      </w:pPr>
      <w:rPr>
        <w:rFonts w:hint="default"/>
        <w:lang w:val="zh-CN" w:eastAsia="zh-CN" w:bidi="zh-CN"/>
      </w:rPr>
    </w:lvl>
    <w:lvl w:ilvl="7" w:tentative="0">
      <w:start w:val="0"/>
      <w:numFmt w:val="bullet"/>
      <w:lvlText w:val="•"/>
      <w:lvlJc w:val="left"/>
      <w:pPr>
        <w:ind w:left="7662" w:hanging="600"/>
      </w:pPr>
      <w:rPr>
        <w:rFonts w:hint="default"/>
        <w:lang w:val="zh-CN" w:eastAsia="zh-CN" w:bidi="zh-CN"/>
      </w:rPr>
    </w:lvl>
    <w:lvl w:ilvl="8" w:tentative="0">
      <w:start w:val="0"/>
      <w:numFmt w:val="bullet"/>
      <w:lvlText w:val="•"/>
      <w:lvlJc w:val="left"/>
      <w:pPr>
        <w:ind w:left="8516" w:hanging="600"/>
      </w:pPr>
      <w:rPr>
        <w:rFonts w:hint="default"/>
        <w:lang w:val="zh-CN" w:eastAsia="zh-CN" w:bidi="zh-CN"/>
      </w:rPr>
    </w:lvl>
  </w:abstractNum>
  <w:abstractNum w:abstractNumId="62">
    <w:nsid w:val="5A241D34"/>
    <w:multiLevelType w:val="multilevel"/>
    <w:tmpl w:val="5A241D34"/>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63">
    <w:nsid w:val="5E29AB5A"/>
    <w:multiLevelType w:val="multilevel"/>
    <w:tmpl w:val="5E29AB5A"/>
    <w:lvl w:ilvl="0" w:tentative="0">
      <w:start w:val="1"/>
      <w:numFmt w:val="decimal"/>
      <w:lvlText w:val="%1）"/>
      <w:lvlJc w:val="left"/>
      <w:pPr>
        <w:ind w:left="240" w:hanging="361"/>
        <w:jc w:val="left"/>
      </w:pPr>
      <w:rPr>
        <w:rFonts w:hint="default" w:ascii="Times New Roman" w:hAnsi="Times New Roman" w:eastAsia="Times New Roman" w:cs="Times New Roman"/>
        <w:spacing w:val="-48"/>
        <w:w w:val="100"/>
        <w:sz w:val="22"/>
        <w:szCs w:val="22"/>
        <w:lang w:val="zh-CN" w:eastAsia="zh-CN" w:bidi="zh-CN"/>
      </w:rPr>
    </w:lvl>
    <w:lvl w:ilvl="1" w:tentative="0">
      <w:start w:val="0"/>
      <w:numFmt w:val="bullet"/>
      <w:lvlText w:val="•"/>
      <w:lvlJc w:val="left"/>
      <w:pPr>
        <w:ind w:left="1238" w:hanging="361"/>
      </w:pPr>
      <w:rPr>
        <w:rFonts w:hint="default"/>
        <w:lang w:val="zh-CN" w:eastAsia="zh-CN" w:bidi="zh-CN"/>
      </w:rPr>
    </w:lvl>
    <w:lvl w:ilvl="2" w:tentative="0">
      <w:start w:val="0"/>
      <w:numFmt w:val="bullet"/>
      <w:lvlText w:val="•"/>
      <w:lvlJc w:val="left"/>
      <w:pPr>
        <w:ind w:left="2237" w:hanging="361"/>
      </w:pPr>
      <w:rPr>
        <w:rFonts w:hint="default"/>
        <w:lang w:val="zh-CN" w:eastAsia="zh-CN" w:bidi="zh-CN"/>
      </w:rPr>
    </w:lvl>
    <w:lvl w:ilvl="3" w:tentative="0">
      <w:start w:val="0"/>
      <w:numFmt w:val="bullet"/>
      <w:lvlText w:val="•"/>
      <w:lvlJc w:val="left"/>
      <w:pPr>
        <w:ind w:left="3235" w:hanging="361"/>
      </w:pPr>
      <w:rPr>
        <w:rFonts w:hint="default"/>
        <w:lang w:val="zh-CN" w:eastAsia="zh-CN" w:bidi="zh-CN"/>
      </w:rPr>
    </w:lvl>
    <w:lvl w:ilvl="4" w:tentative="0">
      <w:start w:val="0"/>
      <w:numFmt w:val="bullet"/>
      <w:lvlText w:val="•"/>
      <w:lvlJc w:val="left"/>
      <w:pPr>
        <w:ind w:left="4234" w:hanging="361"/>
      </w:pPr>
      <w:rPr>
        <w:rFonts w:hint="default"/>
        <w:lang w:val="zh-CN" w:eastAsia="zh-CN" w:bidi="zh-CN"/>
      </w:rPr>
    </w:lvl>
    <w:lvl w:ilvl="5" w:tentative="0">
      <w:start w:val="0"/>
      <w:numFmt w:val="bullet"/>
      <w:lvlText w:val="•"/>
      <w:lvlJc w:val="left"/>
      <w:pPr>
        <w:ind w:left="5233" w:hanging="361"/>
      </w:pPr>
      <w:rPr>
        <w:rFonts w:hint="default"/>
        <w:lang w:val="zh-CN" w:eastAsia="zh-CN" w:bidi="zh-CN"/>
      </w:rPr>
    </w:lvl>
    <w:lvl w:ilvl="6" w:tentative="0">
      <w:start w:val="0"/>
      <w:numFmt w:val="bullet"/>
      <w:lvlText w:val="•"/>
      <w:lvlJc w:val="left"/>
      <w:pPr>
        <w:ind w:left="6231" w:hanging="361"/>
      </w:pPr>
      <w:rPr>
        <w:rFonts w:hint="default"/>
        <w:lang w:val="zh-CN" w:eastAsia="zh-CN" w:bidi="zh-CN"/>
      </w:rPr>
    </w:lvl>
    <w:lvl w:ilvl="7" w:tentative="0">
      <w:start w:val="0"/>
      <w:numFmt w:val="bullet"/>
      <w:lvlText w:val="•"/>
      <w:lvlJc w:val="left"/>
      <w:pPr>
        <w:ind w:left="7230" w:hanging="361"/>
      </w:pPr>
      <w:rPr>
        <w:rFonts w:hint="default"/>
        <w:lang w:val="zh-CN" w:eastAsia="zh-CN" w:bidi="zh-CN"/>
      </w:rPr>
    </w:lvl>
    <w:lvl w:ilvl="8" w:tentative="0">
      <w:start w:val="0"/>
      <w:numFmt w:val="bullet"/>
      <w:lvlText w:val="•"/>
      <w:lvlJc w:val="left"/>
      <w:pPr>
        <w:ind w:left="8228" w:hanging="361"/>
      </w:pPr>
      <w:rPr>
        <w:rFonts w:hint="default"/>
        <w:lang w:val="zh-CN" w:eastAsia="zh-CN" w:bidi="zh-CN"/>
      </w:rPr>
    </w:lvl>
  </w:abstractNum>
  <w:abstractNum w:abstractNumId="64">
    <w:nsid w:val="5FFFB1A7"/>
    <w:multiLevelType w:val="multilevel"/>
    <w:tmpl w:val="5FFFB1A7"/>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65">
    <w:nsid w:val="60382F6E"/>
    <w:multiLevelType w:val="multilevel"/>
    <w:tmpl w:val="60382F6E"/>
    <w:lvl w:ilvl="0" w:tentative="0">
      <w:start w:val="1"/>
      <w:numFmt w:val="decimal"/>
      <w:lvlText w:val="（%1）"/>
      <w:lvlJc w:val="left"/>
      <w:pPr>
        <w:ind w:left="240"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1238" w:hanging="601"/>
      </w:pPr>
      <w:rPr>
        <w:rFonts w:hint="default"/>
        <w:lang w:val="zh-CN" w:eastAsia="zh-CN" w:bidi="zh-CN"/>
      </w:rPr>
    </w:lvl>
    <w:lvl w:ilvl="2" w:tentative="0">
      <w:start w:val="0"/>
      <w:numFmt w:val="bullet"/>
      <w:lvlText w:val="•"/>
      <w:lvlJc w:val="left"/>
      <w:pPr>
        <w:ind w:left="2237" w:hanging="601"/>
      </w:pPr>
      <w:rPr>
        <w:rFonts w:hint="default"/>
        <w:lang w:val="zh-CN" w:eastAsia="zh-CN" w:bidi="zh-CN"/>
      </w:rPr>
    </w:lvl>
    <w:lvl w:ilvl="3" w:tentative="0">
      <w:start w:val="0"/>
      <w:numFmt w:val="bullet"/>
      <w:lvlText w:val="•"/>
      <w:lvlJc w:val="left"/>
      <w:pPr>
        <w:ind w:left="3235" w:hanging="601"/>
      </w:pPr>
      <w:rPr>
        <w:rFonts w:hint="default"/>
        <w:lang w:val="zh-CN" w:eastAsia="zh-CN" w:bidi="zh-CN"/>
      </w:rPr>
    </w:lvl>
    <w:lvl w:ilvl="4" w:tentative="0">
      <w:start w:val="0"/>
      <w:numFmt w:val="bullet"/>
      <w:lvlText w:val="•"/>
      <w:lvlJc w:val="left"/>
      <w:pPr>
        <w:ind w:left="4234" w:hanging="601"/>
      </w:pPr>
      <w:rPr>
        <w:rFonts w:hint="default"/>
        <w:lang w:val="zh-CN" w:eastAsia="zh-CN" w:bidi="zh-CN"/>
      </w:rPr>
    </w:lvl>
    <w:lvl w:ilvl="5" w:tentative="0">
      <w:start w:val="0"/>
      <w:numFmt w:val="bullet"/>
      <w:lvlText w:val="•"/>
      <w:lvlJc w:val="left"/>
      <w:pPr>
        <w:ind w:left="5233" w:hanging="601"/>
      </w:pPr>
      <w:rPr>
        <w:rFonts w:hint="default"/>
        <w:lang w:val="zh-CN" w:eastAsia="zh-CN" w:bidi="zh-CN"/>
      </w:rPr>
    </w:lvl>
    <w:lvl w:ilvl="6" w:tentative="0">
      <w:start w:val="0"/>
      <w:numFmt w:val="bullet"/>
      <w:lvlText w:val="•"/>
      <w:lvlJc w:val="left"/>
      <w:pPr>
        <w:ind w:left="6231" w:hanging="601"/>
      </w:pPr>
      <w:rPr>
        <w:rFonts w:hint="default"/>
        <w:lang w:val="zh-CN" w:eastAsia="zh-CN" w:bidi="zh-CN"/>
      </w:rPr>
    </w:lvl>
    <w:lvl w:ilvl="7" w:tentative="0">
      <w:start w:val="0"/>
      <w:numFmt w:val="bullet"/>
      <w:lvlText w:val="•"/>
      <w:lvlJc w:val="left"/>
      <w:pPr>
        <w:ind w:left="7230" w:hanging="601"/>
      </w:pPr>
      <w:rPr>
        <w:rFonts w:hint="default"/>
        <w:lang w:val="zh-CN" w:eastAsia="zh-CN" w:bidi="zh-CN"/>
      </w:rPr>
    </w:lvl>
    <w:lvl w:ilvl="8" w:tentative="0">
      <w:start w:val="0"/>
      <w:numFmt w:val="bullet"/>
      <w:lvlText w:val="•"/>
      <w:lvlJc w:val="left"/>
      <w:pPr>
        <w:ind w:left="8228" w:hanging="601"/>
      </w:pPr>
      <w:rPr>
        <w:rFonts w:hint="default"/>
        <w:lang w:val="zh-CN" w:eastAsia="zh-CN" w:bidi="zh-CN"/>
      </w:rPr>
    </w:lvl>
  </w:abstractNum>
  <w:abstractNum w:abstractNumId="66">
    <w:nsid w:val="629F7852"/>
    <w:multiLevelType w:val="multilevel"/>
    <w:tmpl w:val="629F7852"/>
    <w:lvl w:ilvl="0" w:tentative="0">
      <w:start w:val="2"/>
      <w:numFmt w:val="decimal"/>
      <w:lvlText w:val="（%1）"/>
      <w:lvlJc w:val="left"/>
      <w:pPr>
        <w:ind w:left="1321" w:hanging="601"/>
        <w:jc w:val="left"/>
      </w:pPr>
      <w:rPr>
        <w:rFonts w:hint="default" w:ascii="仿宋" w:hAnsi="仿宋" w:eastAsia="仿宋" w:cs="仿宋"/>
        <w:spacing w:val="-17"/>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67">
    <w:nsid w:val="65CD0074"/>
    <w:multiLevelType w:val="multilevel"/>
    <w:tmpl w:val="65CD0074"/>
    <w:lvl w:ilvl="0" w:tentative="0">
      <w:start w:val="1"/>
      <w:numFmt w:val="decimal"/>
      <w:lvlText w:val="%1）"/>
      <w:lvlJc w:val="left"/>
      <w:pPr>
        <w:ind w:left="1081"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994" w:hanging="361"/>
      </w:pPr>
      <w:rPr>
        <w:rFonts w:hint="default"/>
        <w:lang w:val="zh-CN" w:eastAsia="zh-CN" w:bidi="zh-CN"/>
      </w:rPr>
    </w:lvl>
    <w:lvl w:ilvl="2" w:tentative="0">
      <w:start w:val="0"/>
      <w:numFmt w:val="bullet"/>
      <w:lvlText w:val="•"/>
      <w:lvlJc w:val="left"/>
      <w:pPr>
        <w:ind w:left="2909" w:hanging="361"/>
      </w:pPr>
      <w:rPr>
        <w:rFonts w:hint="default"/>
        <w:lang w:val="zh-CN" w:eastAsia="zh-CN" w:bidi="zh-CN"/>
      </w:rPr>
    </w:lvl>
    <w:lvl w:ilvl="3" w:tentative="0">
      <w:start w:val="0"/>
      <w:numFmt w:val="bullet"/>
      <w:lvlText w:val="•"/>
      <w:lvlJc w:val="left"/>
      <w:pPr>
        <w:ind w:left="3823" w:hanging="361"/>
      </w:pPr>
      <w:rPr>
        <w:rFonts w:hint="default"/>
        <w:lang w:val="zh-CN" w:eastAsia="zh-CN" w:bidi="zh-CN"/>
      </w:rPr>
    </w:lvl>
    <w:lvl w:ilvl="4" w:tentative="0">
      <w:start w:val="0"/>
      <w:numFmt w:val="bullet"/>
      <w:lvlText w:val="•"/>
      <w:lvlJc w:val="left"/>
      <w:pPr>
        <w:ind w:left="4738" w:hanging="361"/>
      </w:pPr>
      <w:rPr>
        <w:rFonts w:hint="default"/>
        <w:lang w:val="zh-CN" w:eastAsia="zh-CN" w:bidi="zh-CN"/>
      </w:rPr>
    </w:lvl>
    <w:lvl w:ilvl="5" w:tentative="0">
      <w:start w:val="0"/>
      <w:numFmt w:val="bullet"/>
      <w:lvlText w:val="•"/>
      <w:lvlJc w:val="left"/>
      <w:pPr>
        <w:ind w:left="5653" w:hanging="361"/>
      </w:pPr>
      <w:rPr>
        <w:rFonts w:hint="default"/>
        <w:lang w:val="zh-CN" w:eastAsia="zh-CN" w:bidi="zh-CN"/>
      </w:rPr>
    </w:lvl>
    <w:lvl w:ilvl="6" w:tentative="0">
      <w:start w:val="0"/>
      <w:numFmt w:val="bullet"/>
      <w:lvlText w:val="•"/>
      <w:lvlJc w:val="left"/>
      <w:pPr>
        <w:ind w:left="6567" w:hanging="361"/>
      </w:pPr>
      <w:rPr>
        <w:rFonts w:hint="default"/>
        <w:lang w:val="zh-CN" w:eastAsia="zh-CN" w:bidi="zh-CN"/>
      </w:rPr>
    </w:lvl>
    <w:lvl w:ilvl="7" w:tentative="0">
      <w:start w:val="0"/>
      <w:numFmt w:val="bullet"/>
      <w:lvlText w:val="•"/>
      <w:lvlJc w:val="left"/>
      <w:pPr>
        <w:ind w:left="7482" w:hanging="361"/>
      </w:pPr>
      <w:rPr>
        <w:rFonts w:hint="default"/>
        <w:lang w:val="zh-CN" w:eastAsia="zh-CN" w:bidi="zh-CN"/>
      </w:rPr>
    </w:lvl>
    <w:lvl w:ilvl="8" w:tentative="0">
      <w:start w:val="0"/>
      <w:numFmt w:val="bullet"/>
      <w:lvlText w:val="•"/>
      <w:lvlJc w:val="left"/>
      <w:pPr>
        <w:ind w:left="8396" w:hanging="361"/>
      </w:pPr>
      <w:rPr>
        <w:rFonts w:hint="default"/>
        <w:lang w:val="zh-CN" w:eastAsia="zh-CN" w:bidi="zh-CN"/>
      </w:rPr>
    </w:lvl>
  </w:abstractNum>
  <w:abstractNum w:abstractNumId="68">
    <w:nsid w:val="700FDCEF"/>
    <w:multiLevelType w:val="multilevel"/>
    <w:tmpl w:val="700FDCEF"/>
    <w:lvl w:ilvl="0" w:tentative="0">
      <w:start w:val="4"/>
      <w:numFmt w:val="decimal"/>
      <w:lvlText w:val="%1."/>
      <w:lvlJc w:val="left"/>
      <w:pPr>
        <w:ind w:left="731" w:hanging="212"/>
        <w:jc w:val="left"/>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2081" w:hanging="212"/>
      </w:pPr>
      <w:rPr>
        <w:rFonts w:hint="default"/>
        <w:lang w:val="zh-CN" w:eastAsia="zh-CN" w:bidi="zh-CN"/>
      </w:rPr>
    </w:lvl>
    <w:lvl w:ilvl="2" w:tentative="0">
      <w:start w:val="0"/>
      <w:numFmt w:val="bullet"/>
      <w:lvlText w:val="•"/>
      <w:lvlJc w:val="left"/>
      <w:pPr>
        <w:ind w:left="3423" w:hanging="212"/>
      </w:pPr>
      <w:rPr>
        <w:rFonts w:hint="default"/>
        <w:lang w:val="zh-CN" w:eastAsia="zh-CN" w:bidi="zh-CN"/>
      </w:rPr>
    </w:lvl>
    <w:lvl w:ilvl="3" w:tentative="0">
      <w:start w:val="0"/>
      <w:numFmt w:val="bullet"/>
      <w:lvlText w:val="•"/>
      <w:lvlJc w:val="left"/>
      <w:pPr>
        <w:ind w:left="4765" w:hanging="212"/>
      </w:pPr>
      <w:rPr>
        <w:rFonts w:hint="default"/>
        <w:lang w:val="zh-CN" w:eastAsia="zh-CN" w:bidi="zh-CN"/>
      </w:rPr>
    </w:lvl>
    <w:lvl w:ilvl="4" w:tentative="0">
      <w:start w:val="0"/>
      <w:numFmt w:val="bullet"/>
      <w:lvlText w:val="•"/>
      <w:lvlJc w:val="left"/>
      <w:pPr>
        <w:ind w:left="6107" w:hanging="212"/>
      </w:pPr>
      <w:rPr>
        <w:rFonts w:hint="default"/>
        <w:lang w:val="zh-CN" w:eastAsia="zh-CN" w:bidi="zh-CN"/>
      </w:rPr>
    </w:lvl>
    <w:lvl w:ilvl="5" w:tentative="0">
      <w:start w:val="0"/>
      <w:numFmt w:val="bullet"/>
      <w:lvlText w:val="•"/>
      <w:lvlJc w:val="left"/>
      <w:pPr>
        <w:ind w:left="7449" w:hanging="212"/>
      </w:pPr>
      <w:rPr>
        <w:rFonts w:hint="default"/>
        <w:lang w:val="zh-CN" w:eastAsia="zh-CN" w:bidi="zh-CN"/>
      </w:rPr>
    </w:lvl>
    <w:lvl w:ilvl="6" w:tentative="0">
      <w:start w:val="0"/>
      <w:numFmt w:val="bullet"/>
      <w:lvlText w:val="•"/>
      <w:lvlJc w:val="left"/>
      <w:pPr>
        <w:ind w:left="8790" w:hanging="212"/>
      </w:pPr>
      <w:rPr>
        <w:rFonts w:hint="default"/>
        <w:lang w:val="zh-CN" w:eastAsia="zh-CN" w:bidi="zh-CN"/>
      </w:rPr>
    </w:lvl>
    <w:lvl w:ilvl="7" w:tentative="0">
      <w:start w:val="0"/>
      <w:numFmt w:val="bullet"/>
      <w:lvlText w:val="•"/>
      <w:lvlJc w:val="left"/>
      <w:pPr>
        <w:ind w:left="10132" w:hanging="212"/>
      </w:pPr>
      <w:rPr>
        <w:rFonts w:hint="default"/>
        <w:lang w:val="zh-CN" w:eastAsia="zh-CN" w:bidi="zh-CN"/>
      </w:rPr>
    </w:lvl>
    <w:lvl w:ilvl="8" w:tentative="0">
      <w:start w:val="0"/>
      <w:numFmt w:val="bullet"/>
      <w:lvlText w:val="•"/>
      <w:lvlJc w:val="left"/>
      <w:pPr>
        <w:ind w:left="11474" w:hanging="212"/>
      </w:pPr>
      <w:rPr>
        <w:rFonts w:hint="default"/>
        <w:lang w:val="zh-CN" w:eastAsia="zh-CN" w:bidi="zh-CN"/>
      </w:rPr>
    </w:lvl>
  </w:abstractNum>
  <w:abstractNum w:abstractNumId="69">
    <w:nsid w:val="72183CF9"/>
    <w:multiLevelType w:val="multilevel"/>
    <w:tmpl w:val="72183CF9"/>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70">
    <w:nsid w:val="74C28B35"/>
    <w:multiLevelType w:val="multilevel"/>
    <w:tmpl w:val="74C28B35"/>
    <w:lvl w:ilvl="0" w:tentative="0">
      <w:start w:val="1"/>
      <w:numFmt w:val="decimal"/>
      <w:lvlText w:val="%1）"/>
      <w:lvlJc w:val="left"/>
      <w:pPr>
        <w:ind w:left="1081"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994" w:hanging="361"/>
      </w:pPr>
      <w:rPr>
        <w:rFonts w:hint="default"/>
        <w:lang w:val="zh-CN" w:eastAsia="zh-CN" w:bidi="zh-CN"/>
      </w:rPr>
    </w:lvl>
    <w:lvl w:ilvl="2" w:tentative="0">
      <w:start w:val="0"/>
      <w:numFmt w:val="bullet"/>
      <w:lvlText w:val="•"/>
      <w:lvlJc w:val="left"/>
      <w:pPr>
        <w:ind w:left="2909" w:hanging="361"/>
      </w:pPr>
      <w:rPr>
        <w:rFonts w:hint="default"/>
        <w:lang w:val="zh-CN" w:eastAsia="zh-CN" w:bidi="zh-CN"/>
      </w:rPr>
    </w:lvl>
    <w:lvl w:ilvl="3" w:tentative="0">
      <w:start w:val="0"/>
      <w:numFmt w:val="bullet"/>
      <w:lvlText w:val="•"/>
      <w:lvlJc w:val="left"/>
      <w:pPr>
        <w:ind w:left="3823" w:hanging="361"/>
      </w:pPr>
      <w:rPr>
        <w:rFonts w:hint="default"/>
        <w:lang w:val="zh-CN" w:eastAsia="zh-CN" w:bidi="zh-CN"/>
      </w:rPr>
    </w:lvl>
    <w:lvl w:ilvl="4" w:tentative="0">
      <w:start w:val="0"/>
      <w:numFmt w:val="bullet"/>
      <w:lvlText w:val="•"/>
      <w:lvlJc w:val="left"/>
      <w:pPr>
        <w:ind w:left="4738" w:hanging="361"/>
      </w:pPr>
      <w:rPr>
        <w:rFonts w:hint="default"/>
        <w:lang w:val="zh-CN" w:eastAsia="zh-CN" w:bidi="zh-CN"/>
      </w:rPr>
    </w:lvl>
    <w:lvl w:ilvl="5" w:tentative="0">
      <w:start w:val="0"/>
      <w:numFmt w:val="bullet"/>
      <w:lvlText w:val="•"/>
      <w:lvlJc w:val="left"/>
      <w:pPr>
        <w:ind w:left="5653" w:hanging="361"/>
      </w:pPr>
      <w:rPr>
        <w:rFonts w:hint="default"/>
        <w:lang w:val="zh-CN" w:eastAsia="zh-CN" w:bidi="zh-CN"/>
      </w:rPr>
    </w:lvl>
    <w:lvl w:ilvl="6" w:tentative="0">
      <w:start w:val="0"/>
      <w:numFmt w:val="bullet"/>
      <w:lvlText w:val="•"/>
      <w:lvlJc w:val="left"/>
      <w:pPr>
        <w:ind w:left="6567" w:hanging="361"/>
      </w:pPr>
      <w:rPr>
        <w:rFonts w:hint="default"/>
        <w:lang w:val="zh-CN" w:eastAsia="zh-CN" w:bidi="zh-CN"/>
      </w:rPr>
    </w:lvl>
    <w:lvl w:ilvl="7" w:tentative="0">
      <w:start w:val="0"/>
      <w:numFmt w:val="bullet"/>
      <w:lvlText w:val="•"/>
      <w:lvlJc w:val="left"/>
      <w:pPr>
        <w:ind w:left="7482" w:hanging="361"/>
      </w:pPr>
      <w:rPr>
        <w:rFonts w:hint="default"/>
        <w:lang w:val="zh-CN" w:eastAsia="zh-CN" w:bidi="zh-CN"/>
      </w:rPr>
    </w:lvl>
    <w:lvl w:ilvl="8" w:tentative="0">
      <w:start w:val="0"/>
      <w:numFmt w:val="bullet"/>
      <w:lvlText w:val="•"/>
      <w:lvlJc w:val="left"/>
      <w:pPr>
        <w:ind w:left="8396" w:hanging="361"/>
      </w:pPr>
      <w:rPr>
        <w:rFonts w:hint="default"/>
        <w:lang w:val="zh-CN" w:eastAsia="zh-CN" w:bidi="zh-CN"/>
      </w:rPr>
    </w:lvl>
  </w:abstractNum>
  <w:abstractNum w:abstractNumId="71">
    <w:nsid w:val="77ECEA79"/>
    <w:multiLevelType w:val="multilevel"/>
    <w:tmpl w:val="77ECEA79"/>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72">
    <w:nsid w:val="79AA4FA4"/>
    <w:multiLevelType w:val="multilevel"/>
    <w:tmpl w:val="79AA4FA4"/>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abstractNum w:abstractNumId="73">
    <w:nsid w:val="7C246926"/>
    <w:multiLevelType w:val="multilevel"/>
    <w:tmpl w:val="7C246926"/>
    <w:lvl w:ilvl="0" w:tentative="0">
      <w:start w:val="1"/>
      <w:numFmt w:val="decimal"/>
      <w:lvlText w:val="（%1）"/>
      <w:lvlJc w:val="left"/>
      <w:pPr>
        <w:ind w:left="240"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1238" w:hanging="601"/>
      </w:pPr>
      <w:rPr>
        <w:rFonts w:hint="default"/>
        <w:lang w:val="zh-CN" w:eastAsia="zh-CN" w:bidi="zh-CN"/>
      </w:rPr>
    </w:lvl>
    <w:lvl w:ilvl="2" w:tentative="0">
      <w:start w:val="0"/>
      <w:numFmt w:val="bullet"/>
      <w:lvlText w:val="•"/>
      <w:lvlJc w:val="left"/>
      <w:pPr>
        <w:ind w:left="2237" w:hanging="601"/>
      </w:pPr>
      <w:rPr>
        <w:rFonts w:hint="default"/>
        <w:lang w:val="zh-CN" w:eastAsia="zh-CN" w:bidi="zh-CN"/>
      </w:rPr>
    </w:lvl>
    <w:lvl w:ilvl="3" w:tentative="0">
      <w:start w:val="0"/>
      <w:numFmt w:val="bullet"/>
      <w:lvlText w:val="•"/>
      <w:lvlJc w:val="left"/>
      <w:pPr>
        <w:ind w:left="3235" w:hanging="601"/>
      </w:pPr>
      <w:rPr>
        <w:rFonts w:hint="default"/>
        <w:lang w:val="zh-CN" w:eastAsia="zh-CN" w:bidi="zh-CN"/>
      </w:rPr>
    </w:lvl>
    <w:lvl w:ilvl="4" w:tentative="0">
      <w:start w:val="0"/>
      <w:numFmt w:val="bullet"/>
      <w:lvlText w:val="•"/>
      <w:lvlJc w:val="left"/>
      <w:pPr>
        <w:ind w:left="4234" w:hanging="601"/>
      </w:pPr>
      <w:rPr>
        <w:rFonts w:hint="default"/>
        <w:lang w:val="zh-CN" w:eastAsia="zh-CN" w:bidi="zh-CN"/>
      </w:rPr>
    </w:lvl>
    <w:lvl w:ilvl="5" w:tentative="0">
      <w:start w:val="0"/>
      <w:numFmt w:val="bullet"/>
      <w:lvlText w:val="•"/>
      <w:lvlJc w:val="left"/>
      <w:pPr>
        <w:ind w:left="5233" w:hanging="601"/>
      </w:pPr>
      <w:rPr>
        <w:rFonts w:hint="default"/>
        <w:lang w:val="zh-CN" w:eastAsia="zh-CN" w:bidi="zh-CN"/>
      </w:rPr>
    </w:lvl>
    <w:lvl w:ilvl="6" w:tentative="0">
      <w:start w:val="0"/>
      <w:numFmt w:val="bullet"/>
      <w:lvlText w:val="•"/>
      <w:lvlJc w:val="left"/>
      <w:pPr>
        <w:ind w:left="6231" w:hanging="601"/>
      </w:pPr>
      <w:rPr>
        <w:rFonts w:hint="default"/>
        <w:lang w:val="zh-CN" w:eastAsia="zh-CN" w:bidi="zh-CN"/>
      </w:rPr>
    </w:lvl>
    <w:lvl w:ilvl="7" w:tentative="0">
      <w:start w:val="0"/>
      <w:numFmt w:val="bullet"/>
      <w:lvlText w:val="•"/>
      <w:lvlJc w:val="left"/>
      <w:pPr>
        <w:ind w:left="7230" w:hanging="601"/>
      </w:pPr>
      <w:rPr>
        <w:rFonts w:hint="default"/>
        <w:lang w:val="zh-CN" w:eastAsia="zh-CN" w:bidi="zh-CN"/>
      </w:rPr>
    </w:lvl>
    <w:lvl w:ilvl="8" w:tentative="0">
      <w:start w:val="0"/>
      <w:numFmt w:val="bullet"/>
      <w:lvlText w:val="•"/>
      <w:lvlJc w:val="left"/>
      <w:pPr>
        <w:ind w:left="8228" w:hanging="601"/>
      </w:pPr>
      <w:rPr>
        <w:rFonts w:hint="default"/>
        <w:lang w:val="zh-CN" w:eastAsia="zh-CN" w:bidi="zh-CN"/>
      </w:rPr>
    </w:lvl>
  </w:abstractNum>
  <w:abstractNum w:abstractNumId="74">
    <w:nsid w:val="7DEC2089"/>
    <w:multiLevelType w:val="multilevel"/>
    <w:tmpl w:val="7DEC2089"/>
    <w:lvl w:ilvl="0" w:tentative="0">
      <w:start w:val="1"/>
      <w:numFmt w:val="decimal"/>
      <w:lvlText w:val="（%1）"/>
      <w:lvlJc w:val="left"/>
      <w:pPr>
        <w:ind w:left="1321" w:hanging="601"/>
        <w:jc w:val="left"/>
      </w:pPr>
      <w:rPr>
        <w:rFonts w:hint="default" w:ascii="仿宋" w:hAnsi="仿宋" w:eastAsia="仿宋" w:cs="仿宋"/>
        <w:w w:val="100"/>
        <w:sz w:val="22"/>
        <w:szCs w:val="22"/>
        <w:lang w:val="zh-CN" w:eastAsia="zh-CN" w:bidi="zh-CN"/>
      </w:rPr>
    </w:lvl>
    <w:lvl w:ilvl="1" w:tentative="0">
      <w:start w:val="0"/>
      <w:numFmt w:val="bullet"/>
      <w:lvlText w:val="•"/>
      <w:lvlJc w:val="left"/>
      <w:pPr>
        <w:ind w:left="2210" w:hanging="601"/>
      </w:pPr>
      <w:rPr>
        <w:rFonts w:hint="default"/>
        <w:lang w:val="zh-CN" w:eastAsia="zh-CN" w:bidi="zh-CN"/>
      </w:rPr>
    </w:lvl>
    <w:lvl w:ilvl="2" w:tentative="0">
      <w:start w:val="0"/>
      <w:numFmt w:val="bullet"/>
      <w:lvlText w:val="•"/>
      <w:lvlJc w:val="left"/>
      <w:pPr>
        <w:ind w:left="3101" w:hanging="601"/>
      </w:pPr>
      <w:rPr>
        <w:rFonts w:hint="default"/>
        <w:lang w:val="zh-CN" w:eastAsia="zh-CN" w:bidi="zh-CN"/>
      </w:rPr>
    </w:lvl>
    <w:lvl w:ilvl="3" w:tentative="0">
      <w:start w:val="0"/>
      <w:numFmt w:val="bullet"/>
      <w:lvlText w:val="•"/>
      <w:lvlJc w:val="left"/>
      <w:pPr>
        <w:ind w:left="3991" w:hanging="601"/>
      </w:pPr>
      <w:rPr>
        <w:rFonts w:hint="default"/>
        <w:lang w:val="zh-CN" w:eastAsia="zh-CN" w:bidi="zh-CN"/>
      </w:rPr>
    </w:lvl>
    <w:lvl w:ilvl="4" w:tentative="0">
      <w:start w:val="0"/>
      <w:numFmt w:val="bullet"/>
      <w:lvlText w:val="•"/>
      <w:lvlJc w:val="left"/>
      <w:pPr>
        <w:ind w:left="4882" w:hanging="601"/>
      </w:pPr>
      <w:rPr>
        <w:rFonts w:hint="default"/>
        <w:lang w:val="zh-CN" w:eastAsia="zh-CN" w:bidi="zh-CN"/>
      </w:rPr>
    </w:lvl>
    <w:lvl w:ilvl="5" w:tentative="0">
      <w:start w:val="0"/>
      <w:numFmt w:val="bullet"/>
      <w:lvlText w:val="•"/>
      <w:lvlJc w:val="left"/>
      <w:pPr>
        <w:ind w:left="5773" w:hanging="601"/>
      </w:pPr>
      <w:rPr>
        <w:rFonts w:hint="default"/>
        <w:lang w:val="zh-CN" w:eastAsia="zh-CN" w:bidi="zh-CN"/>
      </w:rPr>
    </w:lvl>
    <w:lvl w:ilvl="6" w:tentative="0">
      <w:start w:val="0"/>
      <w:numFmt w:val="bullet"/>
      <w:lvlText w:val="•"/>
      <w:lvlJc w:val="left"/>
      <w:pPr>
        <w:ind w:left="6663" w:hanging="601"/>
      </w:pPr>
      <w:rPr>
        <w:rFonts w:hint="default"/>
        <w:lang w:val="zh-CN" w:eastAsia="zh-CN" w:bidi="zh-CN"/>
      </w:rPr>
    </w:lvl>
    <w:lvl w:ilvl="7" w:tentative="0">
      <w:start w:val="0"/>
      <w:numFmt w:val="bullet"/>
      <w:lvlText w:val="•"/>
      <w:lvlJc w:val="left"/>
      <w:pPr>
        <w:ind w:left="7554" w:hanging="601"/>
      </w:pPr>
      <w:rPr>
        <w:rFonts w:hint="default"/>
        <w:lang w:val="zh-CN" w:eastAsia="zh-CN" w:bidi="zh-CN"/>
      </w:rPr>
    </w:lvl>
    <w:lvl w:ilvl="8" w:tentative="0">
      <w:start w:val="0"/>
      <w:numFmt w:val="bullet"/>
      <w:lvlText w:val="•"/>
      <w:lvlJc w:val="left"/>
      <w:pPr>
        <w:ind w:left="8444" w:hanging="601"/>
      </w:pPr>
      <w:rPr>
        <w:rFonts w:hint="default"/>
        <w:lang w:val="zh-CN" w:eastAsia="zh-CN" w:bidi="zh-CN"/>
      </w:rPr>
    </w:lvl>
  </w:abstractNum>
  <w:num w:numId="1">
    <w:abstractNumId w:val="30"/>
  </w:num>
  <w:num w:numId="2">
    <w:abstractNumId w:val="19"/>
  </w:num>
  <w:num w:numId="3">
    <w:abstractNumId w:val="61"/>
  </w:num>
  <w:num w:numId="4">
    <w:abstractNumId w:val="16"/>
  </w:num>
  <w:num w:numId="5">
    <w:abstractNumId w:val="12"/>
  </w:num>
  <w:num w:numId="6">
    <w:abstractNumId w:val="33"/>
  </w:num>
  <w:num w:numId="7">
    <w:abstractNumId w:val="45"/>
  </w:num>
  <w:num w:numId="8">
    <w:abstractNumId w:val="69"/>
  </w:num>
  <w:num w:numId="9">
    <w:abstractNumId w:val="31"/>
  </w:num>
  <w:num w:numId="10">
    <w:abstractNumId w:val="5"/>
  </w:num>
  <w:num w:numId="11">
    <w:abstractNumId w:val="46"/>
  </w:num>
  <w:num w:numId="12">
    <w:abstractNumId w:val="62"/>
  </w:num>
  <w:num w:numId="13">
    <w:abstractNumId w:val="18"/>
  </w:num>
  <w:num w:numId="14">
    <w:abstractNumId w:val="58"/>
  </w:num>
  <w:num w:numId="15">
    <w:abstractNumId w:val="25"/>
  </w:num>
  <w:num w:numId="16">
    <w:abstractNumId w:val="44"/>
  </w:num>
  <w:num w:numId="17">
    <w:abstractNumId w:val="22"/>
  </w:num>
  <w:num w:numId="18">
    <w:abstractNumId w:val="21"/>
  </w:num>
  <w:num w:numId="19">
    <w:abstractNumId w:val="7"/>
  </w:num>
  <w:num w:numId="20">
    <w:abstractNumId w:val="56"/>
  </w:num>
  <w:num w:numId="21">
    <w:abstractNumId w:val="65"/>
  </w:num>
  <w:num w:numId="22">
    <w:abstractNumId w:val="36"/>
  </w:num>
  <w:num w:numId="23">
    <w:abstractNumId w:val="55"/>
  </w:num>
  <w:num w:numId="24">
    <w:abstractNumId w:val="9"/>
  </w:num>
  <w:num w:numId="25">
    <w:abstractNumId w:val="73"/>
  </w:num>
  <w:num w:numId="26">
    <w:abstractNumId w:val="71"/>
  </w:num>
  <w:num w:numId="27">
    <w:abstractNumId w:val="15"/>
  </w:num>
  <w:num w:numId="28">
    <w:abstractNumId w:val="66"/>
  </w:num>
  <w:num w:numId="29">
    <w:abstractNumId w:val="6"/>
  </w:num>
  <w:num w:numId="30">
    <w:abstractNumId w:val="52"/>
  </w:num>
  <w:num w:numId="31">
    <w:abstractNumId w:val="2"/>
  </w:num>
  <w:num w:numId="32">
    <w:abstractNumId w:val="60"/>
  </w:num>
  <w:num w:numId="33">
    <w:abstractNumId w:val="74"/>
  </w:num>
  <w:num w:numId="34">
    <w:abstractNumId w:val="0"/>
  </w:num>
  <w:num w:numId="35">
    <w:abstractNumId w:val="43"/>
  </w:num>
  <w:num w:numId="36">
    <w:abstractNumId w:val="59"/>
  </w:num>
  <w:num w:numId="37">
    <w:abstractNumId w:val="27"/>
  </w:num>
  <w:num w:numId="38">
    <w:abstractNumId w:val="23"/>
  </w:num>
  <w:num w:numId="39">
    <w:abstractNumId w:val="48"/>
  </w:num>
  <w:num w:numId="40">
    <w:abstractNumId w:val="72"/>
  </w:num>
  <w:num w:numId="41">
    <w:abstractNumId w:val="14"/>
  </w:num>
  <w:num w:numId="42">
    <w:abstractNumId w:val="4"/>
  </w:num>
  <w:num w:numId="43">
    <w:abstractNumId w:val="13"/>
  </w:num>
  <w:num w:numId="44">
    <w:abstractNumId w:val="63"/>
  </w:num>
  <w:num w:numId="45">
    <w:abstractNumId w:val="1"/>
  </w:num>
  <w:num w:numId="46">
    <w:abstractNumId w:val="40"/>
  </w:num>
  <w:num w:numId="47">
    <w:abstractNumId w:val="3"/>
  </w:num>
  <w:num w:numId="48">
    <w:abstractNumId w:val="64"/>
  </w:num>
  <w:num w:numId="49">
    <w:abstractNumId w:val="70"/>
  </w:num>
  <w:num w:numId="50">
    <w:abstractNumId w:val="57"/>
  </w:num>
  <w:num w:numId="51">
    <w:abstractNumId w:val="49"/>
  </w:num>
  <w:num w:numId="52">
    <w:abstractNumId w:val="67"/>
  </w:num>
  <w:num w:numId="53">
    <w:abstractNumId w:val="34"/>
  </w:num>
  <w:num w:numId="54">
    <w:abstractNumId w:val="35"/>
  </w:num>
  <w:num w:numId="55">
    <w:abstractNumId w:val="20"/>
  </w:num>
  <w:num w:numId="56">
    <w:abstractNumId w:val="50"/>
  </w:num>
  <w:num w:numId="57">
    <w:abstractNumId w:val="41"/>
  </w:num>
  <w:num w:numId="58">
    <w:abstractNumId w:val="24"/>
  </w:num>
  <w:num w:numId="59">
    <w:abstractNumId w:val="42"/>
  </w:num>
  <w:num w:numId="60">
    <w:abstractNumId w:val="11"/>
  </w:num>
  <w:num w:numId="61">
    <w:abstractNumId w:val="54"/>
  </w:num>
  <w:num w:numId="62">
    <w:abstractNumId w:val="37"/>
  </w:num>
  <w:num w:numId="63">
    <w:abstractNumId w:val="51"/>
  </w:num>
  <w:num w:numId="64">
    <w:abstractNumId w:val="32"/>
  </w:num>
  <w:num w:numId="65">
    <w:abstractNumId w:val="17"/>
  </w:num>
  <w:num w:numId="66">
    <w:abstractNumId w:val="38"/>
  </w:num>
  <w:num w:numId="67">
    <w:abstractNumId w:val="10"/>
  </w:num>
  <w:num w:numId="68">
    <w:abstractNumId w:val="53"/>
  </w:num>
  <w:num w:numId="69">
    <w:abstractNumId w:val="8"/>
  </w:num>
  <w:num w:numId="70">
    <w:abstractNumId w:val="26"/>
  </w:num>
  <w:num w:numId="71">
    <w:abstractNumId w:val="47"/>
  </w:num>
  <w:num w:numId="72">
    <w:abstractNumId w:val="28"/>
  </w:num>
  <w:num w:numId="73">
    <w:abstractNumId w:val="39"/>
  </w:num>
  <w:num w:numId="74">
    <w:abstractNumId w:val="29"/>
  </w:num>
  <w:num w:numId="75">
    <w:abstractNumId w:val="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110"/>
  <w:noPunctuationKerning w:val="1"/>
  <w:characterSpacingControl w:val="doNotCompress"/>
  <w:hdrShapeDefaults>
    <o:shapelayout v:ext="edit">
      <o:idmap v:ext="edit" data="2"/>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UzNzMxNDA5NTcyODY0MjM5MzM1MjJkY2YzM2RkMzIifQ=="/>
  </w:docVars>
  <w:rsids>
    <w:rsidRoot w:val="00150FF7"/>
    <w:rsid w:val="00150FF7"/>
    <w:rsid w:val="006226F4"/>
    <w:rsid w:val="00BD4E20"/>
    <w:rsid w:val="00EB2F2B"/>
    <w:rsid w:val="035B2A1A"/>
    <w:rsid w:val="053475CF"/>
    <w:rsid w:val="0AE04AC5"/>
    <w:rsid w:val="0F8C26C6"/>
    <w:rsid w:val="13510CA6"/>
    <w:rsid w:val="1C7E76FC"/>
    <w:rsid w:val="27471899"/>
    <w:rsid w:val="39673049"/>
    <w:rsid w:val="3CB87C88"/>
    <w:rsid w:val="427E5550"/>
    <w:rsid w:val="54955E52"/>
    <w:rsid w:val="54BF6358"/>
    <w:rsid w:val="5875760F"/>
    <w:rsid w:val="596A2F52"/>
    <w:rsid w:val="5D682A80"/>
    <w:rsid w:val="60245E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仿宋" w:hAnsi="仿宋" w:eastAsia="仿宋" w:cs="仿宋"/>
      <w:sz w:val="22"/>
      <w:szCs w:val="22"/>
      <w:lang w:val="zh-CN" w:eastAsia="zh-CN" w:bidi="zh-CN"/>
    </w:rPr>
  </w:style>
  <w:style w:type="paragraph" w:styleId="5">
    <w:name w:val="heading 1"/>
    <w:basedOn w:val="1"/>
    <w:next w:val="1"/>
    <w:qFormat/>
    <w:uiPriority w:val="1"/>
    <w:pPr>
      <w:spacing w:before="64"/>
      <w:ind w:left="559" w:hanging="320"/>
      <w:outlineLvl w:val="0"/>
    </w:pPr>
    <w:rPr>
      <w:b/>
      <w:bCs/>
      <w:sz w:val="32"/>
      <w:szCs w:val="32"/>
    </w:rPr>
  </w:style>
  <w:style w:type="paragraph" w:styleId="6">
    <w:name w:val="heading 2"/>
    <w:basedOn w:val="1"/>
    <w:next w:val="1"/>
    <w:qFormat/>
    <w:uiPriority w:val="1"/>
    <w:pPr>
      <w:ind w:left="765" w:hanging="526"/>
      <w:outlineLvl w:val="1"/>
    </w:pPr>
    <w:rPr>
      <w:b/>
      <w:bCs/>
      <w:sz w:val="30"/>
      <w:szCs w:val="30"/>
    </w:rPr>
  </w:style>
  <w:style w:type="paragraph" w:styleId="7">
    <w:name w:val="heading 3"/>
    <w:basedOn w:val="1"/>
    <w:next w:val="1"/>
    <w:qFormat/>
    <w:uiPriority w:val="1"/>
    <w:pPr>
      <w:ind w:left="940" w:hanging="701"/>
      <w:outlineLvl w:val="2"/>
    </w:pPr>
    <w:rPr>
      <w:b/>
      <w:bCs/>
      <w:sz w:val="28"/>
      <w:szCs w:val="28"/>
    </w:rPr>
  </w:style>
  <w:style w:type="paragraph" w:styleId="8">
    <w:name w:val="heading 4"/>
    <w:basedOn w:val="1"/>
    <w:next w:val="1"/>
    <w:qFormat/>
    <w:uiPriority w:val="1"/>
    <w:pPr>
      <w:ind w:left="240" w:right="237" w:firstLine="559"/>
      <w:jc w:val="both"/>
      <w:outlineLvl w:val="3"/>
    </w:pPr>
    <w:rPr>
      <w:sz w:val="28"/>
      <w:szCs w:val="28"/>
    </w:rPr>
  </w:style>
  <w:style w:type="paragraph" w:styleId="9">
    <w:name w:val="heading 5"/>
    <w:basedOn w:val="1"/>
    <w:next w:val="1"/>
    <w:qFormat/>
    <w:uiPriority w:val="1"/>
    <w:pPr>
      <w:ind w:left="8"/>
      <w:jc w:val="center"/>
      <w:outlineLvl w:val="4"/>
    </w:pPr>
    <w:rPr>
      <w:b/>
      <w:bCs/>
      <w:sz w:val="24"/>
      <w:szCs w:val="24"/>
    </w:rPr>
  </w:style>
  <w:style w:type="character" w:default="1" w:styleId="17">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customStyle="1" w:styleId="2">
    <w:name w:val="Default"/>
    <w:next w:val="3"/>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样式 样式 首行缩进:  2 字符 + 首行缩进:  2 字符"/>
    <w:basedOn w:val="1"/>
    <w:next w:val="4"/>
    <w:qFormat/>
    <w:uiPriority w:val="0"/>
    <w:pPr>
      <w:snapToGrid w:val="0"/>
      <w:spacing w:line="360" w:lineRule="auto"/>
      <w:ind w:firstLine="560" w:firstLineChars="200"/>
    </w:pPr>
    <w:rPr>
      <w:sz w:val="28"/>
    </w:rPr>
  </w:style>
  <w:style w:type="paragraph" w:styleId="4">
    <w:name w:val="toc 1"/>
    <w:basedOn w:val="1"/>
    <w:next w:val="1"/>
    <w:qFormat/>
    <w:uiPriority w:val="1"/>
    <w:pPr>
      <w:spacing w:before="161"/>
      <w:ind w:left="480" w:right="237" w:hanging="480"/>
      <w:jc w:val="right"/>
    </w:pPr>
    <w:rPr>
      <w:b/>
      <w:bCs/>
      <w:sz w:val="24"/>
      <w:szCs w:val="24"/>
    </w:rPr>
  </w:style>
  <w:style w:type="paragraph" w:styleId="10">
    <w:name w:val="Body Text"/>
    <w:basedOn w:val="1"/>
    <w:qFormat/>
    <w:uiPriority w:val="1"/>
    <w:rPr>
      <w:sz w:val="24"/>
      <w:szCs w:val="24"/>
    </w:rPr>
  </w:style>
  <w:style w:type="paragraph" w:styleId="11">
    <w:name w:val="Balloon Text"/>
    <w:basedOn w:val="1"/>
    <w:link w:val="30"/>
    <w:uiPriority w:val="0"/>
    <w:rPr>
      <w:sz w:val="18"/>
      <w:szCs w:val="18"/>
    </w:rPr>
  </w:style>
  <w:style w:type="paragraph" w:styleId="12">
    <w:name w:val="footer"/>
    <w:basedOn w:val="1"/>
    <w:qFormat/>
    <w:uiPriority w:val="0"/>
    <w:pPr>
      <w:tabs>
        <w:tab w:val="center" w:pos="4153"/>
        <w:tab w:val="right" w:pos="8306"/>
      </w:tabs>
      <w:snapToGrid w:val="0"/>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4">
    <w:name w:val="toc 2"/>
    <w:basedOn w:val="1"/>
    <w:next w:val="1"/>
    <w:qFormat/>
    <w:uiPriority w:val="1"/>
    <w:pPr>
      <w:spacing w:before="160"/>
      <w:ind w:left="1080" w:right="237" w:hanging="1080"/>
      <w:jc w:val="right"/>
    </w:pPr>
    <w:rPr>
      <w:sz w:val="24"/>
      <w:szCs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FollowedHyperlink"/>
    <w:basedOn w:val="17"/>
    <w:qFormat/>
    <w:uiPriority w:val="0"/>
    <w:rPr>
      <w:color w:val="771CAA"/>
      <w:u w:val="none"/>
    </w:rPr>
  </w:style>
  <w:style w:type="character" w:styleId="19">
    <w:name w:val="Emphasis"/>
    <w:basedOn w:val="17"/>
    <w:qFormat/>
    <w:uiPriority w:val="0"/>
    <w:rPr>
      <w:color w:val="F73131"/>
    </w:rPr>
  </w:style>
  <w:style w:type="character" w:styleId="20">
    <w:name w:val="Hyperlink"/>
    <w:basedOn w:val="17"/>
    <w:qFormat/>
    <w:uiPriority w:val="0"/>
    <w:rPr>
      <w:color w:val="2440B3"/>
      <w:u w:val="none"/>
    </w:rPr>
  </w:style>
  <w:style w:type="character" w:styleId="21">
    <w:name w:val="HTML Cite"/>
    <w:basedOn w:val="17"/>
    <w:uiPriority w:val="0"/>
    <w:rPr>
      <w:color w:val="008000"/>
    </w:rPr>
  </w:style>
  <w:style w:type="table" w:customStyle="1" w:styleId="22">
    <w:name w:val="Table Normal"/>
    <w:semiHidden/>
    <w:unhideWhenUsed/>
    <w:qFormat/>
    <w:uiPriority w:val="2"/>
    <w:tblPr>
      <w:tblCellMar>
        <w:top w:w="0" w:type="dxa"/>
        <w:left w:w="0" w:type="dxa"/>
        <w:bottom w:w="0" w:type="dxa"/>
        <w:right w:w="0" w:type="dxa"/>
      </w:tblCellMar>
    </w:tblPr>
  </w:style>
  <w:style w:type="paragraph" w:styleId="23">
    <w:name w:val="List Paragraph"/>
    <w:basedOn w:val="1"/>
    <w:qFormat/>
    <w:uiPriority w:val="1"/>
    <w:pPr>
      <w:ind w:left="1321" w:hanging="601"/>
    </w:pPr>
  </w:style>
  <w:style w:type="paragraph" w:customStyle="1" w:styleId="24">
    <w:name w:val="Table Paragraph"/>
    <w:basedOn w:val="1"/>
    <w:qFormat/>
    <w:uiPriority w:val="1"/>
  </w:style>
  <w:style w:type="paragraph" w:customStyle="1" w:styleId="25">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6">
    <w:name w:val="c-icon28"/>
    <w:basedOn w:val="17"/>
    <w:uiPriority w:val="0"/>
  </w:style>
  <w:style w:type="character" w:customStyle="1" w:styleId="27">
    <w:name w:val="hover25"/>
    <w:basedOn w:val="17"/>
    <w:uiPriority w:val="0"/>
  </w:style>
  <w:style w:type="character" w:customStyle="1" w:styleId="28">
    <w:name w:val="hover26"/>
    <w:basedOn w:val="17"/>
    <w:uiPriority w:val="0"/>
    <w:rPr>
      <w:color w:val="315EFB"/>
    </w:rPr>
  </w:style>
  <w:style w:type="paragraph" w:customStyle="1" w:styleId="29">
    <w:name w:val="p0"/>
    <w:basedOn w:val="1"/>
    <w:uiPriority w:val="0"/>
    <w:pPr>
      <w:widowControl/>
    </w:pPr>
    <w:rPr>
      <w:szCs w:val="21"/>
    </w:rPr>
  </w:style>
  <w:style w:type="character" w:customStyle="1" w:styleId="30">
    <w:name w:val="批注框文本 Char"/>
    <w:basedOn w:val="17"/>
    <w:link w:val="11"/>
    <w:qFormat/>
    <w:uiPriority w:val="0"/>
    <w:rPr>
      <w:rFonts w:ascii="仿宋" w:hAnsi="仿宋" w:eastAsia="仿宋" w:cs="仿宋"/>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4.png"/><Relationship Id="rId33" Type="http://schemas.openxmlformats.org/officeDocument/2006/relationships/image" Target="media/image13.jpeg"/><Relationship Id="rId32" Type="http://schemas.openxmlformats.org/officeDocument/2006/relationships/image" Target="media/image12.pn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header" Target="header1.xml"/><Relationship Id="rId29" Type="http://schemas.openxmlformats.org/officeDocument/2006/relationships/image" Target="media/image9.jpeg"/><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jpe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116</Pages>
  <Words>54845</Words>
  <Characters>58975</Characters>
  <Lines>488</Lines>
  <Paragraphs>137</Paragraphs>
  <TotalTime>3</TotalTime>
  <ScaleCrop>false</ScaleCrop>
  <LinksUpToDate>false</LinksUpToDate>
  <CharactersWithSpaces>60663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2022-04-22T07:55:00Z</dcterms:created>
  <dc:creator>miaoshan</dc:creator>
  <cp:lastModifiedBy>小懒</cp:lastModifiedBy>
  <dcterms:modified xsi:type="dcterms:W3CDTF">2024-07-19T09:15:56Z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2021-11-01T00:00:00Z</vt:filetime>
  </property>
  <property fmtid="{D5CDD505-2E9C-101B-9397-08002B2CF9AE}" pid="3" name="Creator">
    <vt:lpwstr>WPS 文字</vt:lpwstr>
  </property>
  <property fmtid="{D5CDD505-2E9C-101B-9397-08002B2CF9AE}" pid="4" name="LastSaved">
    <vt:filetime>2022-04-22T00:00:00Z</vt:filetime>
  </property>
  <property fmtid="{D5CDD505-2E9C-101B-9397-08002B2CF9AE}" pid="5" name="KSOProductBuildVer">
    <vt:lpwstr>2052-12.1.0.16929</vt:lpwstr>
  </property>
  <property fmtid="{D5CDD505-2E9C-101B-9397-08002B2CF9AE}" pid="6" name="ICV">
    <vt:lpwstr>AFBC84A447054D9D9AE5B78EF458D5B7_13</vt:lpwstr>
  </property>
</Properties>
</file>