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E41B1">
      <w:pPr>
        <w:spacing w:line="560" w:lineRule="exact"/>
        <w:jc w:val="center"/>
        <w:rPr>
          <w:rFonts w:ascii="方正小标宋简体" w:hAnsi="方正公文小标宋" w:eastAsia="方正小标宋简体" w:cs="方正公文小标宋"/>
          <w:bCs/>
          <w:sz w:val="44"/>
          <w:szCs w:val="44"/>
        </w:rPr>
      </w:pPr>
      <w:bookmarkStart w:id="0" w:name="_GoBack"/>
      <w:r>
        <w:rPr>
          <w:rFonts w:hint="eastAsia" w:ascii="方正小标宋简体" w:hAnsi="方正公文小标宋" w:eastAsia="方正小标宋简体" w:cs="方正公文小标宋"/>
          <w:bCs/>
          <w:sz w:val="44"/>
          <w:szCs w:val="44"/>
        </w:rPr>
        <w:t>赤壁市烟草制品零售点合理布局规定</w:t>
      </w:r>
    </w:p>
    <w:p w14:paraId="0E473E20">
      <w:pPr>
        <w:spacing w:line="560" w:lineRule="exact"/>
        <w:jc w:val="center"/>
        <w:rPr>
          <w:rFonts w:ascii="方正小标宋简体" w:hAnsi="方正公文小标宋" w:eastAsia="方正小标宋简体" w:cs="方正公文小标宋"/>
          <w:bCs/>
          <w:sz w:val="44"/>
          <w:szCs w:val="44"/>
        </w:rPr>
      </w:pPr>
      <w:r>
        <w:rPr>
          <w:rFonts w:hint="eastAsia" w:ascii="方正小标宋简体" w:hAnsi="方正公文小标宋" w:eastAsia="方正小标宋简体" w:cs="方正公文小标宋"/>
          <w:bCs/>
          <w:sz w:val="44"/>
          <w:szCs w:val="44"/>
        </w:rPr>
        <w:t>（征求意见稿）</w:t>
      </w:r>
    </w:p>
    <w:bookmarkEnd w:id="0"/>
    <w:p w14:paraId="2E49AC57">
      <w:pPr>
        <w:spacing w:line="579" w:lineRule="exact"/>
        <w:jc w:val="center"/>
        <w:rPr>
          <w:rFonts w:ascii="仿宋_GB2312" w:hAnsi="仿宋_GB2312" w:eastAsia="仿宋_GB2312" w:cs="仿宋_GB2312"/>
          <w:b/>
          <w:sz w:val="32"/>
          <w:szCs w:val="32"/>
        </w:rPr>
      </w:pPr>
    </w:p>
    <w:p w14:paraId="3A882414">
      <w:pPr>
        <w:spacing w:after="227" w:afterLines="50" w:line="579" w:lineRule="exact"/>
        <w:jc w:val="center"/>
        <w:rPr>
          <w:rFonts w:ascii="黑体" w:hAnsi="黑体" w:eastAsia="黑体" w:cs="仿宋_GB2312"/>
          <w:sz w:val="32"/>
          <w:szCs w:val="32"/>
        </w:rPr>
      </w:pPr>
      <w:r>
        <w:rPr>
          <w:rFonts w:hint="eastAsia" w:ascii="黑体" w:hAnsi="黑体" w:eastAsia="黑体" w:cs="仿宋_GB2312"/>
          <w:sz w:val="32"/>
          <w:szCs w:val="32"/>
        </w:rPr>
        <w:t>第一章  总</w:t>
      </w:r>
      <w:r>
        <w:rPr>
          <w:rFonts w:ascii="黑体" w:hAnsi="黑体" w:eastAsia="黑体" w:cs="仿宋_GB2312"/>
          <w:sz w:val="32"/>
          <w:szCs w:val="32"/>
        </w:rPr>
        <w:t xml:space="preserve">  </w:t>
      </w:r>
      <w:r>
        <w:rPr>
          <w:rFonts w:hint="eastAsia" w:ascii="黑体" w:hAnsi="黑体" w:eastAsia="黑体" w:cs="仿宋_GB2312"/>
          <w:sz w:val="32"/>
          <w:szCs w:val="32"/>
        </w:rPr>
        <w:t>则</w:t>
      </w:r>
    </w:p>
    <w:p w14:paraId="17A952E7">
      <w:pPr>
        <w:spacing w:line="579"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第一条</w:t>
      </w:r>
      <w:r>
        <w:rPr>
          <w:rFonts w:hint="eastAsia" w:ascii="仿宋_GB2312" w:hAnsi="仿宋_GB2312" w:eastAsia="仿宋_GB2312" w:cs="仿宋_GB2312"/>
          <w:color w:val="000000"/>
          <w:sz w:val="32"/>
          <w:szCs w:val="32"/>
        </w:rPr>
        <w:t xml:space="preserve">  为加强烟草专卖零售许可证管理，深入推进“放管服”改革，切实履行控烟履约责任义务，保护未成年人身心健康，维护国家利益和经营者、消费者合法权益，</w:t>
      </w:r>
      <w:r>
        <w:rPr>
          <w:rFonts w:ascii="仿宋_GB2312" w:hAnsi="仿宋_GB2312" w:eastAsia="仿宋_GB2312" w:cs="仿宋_GB2312"/>
          <w:color w:val="000000"/>
          <w:sz w:val="32"/>
          <w:szCs w:val="32"/>
        </w:rPr>
        <w:t>构建“布局合理、竞争适度、进退有序、健康理性”的烟草零售市场环境，</w:t>
      </w:r>
      <w:r>
        <w:rPr>
          <w:rFonts w:hint="eastAsia" w:ascii="仿宋_GB2312" w:hAnsi="仿宋_GB2312" w:eastAsia="仿宋_GB2312" w:cs="仿宋_GB2312"/>
          <w:color w:val="000000"/>
          <w:sz w:val="32"/>
          <w:szCs w:val="32"/>
        </w:rPr>
        <w:t>根据《中华人民共和国行政许可法》《中华人民共和国未成年人保护法》《中华人民共和国烟草专卖法》及其实施条例、《烟草专卖许可证管理办法》及其实施细则、《湖北省实施</w:t>
      </w:r>
      <w:r>
        <w:rPr>
          <w:rFonts w:ascii="仿宋_GB2312" w:hAnsi="仿宋_GB2312" w:eastAsia="仿宋_GB2312" w:cs="仿宋_GB2312"/>
          <w:color w:val="000000"/>
          <w:sz w:val="32"/>
          <w:szCs w:val="32"/>
        </w:rPr>
        <w:t>&lt;</w:t>
      </w:r>
      <w:r>
        <w:rPr>
          <w:rFonts w:hint="eastAsia" w:ascii="仿宋_GB2312" w:hAnsi="仿宋_GB2312" w:eastAsia="仿宋_GB2312" w:cs="仿宋_GB2312"/>
          <w:color w:val="000000"/>
          <w:sz w:val="32"/>
          <w:szCs w:val="32"/>
        </w:rPr>
        <w:t>烟草专卖法</w:t>
      </w:r>
      <w:r>
        <w:rPr>
          <w:rFonts w:ascii="仿宋_GB2312" w:hAnsi="仿宋_GB2312" w:eastAsia="仿宋_GB2312" w:cs="仿宋_GB2312"/>
          <w:color w:val="000000"/>
          <w:sz w:val="32"/>
          <w:szCs w:val="32"/>
        </w:rPr>
        <w:t>&gt;</w:t>
      </w:r>
      <w:r>
        <w:rPr>
          <w:rFonts w:hint="eastAsia" w:ascii="仿宋_GB2312" w:hAnsi="仿宋_GB2312" w:eastAsia="仿宋_GB2312" w:cs="仿宋_GB2312"/>
          <w:color w:val="000000"/>
          <w:sz w:val="32"/>
          <w:szCs w:val="32"/>
        </w:rPr>
        <w:t>办法》等相关法律、法规、规章，结合本辖区实际，制定本规定。</w:t>
      </w:r>
    </w:p>
    <w:p w14:paraId="7B39B6DB">
      <w:pPr>
        <w:spacing w:line="579"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第二条</w:t>
      </w:r>
      <w:r>
        <w:rPr>
          <w:rFonts w:hint="eastAsia" w:ascii="仿宋_GB2312" w:hAnsi="仿宋_GB2312" w:eastAsia="仿宋_GB2312" w:cs="仿宋_GB2312"/>
          <w:color w:val="000000"/>
          <w:sz w:val="32"/>
          <w:szCs w:val="32"/>
        </w:rPr>
        <w:t xml:space="preserve">  本规定适用于赤壁市行政区划范围内烟草制品</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不含电子烟等新型烟草制品</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零售点的布局管理。</w:t>
      </w:r>
    </w:p>
    <w:p w14:paraId="743B5F70">
      <w:pPr>
        <w:spacing w:line="579"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第三条</w:t>
      </w:r>
      <w:r>
        <w:rPr>
          <w:rFonts w:hint="eastAsia" w:ascii="仿宋_GB2312" w:hAnsi="仿宋_GB2312" w:eastAsia="仿宋_GB2312" w:cs="仿宋_GB2312"/>
          <w:color w:val="000000"/>
          <w:sz w:val="32"/>
          <w:szCs w:val="32"/>
        </w:rPr>
        <w:t xml:space="preserve">  本规定所称烟草制品零售点</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以下简称零售点</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是指公民、法人或其他组织依法申请取得烟草专卖零售许可证从事烟草制品零售业务的经营场所。</w:t>
      </w:r>
    </w:p>
    <w:p w14:paraId="3D9E80CC">
      <w:pPr>
        <w:spacing w:line="579"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第四条</w:t>
      </w:r>
      <w:r>
        <w:rPr>
          <w:rFonts w:hint="eastAsia" w:ascii="仿宋_GB2312" w:hAnsi="仿宋_GB2312" w:eastAsia="仿宋_GB2312" w:cs="仿宋_GB2312"/>
          <w:color w:val="000000"/>
          <w:sz w:val="32"/>
          <w:szCs w:val="32"/>
        </w:rPr>
        <w:t xml:space="preserve">  零售点合理布局遵循人民至上、依法依规、科学规划、合理引导的原则，充分考虑辖区内人口数量、交通状况、经济发展水平、消费能力、经营信息、政策导向等因素，</w:t>
      </w:r>
      <w:r>
        <w:rPr>
          <w:rFonts w:hint="eastAsia" w:ascii="仿宋_GB2312" w:hAnsi="Calibri" w:eastAsia="仿宋_GB2312"/>
          <w:color w:val="000000"/>
          <w:sz w:val="32"/>
          <w:szCs w:val="32"/>
        </w:rPr>
        <w:t>对市场区域单元烟草制品零售点进行规划布局，并实行定期评估、动态管理。</w:t>
      </w:r>
    </w:p>
    <w:p w14:paraId="770AE74F">
      <w:pPr>
        <w:spacing w:before="227" w:beforeLines="50" w:after="227" w:afterLines="50" w:line="579" w:lineRule="exact"/>
        <w:jc w:val="center"/>
        <w:rPr>
          <w:rFonts w:ascii="黑体" w:hAnsi="黑体" w:eastAsia="黑体" w:cs="仿宋_GB2312"/>
          <w:sz w:val="32"/>
          <w:szCs w:val="32"/>
        </w:rPr>
      </w:pPr>
      <w:r>
        <w:rPr>
          <w:rFonts w:hint="eastAsia" w:ascii="黑体" w:hAnsi="黑体" w:eastAsia="黑体" w:cs="仿宋_GB2312"/>
          <w:sz w:val="32"/>
          <w:szCs w:val="32"/>
        </w:rPr>
        <w:t>第二章  区域单元划分及合理容量测算</w:t>
      </w:r>
    </w:p>
    <w:p w14:paraId="49A05F0C">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第五条</w:t>
      </w:r>
      <w:r>
        <w:rPr>
          <w:rFonts w:hint="eastAsia" w:ascii="仿宋_GB2312" w:hAnsi="仿宋_GB2312" w:eastAsia="仿宋_GB2312" w:cs="仿宋_GB2312"/>
          <w:sz w:val="32"/>
          <w:szCs w:val="32"/>
        </w:rPr>
        <w:t xml:space="preserve">  根据本市区域特点，统筹考虑城乡建设规划、消费结构、市场类型、人口密度、人口持证率、零售户平均订烟量等指标因素，结合地理位置和社会功能属性，将辖区划分为一级市场单元、二级市场单元和特殊市场单元。</w:t>
      </w:r>
    </w:p>
    <w:p w14:paraId="5101D0DC">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（一）一级市场单元为赤壁市中心城区、集镇（乡）的社区居委会、行政村村民委员会管理服务的区域；</w:t>
      </w:r>
    </w:p>
    <w:p w14:paraId="3B50B76D">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（二）二级市场单元为一级市场单元以外的社区居委会、行政村村民委员会管理服务的区域；</w:t>
      </w:r>
    </w:p>
    <w:p w14:paraId="4085E26E">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（三）特殊市场单元主要包括政府统一规划建设的综合集贸</w:t>
      </w:r>
      <w:r>
        <w:rPr>
          <w:rFonts w:hint="eastAsia" w:ascii="仿宋_GB2312" w:hAnsi="仿宋_GB2312" w:eastAsia="仿宋_GB2312" w:cs="仿宋_GB2312"/>
          <w:color w:val="000000"/>
          <w:sz w:val="32"/>
          <w:szCs w:val="32"/>
        </w:rPr>
        <w:t>（批发、农贸）市场、商业综合体、物流园区、工业园区、施工工地、火车站、长途汽运站、高速公路服务区、封闭式管理的旅游景区、星级酒店、监狱、看守所、高等院校、</w:t>
      </w:r>
      <w:r>
        <w:rPr>
          <w:rFonts w:hint="eastAsia" w:ascii="仿宋_GB2312" w:hAnsi="Calibri" w:eastAsia="仿宋_GB2312"/>
          <w:color w:val="000000"/>
          <w:sz w:val="32"/>
          <w:szCs w:val="32"/>
        </w:rPr>
        <w:t>养老院、驾校训练场</w:t>
      </w:r>
      <w:r>
        <w:rPr>
          <w:rFonts w:hint="eastAsia" w:ascii="仿宋_GB2312" w:hAnsi="仿宋_GB2312" w:eastAsia="仿宋_GB2312" w:cs="仿宋_GB2312"/>
          <w:color w:val="000000"/>
          <w:sz w:val="32"/>
          <w:szCs w:val="32"/>
        </w:rPr>
        <w:t>等定位明确、功能突出的相对独立区域。</w:t>
      </w:r>
    </w:p>
    <w:p w14:paraId="1E9E488D">
      <w:pPr>
        <w:spacing w:line="579"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第六条</w:t>
      </w:r>
      <w:r>
        <w:rPr>
          <w:rFonts w:hint="eastAsia" w:ascii="仿宋_GB2312" w:hAnsi="仿宋_GB2312" w:eastAsia="仿宋_GB2312" w:cs="仿宋_GB2312"/>
          <w:color w:val="000000"/>
          <w:sz w:val="32"/>
          <w:szCs w:val="32"/>
        </w:rPr>
        <w:t xml:space="preserve">  根据行政区域人口数量、交通状况、经济发展水平、消费能力等因素，按照全省零售点合理容量测算模型测算赤壁市零售点布局指导总量，将总量逐级分解至市场单元，作为市场单元零售点设置数量上限。</w:t>
      </w:r>
    </w:p>
    <w:p w14:paraId="39062C85">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一级、二级市场单元划分及零售点指导数量详见《赤壁市烟草制品零售点市场单元布局规划表》（附件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p>
    <w:p w14:paraId="5A48647E">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第七条</w:t>
      </w:r>
      <w:r>
        <w:rPr>
          <w:rFonts w:hint="eastAsia" w:ascii="仿宋_GB2312" w:hAnsi="仿宋_GB2312" w:eastAsia="仿宋_GB2312" w:cs="仿宋_GB2312"/>
          <w:sz w:val="32"/>
          <w:szCs w:val="32"/>
        </w:rPr>
        <w:t xml:space="preserve">  赤壁市烟草专卖局根据经济社会形势的变化及政策调整等，对辖区合理布局适时开展评估工作，优化调整辖区各市场单元的零售点指导数量，在赤壁市政府门户网站或赤壁市烟草专卖局办公场所公示栏、政务服务中心烟草窗口等渠道进行公布。</w:t>
      </w:r>
    </w:p>
    <w:p w14:paraId="1117D94D">
      <w:pPr>
        <w:spacing w:before="227" w:beforeLines="50" w:after="227" w:afterLines="50" w:line="579" w:lineRule="exact"/>
        <w:jc w:val="center"/>
        <w:rPr>
          <w:rFonts w:ascii="黑体" w:hAnsi="黑体" w:eastAsia="黑体" w:cs="仿宋_GB2312"/>
          <w:sz w:val="32"/>
          <w:szCs w:val="32"/>
        </w:rPr>
      </w:pPr>
      <w:r>
        <w:rPr>
          <w:rFonts w:hint="eastAsia" w:ascii="黑体" w:hAnsi="黑体" w:eastAsia="黑体" w:cs="仿宋_GB2312"/>
          <w:sz w:val="32"/>
          <w:szCs w:val="32"/>
        </w:rPr>
        <w:t>第三章  合理布局模式和标准</w:t>
      </w:r>
    </w:p>
    <w:p w14:paraId="56C245E1">
      <w:pPr>
        <w:spacing w:line="579"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 xml:space="preserve">第八条  </w:t>
      </w:r>
      <w:r>
        <w:rPr>
          <w:rFonts w:hint="eastAsia" w:ascii="仿宋_GB2312" w:hAnsi="仿宋_GB2312" w:eastAsia="仿宋_GB2312" w:cs="仿宋_GB2312"/>
          <w:sz w:val="32"/>
          <w:szCs w:val="32"/>
        </w:rPr>
        <w:t>一级市</w:t>
      </w:r>
      <w:r>
        <w:rPr>
          <w:rFonts w:hint="eastAsia" w:ascii="仿宋_GB2312" w:hAnsi="仿宋_GB2312" w:eastAsia="仿宋_GB2312" w:cs="仿宋_GB2312"/>
          <w:bCs/>
          <w:sz w:val="32"/>
          <w:szCs w:val="32"/>
        </w:rPr>
        <w:t>场单元和二级市场单元采取数量</w:t>
      </w:r>
      <w:r>
        <w:rPr>
          <w:rFonts w:ascii="仿宋_GB2312" w:hAnsi="仿宋_GB2312" w:eastAsia="仿宋_GB2312" w:cs="仿宋_GB2312"/>
          <w:bCs/>
          <w:sz w:val="32"/>
          <w:szCs w:val="32"/>
        </w:rPr>
        <w:t>+</w:t>
      </w:r>
      <w:r>
        <w:rPr>
          <w:rFonts w:hint="eastAsia" w:ascii="仿宋_GB2312" w:hAnsi="仿宋_GB2312" w:eastAsia="仿宋_GB2312" w:cs="仿宋_GB2312"/>
          <w:bCs/>
          <w:sz w:val="32"/>
          <w:szCs w:val="32"/>
        </w:rPr>
        <w:t>间距限制并行的布局模式设置零售点，即同时符合零售点设置数量上限和间距限制要求的，方可设置零售点。</w:t>
      </w:r>
    </w:p>
    <w:p w14:paraId="50F65DF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第九条  </w:t>
      </w:r>
      <w:r>
        <w:rPr>
          <w:rFonts w:hint="eastAsia" w:ascii="仿宋_GB2312" w:hAnsi="仿宋_GB2312" w:eastAsia="仿宋_GB2312" w:cs="仿宋_GB2312"/>
          <w:sz w:val="32"/>
          <w:szCs w:val="32"/>
        </w:rPr>
        <w:t>一级市场单元中的主城区街道零售点间距不少于</w:t>
      </w:r>
      <w:r>
        <w:rPr>
          <w:rFonts w:ascii="仿宋_GB2312" w:hAnsi="仿宋_GB2312" w:eastAsia="仿宋_GB2312" w:cs="仿宋_GB2312"/>
          <w:sz w:val="32"/>
          <w:szCs w:val="32"/>
        </w:rPr>
        <w:t>80</w:t>
      </w:r>
      <w:r>
        <w:rPr>
          <w:rFonts w:hint="eastAsia" w:ascii="仿宋_GB2312" w:hAnsi="仿宋_GB2312" w:eastAsia="仿宋_GB2312" w:cs="仿宋_GB2312"/>
          <w:sz w:val="32"/>
          <w:szCs w:val="32"/>
        </w:rPr>
        <w:t>米，集镇（乡）中心区街道零售点间距不低于</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米；二级市场单元中的零售点间距不少于</w:t>
      </w:r>
      <w:r>
        <w:rPr>
          <w:rFonts w:ascii="仿宋_GB2312" w:hAnsi="仿宋_GB2312" w:eastAsia="仿宋_GB2312" w:cs="仿宋_GB2312"/>
          <w:sz w:val="32"/>
          <w:szCs w:val="32"/>
        </w:rPr>
        <w:t>150</w:t>
      </w:r>
      <w:r>
        <w:rPr>
          <w:rFonts w:hint="eastAsia" w:ascii="仿宋_GB2312" w:hAnsi="仿宋_GB2312" w:eastAsia="仿宋_GB2312" w:cs="仿宋_GB2312"/>
          <w:sz w:val="32"/>
          <w:szCs w:val="32"/>
        </w:rPr>
        <w:t>米。</w:t>
      </w:r>
    </w:p>
    <w:p w14:paraId="1805874B">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一级市场单元中的国道、省道公路沿线零售点间距不少于</w:t>
      </w:r>
      <w:r>
        <w:rPr>
          <w:rFonts w:ascii="仿宋_GB2312" w:hAnsi="仿宋_GB2312" w:eastAsia="仿宋_GB2312" w:cs="仿宋_GB2312"/>
          <w:sz w:val="32"/>
          <w:szCs w:val="32"/>
        </w:rPr>
        <w:t>150</w:t>
      </w:r>
      <w:r>
        <w:rPr>
          <w:rFonts w:hint="eastAsia" w:ascii="仿宋_GB2312" w:hAnsi="仿宋_GB2312" w:eastAsia="仿宋_GB2312" w:cs="仿宋_GB2312"/>
          <w:sz w:val="32"/>
          <w:szCs w:val="32"/>
        </w:rPr>
        <w:t>米，国道、省道穿越街道的，按照街道间隔距离设置零售点。</w:t>
      </w:r>
    </w:p>
    <w:p w14:paraId="045C1958">
      <w:pPr>
        <w:spacing w:line="579"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第十条</w:t>
      </w:r>
      <w:r>
        <w:rPr>
          <w:rFonts w:hint="eastAsia" w:ascii="仿宋_GB2312" w:hAnsi="仿宋_GB2312" w:eastAsia="仿宋_GB2312" w:cs="仿宋_GB2312"/>
          <w:bCs/>
          <w:sz w:val="32"/>
          <w:szCs w:val="32"/>
        </w:rPr>
        <w:t xml:space="preserve">  特殊市场单元根据市场实际情况分别采取数量限制、“数量限制</w:t>
      </w:r>
      <w:r>
        <w:rPr>
          <w:rFonts w:ascii="仿宋_GB2312" w:hAnsi="仿宋_GB2312" w:eastAsia="仿宋_GB2312" w:cs="仿宋_GB2312"/>
          <w:bCs/>
          <w:sz w:val="32"/>
          <w:szCs w:val="32"/>
        </w:rPr>
        <w:t>+</w:t>
      </w:r>
      <w:r>
        <w:rPr>
          <w:rFonts w:hint="eastAsia" w:ascii="仿宋_GB2312" w:hAnsi="仿宋_GB2312" w:eastAsia="仿宋_GB2312" w:cs="仿宋_GB2312"/>
          <w:bCs/>
          <w:sz w:val="32"/>
          <w:szCs w:val="32"/>
        </w:rPr>
        <w:t>间距限制”两种布局模式：</w:t>
      </w:r>
    </w:p>
    <w:p w14:paraId="11547BF0">
      <w:pPr>
        <w:spacing w:line="579"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（一）经当地政府规划的综合集贸（批发、农贸）市场、商业综合体，按实际经营的固定门面数量不足</w:t>
      </w:r>
      <w:r>
        <w:rPr>
          <w:rFonts w:ascii="仿宋_GB2312" w:hAnsi="仿宋_GB2312" w:eastAsia="仿宋_GB2312" w:cs="仿宋_GB2312"/>
          <w:bCs/>
          <w:color w:val="000000"/>
          <w:sz w:val="32"/>
          <w:szCs w:val="32"/>
        </w:rPr>
        <w:t>50</w:t>
      </w:r>
      <w:r>
        <w:rPr>
          <w:rFonts w:hint="eastAsia" w:ascii="仿宋_GB2312" w:hAnsi="仿宋_GB2312" w:eastAsia="仿宋_GB2312" w:cs="仿宋_GB2312"/>
          <w:bCs/>
          <w:color w:val="000000"/>
          <w:sz w:val="32"/>
          <w:szCs w:val="32"/>
        </w:rPr>
        <w:t>个的可设</w:t>
      </w:r>
      <w:r>
        <w:rPr>
          <w:rFonts w:ascii="仿宋_GB2312" w:hAnsi="仿宋_GB2312" w:eastAsia="仿宋_GB2312" w:cs="仿宋_GB2312"/>
          <w:bCs/>
          <w:color w:val="000000"/>
          <w:sz w:val="32"/>
          <w:szCs w:val="32"/>
        </w:rPr>
        <w:t>1</w:t>
      </w:r>
      <w:r>
        <w:rPr>
          <w:rFonts w:hint="eastAsia" w:ascii="仿宋_GB2312" w:hAnsi="仿宋_GB2312" w:eastAsia="仿宋_GB2312" w:cs="仿宋_GB2312"/>
          <w:bCs/>
          <w:color w:val="000000"/>
          <w:sz w:val="32"/>
          <w:szCs w:val="32"/>
        </w:rPr>
        <w:t>个零售点，每增加</w:t>
      </w:r>
      <w:r>
        <w:rPr>
          <w:rFonts w:ascii="仿宋_GB2312" w:hAnsi="仿宋_GB2312" w:eastAsia="仿宋_GB2312" w:cs="仿宋_GB2312"/>
          <w:bCs/>
          <w:color w:val="000000"/>
          <w:sz w:val="32"/>
          <w:szCs w:val="32"/>
        </w:rPr>
        <w:t>50</w:t>
      </w:r>
      <w:r>
        <w:rPr>
          <w:rFonts w:hint="eastAsia" w:ascii="仿宋_GB2312" w:hAnsi="仿宋_GB2312" w:eastAsia="仿宋_GB2312" w:cs="仿宋_GB2312"/>
          <w:bCs/>
          <w:color w:val="000000"/>
          <w:sz w:val="32"/>
          <w:szCs w:val="32"/>
        </w:rPr>
        <w:t>个可增设</w:t>
      </w:r>
      <w:r>
        <w:rPr>
          <w:rFonts w:ascii="仿宋_GB2312" w:hAnsi="仿宋_GB2312" w:eastAsia="仿宋_GB2312" w:cs="仿宋_GB2312"/>
          <w:bCs/>
          <w:color w:val="000000"/>
          <w:sz w:val="32"/>
          <w:szCs w:val="32"/>
        </w:rPr>
        <w:t>1</w:t>
      </w:r>
      <w:r>
        <w:rPr>
          <w:rFonts w:hint="eastAsia" w:ascii="仿宋_GB2312" w:hAnsi="仿宋_GB2312" w:eastAsia="仿宋_GB2312" w:cs="仿宋_GB2312"/>
          <w:bCs/>
          <w:color w:val="000000"/>
          <w:sz w:val="32"/>
          <w:szCs w:val="32"/>
        </w:rPr>
        <w:t>个零售点，设置数量不超过</w:t>
      </w:r>
      <w:r>
        <w:rPr>
          <w:rFonts w:ascii="仿宋_GB2312" w:hAnsi="仿宋_GB2312" w:eastAsia="仿宋_GB2312" w:cs="仿宋_GB2312"/>
          <w:bCs/>
          <w:color w:val="000000"/>
          <w:sz w:val="32"/>
          <w:szCs w:val="32"/>
        </w:rPr>
        <w:t>3</w:t>
      </w:r>
      <w:r>
        <w:rPr>
          <w:rFonts w:hint="eastAsia" w:ascii="仿宋_GB2312" w:hAnsi="仿宋_GB2312" w:eastAsia="仿宋_GB2312" w:cs="仿宋_GB2312"/>
          <w:bCs/>
          <w:color w:val="000000"/>
          <w:sz w:val="32"/>
          <w:szCs w:val="32"/>
        </w:rPr>
        <w:t>个，且零售点间距不少于</w:t>
      </w:r>
      <w:r>
        <w:rPr>
          <w:rFonts w:ascii="仿宋_GB2312" w:hAnsi="仿宋_GB2312" w:eastAsia="仿宋_GB2312" w:cs="仿宋_GB2312"/>
          <w:bCs/>
          <w:color w:val="000000"/>
          <w:sz w:val="32"/>
          <w:szCs w:val="32"/>
        </w:rPr>
        <w:t>80</w:t>
      </w:r>
      <w:r>
        <w:rPr>
          <w:rFonts w:hint="eastAsia" w:ascii="仿宋_GB2312" w:hAnsi="仿宋_GB2312" w:eastAsia="仿宋_GB2312" w:cs="仿宋_GB2312"/>
          <w:bCs/>
          <w:color w:val="000000"/>
          <w:sz w:val="32"/>
          <w:szCs w:val="32"/>
        </w:rPr>
        <w:t>米；</w:t>
      </w:r>
    </w:p>
    <w:p w14:paraId="1B73E81D">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（二）火车站、长途汽运站、高速公路服务区、封闭式管理的旅游景区、星级酒店</w:t>
      </w:r>
      <w:r>
        <w:rPr>
          <w:rFonts w:hint="eastAsia" w:ascii="仿宋_GB2312" w:hAnsi="仿宋_GB2312" w:eastAsia="仿宋_GB2312" w:cs="仿宋_GB2312"/>
          <w:bCs/>
          <w:color w:val="000000"/>
          <w:sz w:val="32"/>
          <w:szCs w:val="32"/>
        </w:rPr>
        <w:t>（客房</w:t>
      </w:r>
      <w:r>
        <w:rPr>
          <w:rFonts w:ascii="仿宋_GB2312" w:hAnsi="仿宋_GB2312" w:eastAsia="仿宋_GB2312" w:cs="仿宋_GB2312"/>
          <w:bCs/>
          <w:color w:val="000000"/>
          <w:sz w:val="32"/>
          <w:szCs w:val="32"/>
        </w:rPr>
        <w:t>1</w:t>
      </w:r>
      <w:r>
        <w:rPr>
          <w:rFonts w:hint="eastAsia" w:ascii="仿宋_GB2312" w:hAnsi="仿宋_GB2312" w:eastAsia="仿宋_GB2312" w:cs="仿宋_GB2312"/>
          <w:bCs/>
          <w:color w:val="000000"/>
          <w:sz w:val="32"/>
          <w:szCs w:val="32"/>
        </w:rPr>
        <w:t>00间以上）</w:t>
      </w:r>
      <w:r>
        <w:rPr>
          <w:rFonts w:hint="eastAsia" w:ascii="仿宋_GB2312" w:hAnsi="仿宋_GB2312" w:eastAsia="仿宋_GB2312" w:cs="仿宋_GB2312"/>
          <w:bCs/>
          <w:sz w:val="32"/>
          <w:szCs w:val="32"/>
        </w:rPr>
        <w:t>、监狱、看守所、</w:t>
      </w:r>
      <w:r>
        <w:rPr>
          <w:rFonts w:hint="eastAsia" w:ascii="仿宋_GB2312" w:hAnsi="仿宋_GB2312" w:eastAsia="仿宋_GB2312" w:cs="仿宋_GB2312"/>
          <w:bCs/>
          <w:color w:val="000000"/>
          <w:sz w:val="32"/>
          <w:szCs w:val="32"/>
        </w:rPr>
        <w:t>养老院、驾校训练场、施工工地（民工100人以上）</w:t>
      </w:r>
      <w:r>
        <w:rPr>
          <w:rFonts w:hint="eastAsia" w:ascii="仿宋_GB2312" w:hAnsi="仿宋_GB2312" w:eastAsia="仿宋_GB2312" w:cs="仿宋_GB2312"/>
          <w:bCs/>
          <w:sz w:val="32"/>
          <w:szCs w:val="32"/>
        </w:rPr>
        <w:t>等区域内可设</w:t>
      </w:r>
      <w:r>
        <w:rPr>
          <w:rFonts w:ascii="仿宋_GB2312" w:hAnsi="仿宋_GB2312" w:eastAsia="仿宋_GB2312" w:cs="仿宋_GB2312"/>
          <w:bCs/>
          <w:sz w:val="32"/>
          <w:szCs w:val="32"/>
        </w:rPr>
        <w:t>1</w:t>
      </w:r>
      <w:r>
        <w:rPr>
          <w:rFonts w:hint="eastAsia" w:ascii="仿宋_GB2312" w:hAnsi="仿宋_GB2312" w:eastAsia="仿宋_GB2312" w:cs="仿宋_GB2312"/>
          <w:bCs/>
          <w:sz w:val="32"/>
          <w:szCs w:val="32"/>
        </w:rPr>
        <w:t>个零售点；</w:t>
      </w:r>
    </w:p>
    <w:p w14:paraId="27CEF710">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（三）一个相对独立的物流园区内、工业园区内设置零售点不超过</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个，且零售点间距不少于</w:t>
      </w:r>
      <w:r>
        <w:rPr>
          <w:rFonts w:ascii="仿宋_GB2312" w:hAnsi="仿宋_GB2312" w:eastAsia="仿宋_GB2312" w:cs="仿宋_GB2312"/>
          <w:sz w:val="32"/>
          <w:szCs w:val="32"/>
        </w:rPr>
        <w:t>80</w:t>
      </w:r>
      <w:r>
        <w:rPr>
          <w:rFonts w:hint="eastAsia" w:ascii="仿宋_GB2312" w:hAnsi="仿宋_GB2312" w:eastAsia="仿宋_GB2312" w:cs="仿宋_GB2312"/>
          <w:sz w:val="32"/>
          <w:szCs w:val="32"/>
        </w:rPr>
        <w:t>米；</w:t>
      </w:r>
    </w:p>
    <w:p w14:paraId="51B913F1">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color w:val="000000"/>
          <w:sz w:val="32"/>
          <w:szCs w:val="32"/>
        </w:rPr>
        <w:t>以成年人为教育对象的高等院校内，包括大学、高等专科学校、高等职业技术学院、成人高等学校等，在校方允许的情况下，人员数量满</w:t>
      </w:r>
      <w:r>
        <w:rPr>
          <w:rFonts w:ascii="仿宋_GB2312" w:hAnsi="仿宋_GB2312" w:eastAsia="仿宋_GB2312" w:cs="仿宋_GB2312"/>
          <w:color w:val="000000"/>
          <w:sz w:val="32"/>
          <w:szCs w:val="32"/>
        </w:rPr>
        <w:t>3000</w:t>
      </w:r>
      <w:r>
        <w:rPr>
          <w:rFonts w:hint="eastAsia" w:ascii="仿宋_GB2312" w:hAnsi="仿宋_GB2312" w:eastAsia="仿宋_GB2312" w:cs="仿宋_GB2312"/>
          <w:color w:val="000000"/>
          <w:sz w:val="32"/>
          <w:szCs w:val="32"/>
        </w:rPr>
        <w:t>人可设置</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个零售点，最多可设置</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个零售点，</w:t>
      </w:r>
      <w:r>
        <w:rPr>
          <w:rFonts w:hint="eastAsia" w:ascii="仿宋_GB2312" w:hAnsi="仿宋_GB2312" w:eastAsia="仿宋_GB2312" w:cs="仿宋_GB2312"/>
          <w:bCs/>
          <w:sz w:val="32"/>
          <w:szCs w:val="32"/>
        </w:rPr>
        <w:t>且零售点间距不少于15</w:t>
      </w:r>
      <w:r>
        <w:rPr>
          <w:rFonts w:ascii="仿宋_GB2312" w:hAnsi="仿宋_GB2312" w:eastAsia="仿宋_GB2312" w:cs="仿宋_GB2312"/>
          <w:bCs/>
          <w:sz w:val="32"/>
          <w:szCs w:val="32"/>
        </w:rPr>
        <w:t>0</w:t>
      </w:r>
      <w:r>
        <w:rPr>
          <w:rFonts w:hint="eastAsia" w:ascii="仿宋_GB2312" w:hAnsi="仿宋_GB2312" w:eastAsia="仿宋_GB2312" w:cs="仿宋_GB2312"/>
          <w:bCs/>
          <w:sz w:val="32"/>
          <w:szCs w:val="32"/>
        </w:rPr>
        <w:t>米。</w:t>
      </w:r>
    </w:p>
    <w:p w14:paraId="5C548334">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第十一条</w:t>
      </w:r>
      <w:r>
        <w:rPr>
          <w:rFonts w:hint="eastAsia" w:ascii="仿宋_GB2312" w:hAnsi="仿宋_GB2312" w:eastAsia="仿宋_GB2312" w:cs="仿宋_GB2312"/>
          <w:bCs/>
          <w:sz w:val="32"/>
          <w:szCs w:val="32"/>
        </w:rPr>
        <w:t xml:space="preserve">  </w:t>
      </w:r>
      <w:r>
        <w:rPr>
          <w:rFonts w:hint="eastAsia" w:ascii="仿宋_GB2312" w:hAnsi="仿宋_GB2312" w:eastAsia="仿宋_GB2312" w:cs="仿宋_GB2312"/>
          <w:sz w:val="32"/>
          <w:szCs w:val="32"/>
        </w:rPr>
        <w:t>具有下列情形之一的，设置零售点不受市场单元总量、间距的限制：</w:t>
      </w:r>
    </w:p>
    <w:p w14:paraId="4E3029D2">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（一）以销售食品、饮料及日用品为主，满足消费者一次性选购大众化适用品需求，且经营面积（实际用于经营商品陈列，面向消费者开放，可供消费者自由出入的场所的面积）在</w:t>
      </w:r>
      <w:r>
        <w:rPr>
          <w:rFonts w:ascii="仿宋_GB2312" w:hAnsi="仿宋_GB2312" w:eastAsia="仿宋_GB2312" w:cs="仿宋_GB2312"/>
          <w:bCs/>
          <w:sz w:val="32"/>
          <w:szCs w:val="32"/>
        </w:rPr>
        <w:t>600</w:t>
      </w:r>
      <w:r>
        <w:rPr>
          <w:rFonts w:hint="eastAsia" w:ascii="仿宋_GB2312" w:hAnsi="仿宋_GB2312" w:eastAsia="仿宋_GB2312" w:cs="仿宋_GB2312"/>
          <w:bCs/>
          <w:sz w:val="32"/>
          <w:szCs w:val="32"/>
        </w:rPr>
        <w:t>平方米以上的超市、购物中心</w:t>
      </w:r>
      <w:r>
        <w:rPr>
          <w:rFonts w:ascii="仿宋_GB2312" w:hAnsi="仿宋_GB2312" w:eastAsia="仿宋_GB2312" w:cs="仿宋_GB2312"/>
          <w:bCs/>
          <w:sz w:val="32"/>
          <w:szCs w:val="32"/>
        </w:rPr>
        <w:t>;</w:t>
      </w:r>
    </w:p>
    <w:p w14:paraId="6FC4D51F">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（二）经营主体为自然人，经营类型为个体经营，自然人死亡或丧失民事行为能力，发证机关作出注销决定之日起</w:t>
      </w:r>
      <w:r>
        <w:rPr>
          <w:rFonts w:ascii="仿宋_GB2312" w:hAnsi="仿宋_GB2312" w:eastAsia="仿宋_GB2312" w:cs="仿宋_GB2312"/>
          <w:bCs/>
          <w:sz w:val="32"/>
          <w:szCs w:val="32"/>
        </w:rPr>
        <w:t>3</w:t>
      </w:r>
      <w:r>
        <w:rPr>
          <w:rFonts w:hint="eastAsia" w:ascii="仿宋_GB2312" w:hAnsi="仿宋_GB2312" w:eastAsia="仿宋_GB2312" w:cs="仿宋_GB2312"/>
          <w:bCs/>
          <w:sz w:val="32"/>
          <w:szCs w:val="32"/>
        </w:rPr>
        <w:t>个月以内，其父母、配偶、子女在原经营场所重新申领许可证的；</w:t>
      </w:r>
    </w:p>
    <w:p w14:paraId="337B64F9">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（三）因继承、法院判决、法人或其他组织分立、合并等原因需要变更经营主体，在原经营地址重新申领许可证的；</w:t>
      </w:r>
    </w:p>
    <w:p w14:paraId="65203CC2">
      <w:pPr>
        <w:spacing w:line="579"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（四）因道路规划、城市建设等客观原因造成无法在核定经营地址经营，持证人自收到发证机关送达的《烟草专卖零售许可证责令地址变更通知书》之日起，</w:t>
      </w:r>
      <w:r>
        <w:rPr>
          <w:rFonts w:ascii="仿宋_GB2312" w:hAnsi="仿宋_GB2312" w:eastAsia="仿宋_GB2312" w:cs="仿宋_GB2312"/>
          <w:bCs/>
          <w:color w:val="000000"/>
          <w:sz w:val="32"/>
          <w:szCs w:val="32"/>
        </w:rPr>
        <w:t>6</w:t>
      </w:r>
      <w:r>
        <w:rPr>
          <w:rFonts w:hint="eastAsia" w:ascii="仿宋_GB2312" w:hAnsi="仿宋_GB2312" w:eastAsia="仿宋_GB2312" w:cs="仿宋_GB2312"/>
          <w:bCs/>
          <w:color w:val="000000"/>
          <w:sz w:val="32"/>
          <w:szCs w:val="32"/>
        </w:rPr>
        <w:t>个月内主动申请变更到原发证机关辖区内其他地址经营的；</w:t>
      </w:r>
    </w:p>
    <w:p w14:paraId="54F770B3">
      <w:pPr>
        <w:spacing w:line="579"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（五）因中小学、幼儿园新建、改造导致的“先店后校”“先店后门”等情况，以及合理布局标准修订等客观原因造成中小学、幼儿园出入口</w:t>
      </w:r>
      <w:r>
        <w:rPr>
          <w:rFonts w:ascii="仿宋_GB2312" w:hAnsi="仿宋_GB2312" w:eastAsia="仿宋_GB2312" w:cs="仿宋_GB2312"/>
          <w:bCs/>
          <w:color w:val="000000"/>
          <w:sz w:val="32"/>
          <w:szCs w:val="32"/>
        </w:rPr>
        <w:t>50</w:t>
      </w:r>
      <w:r>
        <w:rPr>
          <w:rFonts w:hint="eastAsia" w:ascii="仿宋_GB2312" w:hAnsi="仿宋_GB2312" w:eastAsia="仿宋_GB2312" w:cs="仿宋_GB2312"/>
          <w:bCs/>
          <w:color w:val="000000"/>
          <w:sz w:val="32"/>
          <w:szCs w:val="32"/>
        </w:rPr>
        <w:t>米范围内的零售点不符合相关要求，持证人自收到发证机关送达的《烟草专卖零售许可证责令地址变更通知书》之日起，</w:t>
      </w:r>
      <w:r>
        <w:rPr>
          <w:rFonts w:ascii="仿宋_GB2312" w:hAnsi="仿宋_GB2312" w:eastAsia="仿宋_GB2312" w:cs="仿宋_GB2312"/>
          <w:bCs/>
          <w:color w:val="000000"/>
          <w:sz w:val="32"/>
          <w:szCs w:val="32"/>
        </w:rPr>
        <w:t>6</w:t>
      </w:r>
      <w:r>
        <w:rPr>
          <w:rFonts w:hint="eastAsia" w:ascii="仿宋_GB2312" w:hAnsi="仿宋_GB2312" w:eastAsia="仿宋_GB2312" w:cs="仿宋_GB2312"/>
          <w:bCs/>
          <w:color w:val="000000"/>
          <w:sz w:val="32"/>
          <w:szCs w:val="32"/>
        </w:rPr>
        <w:t>个月内主动申请变更到原发证机关辖区内其他地址经营的；</w:t>
      </w:r>
    </w:p>
    <w:p w14:paraId="6EED16E0">
      <w:pPr>
        <w:spacing w:line="579"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（六）为进一步保护未成</w:t>
      </w:r>
      <w:r>
        <w:rPr>
          <w:rFonts w:hint="eastAsia" w:ascii="仿宋_GB2312" w:hAnsi="仿宋_GB2312" w:eastAsia="仿宋_GB2312" w:cs="仿宋_GB2312"/>
          <w:bCs/>
          <w:color w:val="000000"/>
          <w:sz w:val="32"/>
          <w:szCs w:val="32"/>
          <w:lang w:val="en-US" w:eastAsia="zh-CN"/>
        </w:rPr>
        <w:t>年</w:t>
      </w:r>
      <w:r>
        <w:rPr>
          <w:rFonts w:hint="eastAsia" w:ascii="仿宋_GB2312" w:hAnsi="仿宋_GB2312" w:eastAsia="仿宋_GB2312" w:cs="仿宋_GB2312"/>
          <w:bCs/>
          <w:color w:val="000000"/>
          <w:sz w:val="32"/>
          <w:szCs w:val="32"/>
        </w:rPr>
        <w:t>人免受烟侵害，鼓励距离中小学、幼儿园出入口100米范围内的持证人将门店搬离到距离中小学、幼儿园出入口100米范围外，符合该条件的持证人办理歇业手续后重新申领烟草专卖零售许可证的；</w:t>
      </w:r>
    </w:p>
    <w:p w14:paraId="0D9AFACC">
      <w:pPr>
        <w:spacing w:line="579"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sz w:val="32"/>
          <w:szCs w:val="32"/>
        </w:rPr>
        <w:t>（七）</w:t>
      </w:r>
      <w:r>
        <w:rPr>
          <w:rFonts w:hint="eastAsia" w:ascii="仿宋_GB2312" w:hAnsi="仿宋_GB2312" w:eastAsia="仿宋_GB2312" w:cs="仿宋_GB2312"/>
          <w:bCs/>
          <w:color w:val="000000"/>
          <w:sz w:val="32"/>
          <w:szCs w:val="32"/>
        </w:rPr>
        <w:t>政府重点招商引资的企业或“万村千乡”市场工程等各级政府安排的现代流通网络建设及惠民便民工程（需出具县级以上政府或商务部门出具的相关证明文件）；</w:t>
      </w:r>
    </w:p>
    <w:p w14:paraId="5E8AB304">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（八）符合当地烟草公司规定的雪茄烟存储、销售、品鉴等经营条件且仅从事雪茄烟零售业务的；</w:t>
      </w:r>
    </w:p>
    <w:p w14:paraId="40F7E4D1">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（九）其他有政策扶持需要的情形，经赤壁市烟草专卖局党组会集体研究，认为可以扶持照顾的对象。</w:t>
      </w:r>
    </w:p>
    <w:p w14:paraId="234D8FF1">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上述第（四）（五）（六）项，原持证人只能重新选址一次，该情形取得烟草专卖零售许可证后，作为其他零售点设置数量、间距的参照点。</w:t>
      </w:r>
    </w:p>
    <w:p w14:paraId="19AD0B37">
      <w:pPr>
        <w:spacing w:line="579"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第十二条</w:t>
      </w:r>
      <w:r>
        <w:rPr>
          <w:rFonts w:hint="eastAsia" w:ascii="仿宋_GB2312" w:hAnsi="仿宋_GB2312" w:eastAsia="仿宋_GB2312" w:cs="仿宋_GB2312"/>
          <w:bCs/>
          <w:sz w:val="32"/>
          <w:szCs w:val="32"/>
        </w:rPr>
        <w:t xml:space="preserve">  符合以下条件的残疾人（残疾等级为视力、听力、肢体残疾三级以上，精神残疾、智力残疾除外）、烈士遗属所申办的零售点，与周边最近零售点间距限制标准放宽</w:t>
      </w:r>
      <w:r>
        <w:rPr>
          <w:rFonts w:ascii="仿宋_GB2312" w:hAnsi="仿宋_GB2312" w:eastAsia="仿宋_GB2312" w:cs="仿宋_GB2312"/>
          <w:bCs/>
          <w:sz w:val="32"/>
          <w:szCs w:val="32"/>
        </w:rPr>
        <w:t>60%</w:t>
      </w:r>
      <w:r>
        <w:rPr>
          <w:rFonts w:hint="eastAsia" w:ascii="仿宋_GB2312" w:hAnsi="仿宋_GB2312" w:eastAsia="仿宋_GB2312" w:cs="仿宋_GB2312"/>
          <w:bCs/>
          <w:sz w:val="32"/>
          <w:szCs w:val="32"/>
        </w:rPr>
        <w:t>（即间距要求为所在市场单元间距限制标准的</w:t>
      </w:r>
      <w:r>
        <w:rPr>
          <w:rFonts w:ascii="仿宋_GB2312" w:hAnsi="仿宋_GB2312" w:eastAsia="仿宋_GB2312" w:cs="仿宋_GB2312"/>
          <w:bCs/>
          <w:sz w:val="32"/>
          <w:szCs w:val="32"/>
        </w:rPr>
        <w:t>60%</w:t>
      </w:r>
      <w:r>
        <w:rPr>
          <w:rFonts w:hint="eastAsia" w:ascii="仿宋_GB2312" w:hAnsi="仿宋_GB2312" w:eastAsia="仿宋_GB2312" w:cs="仿宋_GB2312"/>
          <w:bCs/>
          <w:sz w:val="32"/>
          <w:szCs w:val="32"/>
        </w:rPr>
        <w:t>），同时受所在市场单元指导数量限制，</w:t>
      </w:r>
      <w:r>
        <w:rPr>
          <w:rFonts w:hint="eastAsia" w:ascii="仿宋_GB2312" w:hAnsi="仿宋_GB2312" w:eastAsia="仿宋_GB2312" w:cs="仿宋_GB2312"/>
          <w:bCs/>
          <w:color w:val="000000"/>
          <w:sz w:val="32"/>
          <w:szCs w:val="32"/>
        </w:rPr>
        <w:t>不得突破数量上限：</w:t>
      </w:r>
    </w:p>
    <w:p w14:paraId="75688285">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（一）持有当地政府、民政、残联等有关职能部门出具的有效证明；</w:t>
      </w:r>
    </w:p>
    <w:p w14:paraId="346CE513">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（二）持证残疾人、烈士遗属（限于烈士的父母、配偶、子女）本人自主经营；</w:t>
      </w:r>
    </w:p>
    <w:p w14:paraId="4641B8B9">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（三）未在赤壁市内享受过残疾人、烈士遗属申报烟草专卖零售许可条件放宽政策；</w:t>
      </w:r>
    </w:p>
    <w:p w14:paraId="43D1242A">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（四）由持证残疾人、烈士遗属本人提出办证申请，其营业执照的市场主体类别为个体工商户（个人经营）。</w:t>
      </w:r>
    </w:p>
    <w:p w14:paraId="21E36F3B">
      <w:pPr>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同一申请人、同一优抚证件只能在赤壁市内享受一次烟草专卖零售许可条件放宽政策，持证残疾人、烈士遗属本人不再经营的，该零售点不再适用本条规定。</w:t>
      </w:r>
    </w:p>
    <w:p w14:paraId="4F8F1C6F">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第十三条</w:t>
      </w:r>
      <w:r>
        <w:rPr>
          <w:rFonts w:hint="eastAsia" w:ascii="仿宋_GB2312" w:hAnsi="仿宋_GB2312" w:eastAsia="仿宋_GB2312" w:cs="仿宋_GB2312"/>
          <w:sz w:val="32"/>
          <w:szCs w:val="32"/>
        </w:rPr>
        <w:t xml:space="preserve">  具有下列情形之一的，不予设置零售点：</w:t>
      </w:r>
    </w:p>
    <w:p w14:paraId="0C19425D">
      <w:pPr>
        <w:spacing w:line="579"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（一）申请主体资格方面</w:t>
      </w:r>
    </w:p>
    <w:p w14:paraId="63DE1EB6">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未领取营业执照的</w:t>
      </w:r>
      <w:r>
        <w:rPr>
          <w:rFonts w:ascii="仿宋_GB2312" w:hAnsi="仿宋_GB2312" w:eastAsia="仿宋_GB2312" w:cs="仿宋_GB2312"/>
          <w:sz w:val="32"/>
          <w:szCs w:val="32"/>
        </w:rPr>
        <w:t>;</w:t>
      </w:r>
    </w:p>
    <w:p w14:paraId="31FA330C">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申请人为未成年人、限制民事行为能力人及无民事行为能力人的</w:t>
      </w:r>
      <w:r>
        <w:rPr>
          <w:rFonts w:ascii="仿宋_GB2312" w:hAnsi="仿宋_GB2312" w:eastAsia="仿宋_GB2312" w:cs="仿宋_GB2312"/>
          <w:sz w:val="32"/>
          <w:szCs w:val="32"/>
        </w:rPr>
        <w:t>;</w:t>
      </w:r>
    </w:p>
    <w:p w14:paraId="1033ED3B">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取消从事烟草专卖业务资格不满三年的</w:t>
      </w:r>
      <w:r>
        <w:rPr>
          <w:rFonts w:ascii="仿宋_GB2312" w:hAnsi="仿宋_GB2312" w:eastAsia="仿宋_GB2312" w:cs="仿宋_GB2312"/>
          <w:sz w:val="32"/>
          <w:szCs w:val="32"/>
        </w:rPr>
        <w:t>;</w:t>
      </w:r>
    </w:p>
    <w:p w14:paraId="314385FA">
      <w:pPr>
        <w:spacing w:line="579"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因申请人隐瞒有关情况或者提供虚假材料，烟草专卖局作出不予受理或者不予发证决定后，申请人一年内再次提出申请的</w:t>
      </w:r>
      <w:r>
        <w:rPr>
          <w:rFonts w:ascii="仿宋_GB2312" w:hAnsi="仿宋_GB2312" w:eastAsia="仿宋_GB2312" w:cs="仿宋_GB2312"/>
          <w:color w:val="000000"/>
          <w:sz w:val="32"/>
          <w:szCs w:val="32"/>
        </w:rPr>
        <w:t>;</w:t>
      </w:r>
    </w:p>
    <w:p w14:paraId="3D425A5D">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因申请人以欺骗、贿赂等不正当手段取得的烟草专卖许可证被撤销后，申请人三年内再次提出申请的；</w:t>
      </w:r>
    </w:p>
    <w:p w14:paraId="61547EC2">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未领取烟草专卖零售许可证经营烟草专卖品业务，并且一年内被执法机关处罚两次以上，在三年内申请烟草专卖零售许可证的</w:t>
      </w:r>
      <w:r>
        <w:rPr>
          <w:rFonts w:ascii="仿宋_GB2312" w:hAnsi="仿宋_GB2312" w:eastAsia="仿宋_GB2312" w:cs="仿宋_GB2312"/>
          <w:sz w:val="32"/>
          <w:szCs w:val="32"/>
        </w:rPr>
        <w:t>;</w:t>
      </w:r>
    </w:p>
    <w:p w14:paraId="205316BD">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w:t>
      </w:r>
      <w:r>
        <w:rPr>
          <w:rFonts w:hint="eastAsia" w:ascii="仿宋_GB2312" w:hAnsi="仿宋_GB2312" w:eastAsia="仿宋_GB2312" w:cs="仿宋_GB2312"/>
          <w:sz w:val="32"/>
          <w:szCs w:val="32"/>
        </w:rPr>
        <w:t>未领取烟草专卖零售许可证经营烟草专卖品业务被追究刑事责任，在三年内申请领取烟草专卖零售许可证的；</w:t>
      </w:r>
    </w:p>
    <w:p w14:paraId="35B47259">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外商投资的商业企业或个体工商户，或者外商投资的商业企业或者个体工商户以特许、吸纳加盟店及其他再投资等形式变相从事烟草专卖品经营业务的。外商投资的商业企业包括中外合资企业、中外合作企业、外商独资企业、港澳台地区投资企业等，有外资成分以提供住宿、餐饮、休闲、娱乐为主要经营范围且零售业态为“娱乐服务类”的宾馆、酒店等企业，以及国有控股的混合所有制企业除外。</w:t>
      </w:r>
    </w:p>
    <w:p w14:paraId="5CE84EF3">
      <w:pPr>
        <w:spacing w:line="579"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（二）经营场所方面</w:t>
      </w:r>
    </w:p>
    <w:p w14:paraId="7F87E677">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无固定经营场所的，包括但不限于流动摊点、简易搭盖、集装箱、临时建筑、违章建筑、占用公共消防通道的经营场所的</w:t>
      </w:r>
      <w:r>
        <w:rPr>
          <w:rFonts w:ascii="仿宋_GB2312" w:hAnsi="仿宋_GB2312" w:eastAsia="仿宋_GB2312" w:cs="仿宋_GB2312"/>
          <w:sz w:val="32"/>
          <w:szCs w:val="32"/>
        </w:rPr>
        <w:t>;</w:t>
      </w:r>
    </w:p>
    <w:p w14:paraId="2B1A9096">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经营场所与住所不相独立的，包括但不限于经营场所设置在住所的客厅、餐厅、卧室、阳台、车库、储藏室、楼梯间、窗口、安保门房等区域的；</w:t>
      </w:r>
    </w:p>
    <w:p w14:paraId="4ADD205F">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经营场所存在安全隐患，且不具备安全措施保障，不适宜经营卷烟的，包括但不限于经营易燃易爆品、化工原料及产品、机油制品、天然气销售、建材装潢、废品回收、装饰材料、皮革及皮制品养护服务、书店、书画坊、服装销售、床上用品、家具家私、祭祀用品、塑料制品、手工榨油坊、烟花爆竹等（具备安全措施保障的加油站便利店除外）；</w:t>
      </w:r>
    </w:p>
    <w:p w14:paraId="12FFC03D">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生产、销售、存储、运输有毒有害、放射性、易挥发、有异味等容易造成烟草制品污染的物品的，包括但不限于主营油漆、五金建材、农资农药、洗涤、自行车摩托车维修、家电汽配维修、汽车美容、美容美发、美甲、生鲜肉品、盐焗食品、海产品、散装酒类、家禽、兽医饲料、宠物及用品服务销售等；</w:t>
      </w:r>
    </w:p>
    <w:p w14:paraId="70AB3C01">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容易诱导未成年人关注、购买、吸食卷烟的经营场所，包括但不限于儿童福利院、青少年宫、青少年活动中心、托幼机构、教育培训机构等以未成年人为主要活动人群的场所，以及母婴用品店、文具店、玩具店、游乐场所等；</w:t>
      </w:r>
    </w:p>
    <w:p w14:paraId="0E6F78AA">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bCs/>
          <w:sz w:val="32"/>
          <w:szCs w:val="32"/>
        </w:rPr>
        <w:t>6.</w:t>
      </w:r>
      <w:r>
        <w:rPr>
          <w:rFonts w:hint="eastAsia" w:ascii="仿宋_GB2312" w:hAnsi="仿宋_GB2312" w:eastAsia="仿宋_GB2312" w:cs="仿宋_GB2312"/>
          <w:sz w:val="32"/>
          <w:szCs w:val="32"/>
        </w:rPr>
        <w:t>除超市、商场及特定场所外，经营场所位于地下负一楼或二楼以上的。</w:t>
      </w:r>
    </w:p>
    <w:p w14:paraId="0EA3A0A8">
      <w:pPr>
        <w:spacing w:line="579"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（三）经营模式方面</w:t>
      </w:r>
    </w:p>
    <w:p w14:paraId="03A1413C">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利用自动售货机或者其他自动售货形式，销售或者变相销售烟草制品的，例如无人超市、无人便利店</w:t>
      </w:r>
      <w:r>
        <w:rPr>
          <w:rFonts w:ascii="仿宋_GB2312" w:hAnsi="仿宋_GB2312" w:eastAsia="仿宋_GB2312" w:cs="仿宋_GB2312"/>
          <w:sz w:val="32"/>
          <w:szCs w:val="32"/>
        </w:rPr>
        <w:t>;</w:t>
      </w:r>
    </w:p>
    <w:p w14:paraId="556AC4F0">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通过信息网络销售烟草专卖品的，例如淘宝店铺、微店、</w:t>
      </w:r>
      <w:r>
        <w:rPr>
          <w:rFonts w:ascii="仿宋_GB2312" w:hAnsi="仿宋_GB2312" w:eastAsia="仿宋_GB2312" w:cs="仿宋_GB2312"/>
          <w:sz w:val="32"/>
          <w:szCs w:val="32"/>
        </w:rPr>
        <w:t>QQ</w:t>
      </w:r>
      <w:r>
        <w:rPr>
          <w:rFonts w:hint="eastAsia" w:ascii="仿宋_GB2312" w:hAnsi="仿宋_GB2312" w:eastAsia="仿宋_GB2312" w:cs="仿宋_GB2312"/>
          <w:sz w:val="32"/>
          <w:szCs w:val="32"/>
        </w:rPr>
        <w:t>、微信小程序或其他电商渠道或平台等；</w:t>
      </w:r>
    </w:p>
    <w:p w14:paraId="5A680E3C">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通过电玩、电竞、游戏机、博彩等方式开展以烟草制品为奖品的销售活动的。</w:t>
      </w:r>
    </w:p>
    <w:p w14:paraId="269B7E70">
      <w:pPr>
        <w:spacing w:line="579"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（四）其他不予发证的情形</w:t>
      </w:r>
    </w:p>
    <w:p w14:paraId="28265502">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经营场所位于中小学校、幼儿园内及中小学校、幼儿园出入口</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米范围内的</w:t>
      </w:r>
      <w:r>
        <w:rPr>
          <w:rFonts w:ascii="仿宋_GB2312" w:hAnsi="仿宋_GB2312" w:eastAsia="仿宋_GB2312" w:cs="仿宋_GB2312"/>
          <w:sz w:val="32"/>
          <w:szCs w:val="32"/>
        </w:rPr>
        <w:t>;</w:t>
      </w:r>
    </w:p>
    <w:p w14:paraId="6E7FD30F">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经营场所位于党政机关内部、</w:t>
      </w:r>
      <w:r>
        <w:rPr>
          <w:rFonts w:hint="eastAsia" w:ascii="仿宋_GB2312" w:hAnsi="仿宋_GB2312" w:eastAsia="仿宋_GB2312" w:cs="仿宋_GB2312"/>
          <w:color w:val="000000"/>
          <w:sz w:val="32"/>
          <w:szCs w:val="32"/>
        </w:rPr>
        <w:t>医疗卫生机构所属区域等政府、所属行业行政主管部门明令禁止经营烟草制品的区域；</w:t>
      </w:r>
    </w:p>
    <w:p w14:paraId="749306EA">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经营场所位于商业办公楼、写字楼、公寓、住宅楼、封闭式小区、厂房等限制公众进入，管理方不允许或不配合行政监管的区域</w:t>
      </w:r>
      <w:r>
        <w:rPr>
          <w:rFonts w:ascii="仿宋_GB2312" w:hAnsi="仿宋_GB2312" w:eastAsia="仿宋_GB2312" w:cs="仿宋_GB2312"/>
          <w:sz w:val="32"/>
          <w:szCs w:val="32"/>
        </w:rPr>
        <w:t>;</w:t>
      </w:r>
    </w:p>
    <w:p w14:paraId="35DDA540">
      <w:pPr>
        <w:spacing w:line="579" w:lineRule="exact"/>
        <w:ind w:firstLine="640"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4.</w:t>
      </w:r>
      <w:r>
        <w:rPr>
          <w:rFonts w:hint="eastAsia" w:ascii="仿宋_GB2312" w:hAnsi="仿宋_GB2312" w:eastAsia="仿宋_GB2312" w:cs="仿宋_GB2312"/>
          <w:bCs/>
          <w:sz w:val="32"/>
          <w:szCs w:val="32"/>
        </w:rPr>
        <w:t>经营场所位于政府、行政主管部门明令禁止吸烟的公共区域或极易产生安全事故的密闭区域，如网吧、台球室、游戏厅、</w:t>
      </w:r>
      <w:r>
        <w:rPr>
          <w:rFonts w:ascii="仿宋_GB2312" w:hAnsi="仿宋_GB2312" w:eastAsia="仿宋_GB2312" w:cs="仿宋_GB2312"/>
          <w:bCs/>
          <w:sz w:val="32"/>
          <w:szCs w:val="32"/>
        </w:rPr>
        <w:t>KTV</w:t>
      </w:r>
      <w:r>
        <w:rPr>
          <w:rFonts w:hint="eastAsia" w:ascii="仿宋_GB2312" w:hAnsi="仿宋_GB2312" w:eastAsia="仿宋_GB2312" w:cs="仿宋_GB2312"/>
          <w:bCs/>
          <w:sz w:val="32"/>
          <w:szCs w:val="32"/>
        </w:rPr>
        <w:t>等；</w:t>
      </w:r>
    </w:p>
    <w:p w14:paraId="7D92D7D1">
      <w:pPr>
        <w:spacing w:line="579"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同一个经营地址已办理烟草专卖零售许可证，且该许可证仍在有效期内的；</w:t>
      </w:r>
    </w:p>
    <w:p w14:paraId="62039ECC">
      <w:pPr>
        <w:spacing w:line="579" w:lineRule="exact"/>
        <w:ind w:firstLine="640" w:firstLineChars="200"/>
        <w:rPr>
          <w:rFonts w:ascii="仿宋_GB2312" w:hAnsi="仿宋_GB2312" w:eastAsia="仿宋_GB2312" w:cs="仿宋_GB2312"/>
          <w:bCs/>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经营场所位于人流稀少的偏僻区域，且周边</w:t>
      </w:r>
      <w:r>
        <w:rPr>
          <w:rFonts w:ascii="仿宋_GB2312" w:hAnsi="仿宋_GB2312" w:eastAsia="仿宋_GB2312" w:cs="仿宋_GB2312"/>
          <w:sz w:val="32"/>
          <w:szCs w:val="32"/>
        </w:rPr>
        <w:t>500</w:t>
      </w:r>
      <w:r>
        <w:rPr>
          <w:rFonts w:hint="eastAsia" w:ascii="仿宋_GB2312" w:hAnsi="仿宋_GB2312" w:eastAsia="仿宋_GB2312" w:cs="仿宋_GB2312"/>
          <w:sz w:val="32"/>
          <w:szCs w:val="32"/>
        </w:rPr>
        <w:t>米内固定住户不足</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户或烟草配送车辆基于安全因素不能通畅送达的；</w:t>
      </w:r>
    </w:p>
    <w:p w14:paraId="123E40FF">
      <w:pPr>
        <w:spacing w:line="579" w:lineRule="exact"/>
        <w:ind w:firstLine="640" w:firstLineChars="200"/>
        <w:rPr>
          <w:rFonts w:ascii="仿宋_GB2312" w:hAnsi="仿宋_GB2312" w:eastAsia="仿宋_GB2312" w:cs="仿宋_GB2312"/>
          <w:b/>
          <w:sz w:val="32"/>
          <w:szCs w:val="32"/>
        </w:rPr>
      </w:pPr>
      <w:r>
        <w:rPr>
          <w:rFonts w:ascii="仿宋_GB2312" w:hAnsi="仿宋_GB2312" w:eastAsia="仿宋_GB2312" w:cs="仿宋_GB2312"/>
          <w:bCs/>
          <w:sz w:val="32"/>
          <w:szCs w:val="32"/>
        </w:rPr>
        <w:t>7.</w:t>
      </w:r>
      <w:r>
        <w:rPr>
          <w:rFonts w:hint="eastAsia" w:ascii="仿宋_GB2312" w:hAnsi="仿宋_GB2312" w:eastAsia="仿宋_GB2312" w:cs="仿宋_GB2312"/>
          <w:sz w:val="32"/>
          <w:szCs w:val="32"/>
        </w:rPr>
        <w:t>法律、法规、规章等规定的不予发放烟草专卖零售许可的其他情形。</w:t>
      </w:r>
    </w:p>
    <w:p w14:paraId="39E57582">
      <w:pPr>
        <w:spacing w:before="227" w:beforeLines="50" w:after="227" w:afterLines="50" w:line="579" w:lineRule="exact"/>
        <w:jc w:val="center"/>
        <w:rPr>
          <w:rFonts w:ascii="黑体" w:hAnsi="黑体" w:eastAsia="黑体" w:cs="仿宋_GB2312"/>
          <w:sz w:val="32"/>
          <w:szCs w:val="32"/>
        </w:rPr>
      </w:pPr>
      <w:r>
        <w:rPr>
          <w:rFonts w:hint="eastAsia" w:ascii="黑体" w:hAnsi="黑体" w:eastAsia="黑体" w:cs="仿宋_GB2312"/>
          <w:sz w:val="32"/>
          <w:szCs w:val="32"/>
        </w:rPr>
        <w:t>第四章  排队轮候</w:t>
      </w:r>
    </w:p>
    <w:p w14:paraId="39FF8D72">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第十四条</w:t>
      </w:r>
      <w:r>
        <w:rPr>
          <w:rFonts w:hint="eastAsia" w:ascii="仿宋_GB2312" w:hAnsi="仿宋_GB2312" w:eastAsia="仿宋_GB2312" w:cs="仿宋_GB2312"/>
          <w:sz w:val="32"/>
          <w:szCs w:val="32"/>
        </w:rPr>
        <w:t xml:space="preserve">  市场单元内烟草专卖零售许可证数量低于零售点指导数量的，按照申请人申请的先后顺序即时受理，达到零售点指导数量上限的，按照“退一进一”原则办理。</w:t>
      </w:r>
    </w:p>
    <w:p w14:paraId="1EC7FC30">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现有零售点已经超出指导数量的，按照申请人申请时间的先后顺序进行排队轮候，待零售点数量降至指导数量后，按照“退一进一”原则办理。</w:t>
      </w:r>
    </w:p>
    <w:p w14:paraId="619D4002">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依据本规定不受市场单元总量限制设置的零售点，可以即时受理，不用排队等候。</w:t>
      </w:r>
    </w:p>
    <w:p w14:paraId="5CAF963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第十五条</w:t>
      </w:r>
      <w:r>
        <w:rPr>
          <w:rFonts w:hint="eastAsia" w:ascii="仿宋_GB2312" w:hAnsi="仿宋_GB2312" w:eastAsia="仿宋_GB2312" w:cs="仿宋_GB2312"/>
          <w:sz w:val="32"/>
          <w:szCs w:val="32"/>
        </w:rPr>
        <w:t xml:space="preserve">  赤壁市烟草专卖局根据申请先后顺序对申请人进行登记建档，在赤壁市政务服务中心烟草窗口公示，同时公布辖区可办证数量；申请人直接在网上提交申请的，由赤壁市烟草专卖局的办证人员联系申请人，按在网上申请的时间登记建档。</w:t>
      </w:r>
    </w:p>
    <w:p w14:paraId="080AC221">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第十六条</w:t>
      </w:r>
      <w:r>
        <w:rPr>
          <w:rFonts w:ascii="仿宋_GB2312" w:hAnsi="仿宋_GB2312" w:eastAsia="仿宋_GB2312" w:cs="仿宋_GB2312"/>
          <w:b/>
          <w:bCs/>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当市场单元内满足“退一进一”规则，可新办许可证时，赤壁市烟草专卖局按登记排队顺序依次通知申请人，申请人应在收到办理通知之日起三个工作日内提交办证申请材料，逾期未提交申请材料或按照预留联系方式无法联系到申请人的，视同自愿放弃，原排队序号失效，由下一顺位的申请人递补申请。</w:t>
      </w:r>
    </w:p>
    <w:p w14:paraId="607D40F9">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第十七条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轮候申请人与实际申请人应当一致，轮候顺序不得调换或转让。放弃本次申请或经核查不符合办证条件的，按照轮候顺序通知下一个轮候申请人提交申请材料。</w:t>
      </w:r>
    </w:p>
    <w:p w14:paraId="51CC5CC8">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排队轮候具体规则见《赤壁市烟草专卖零售许可证办理轮候制度》（附件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p>
    <w:p w14:paraId="366539F9">
      <w:pPr>
        <w:spacing w:before="227" w:beforeLines="50" w:after="227" w:afterLines="50" w:line="579" w:lineRule="exact"/>
        <w:jc w:val="center"/>
        <w:rPr>
          <w:rFonts w:ascii="黑体" w:hAnsi="黑体" w:eastAsia="黑体" w:cs="仿宋_GB2312"/>
          <w:sz w:val="32"/>
          <w:szCs w:val="32"/>
        </w:rPr>
      </w:pPr>
      <w:r>
        <w:rPr>
          <w:rFonts w:hint="eastAsia" w:ascii="黑体" w:hAnsi="黑体" w:eastAsia="黑体" w:cs="仿宋_GB2312"/>
          <w:sz w:val="32"/>
          <w:szCs w:val="32"/>
        </w:rPr>
        <w:t>第五章  附  则</w:t>
      </w:r>
    </w:p>
    <w:p w14:paraId="5A1566D3">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第十八条</w:t>
      </w:r>
      <w:r>
        <w:rPr>
          <w:rFonts w:hint="eastAsia" w:ascii="仿宋_GB2312" w:hAnsi="仿宋_GB2312" w:eastAsia="仿宋_GB2312" w:cs="仿宋_GB2312"/>
          <w:sz w:val="32"/>
          <w:szCs w:val="32"/>
        </w:rPr>
        <w:t xml:space="preserve">  本规定所称的“固定经营场所”是指由砖、木、钢、水泥等材料建成的封闭且不可移动，具有合法的产权权属，具备实物商品展示的经营设施、条件，直接面对不特定消费者、消费者可直接进店挑选商品的固定独立门面（铺面）。不包括违法建设、危险建筑、被征收房屋、市政规划已标示待拆迁建筑等依法不能用作经营场所的房屋。固定经营场所的具体条件详见《赤壁市烟草制品零售点固定经营场所条件规定》（附件</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p>
    <w:p w14:paraId="53DBB163">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第十九条</w:t>
      </w:r>
      <w:r>
        <w:rPr>
          <w:rFonts w:hint="eastAsia" w:ascii="仿宋_GB2312" w:hAnsi="仿宋_GB2312" w:eastAsia="仿宋_GB2312" w:cs="仿宋_GB2312"/>
          <w:sz w:val="32"/>
          <w:szCs w:val="32"/>
        </w:rPr>
        <w:t xml:space="preserve">  本规定所称“经营场所与住所不相独立”是指从事烟草制品销售、储存的经营场所与生活区域从空间上无法分离和断开，在物理特性上无实体墙隔开且无明确的区域界线。</w:t>
      </w:r>
    </w:p>
    <w:p w14:paraId="7DB6757B">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第二十条</w:t>
      </w:r>
      <w:r>
        <w:rPr>
          <w:rFonts w:hint="eastAsia" w:ascii="仿宋_GB2312" w:hAnsi="仿宋_GB2312" w:eastAsia="仿宋_GB2312" w:cs="仿宋_GB2312"/>
          <w:sz w:val="32"/>
          <w:szCs w:val="32"/>
        </w:rPr>
        <w:t xml:space="preserve">  本规定所称“间距”是</w:t>
      </w:r>
      <w:r>
        <w:rPr>
          <w:rFonts w:hint="eastAsia" w:ascii="仿宋_GB2312" w:hAnsi="仿宋_GB2312" w:eastAsia="仿宋_GB2312" w:cs="仿宋_GB2312"/>
          <w:color w:val="000000"/>
          <w:sz w:val="32"/>
          <w:szCs w:val="32"/>
        </w:rPr>
        <w:t>指申请人的经营场所营业大门中心与最近零售点的经营场所营业大门中心之间的距离（经营场所有多个营业出入口的，以最近出入口为参照进行测量）。</w:t>
      </w:r>
      <w:r>
        <w:rPr>
          <w:rFonts w:hint="eastAsia" w:ascii="仿宋_GB2312" w:hAnsi="仿宋_GB2312" w:eastAsia="仿宋_GB2312" w:cs="仿宋_GB2312"/>
          <w:sz w:val="32"/>
          <w:szCs w:val="32"/>
        </w:rPr>
        <w:t>距离测量时，两名以上专卖执法人员以依法可通行的最短距离为标准，测量时不得穿越隔离护栏、护墙、花坛、花园、建筑物等设施。具体测量方法详见《赤壁市烟草制品零售点间距勘验标准》（附件</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w:t>
      </w:r>
    </w:p>
    <w:p w14:paraId="39ED1312">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第二十一条</w:t>
      </w:r>
      <w:r>
        <w:rPr>
          <w:rFonts w:hint="eastAsia" w:ascii="仿宋_GB2312" w:hAnsi="仿宋_GB2312" w:eastAsia="仿宋_GB2312" w:cs="仿宋_GB2312"/>
          <w:sz w:val="32"/>
          <w:szCs w:val="32"/>
        </w:rPr>
        <w:t xml:space="preserve">  本规定涉及的“中小学校”</w:t>
      </w:r>
      <w:r>
        <w:rPr>
          <w:rFonts w:ascii="仿宋_GB2312" w:hAnsi="仿宋_GB2312" w:eastAsia="仿宋_GB2312" w:cs="仿宋_GB2312"/>
        </w:rPr>
        <w:t xml:space="preserve"> </w:t>
      </w:r>
      <w:r>
        <w:rPr>
          <w:rFonts w:hint="eastAsia" w:ascii="仿宋_GB2312" w:hAnsi="仿宋_GB2312" w:eastAsia="仿宋_GB2312" w:cs="仿宋_GB2312"/>
          <w:sz w:val="32"/>
          <w:szCs w:val="32"/>
        </w:rPr>
        <w:t>是指普通中小学、特殊教育学校、中等职业学校、专门学校；“幼儿园”指经教育部门依法批准的公办和民办幼儿园。</w:t>
      </w:r>
    </w:p>
    <w:p w14:paraId="561D95A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第二十二条</w:t>
      </w:r>
      <w:r>
        <w:rPr>
          <w:rFonts w:hint="eastAsia" w:ascii="仿宋_GB2312" w:hAnsi="仿宋_GB2312" w:eastAsia="仿宋_GB2312" w:cs="仿宋_GB2312"/>
          <w:sz w:val="32"/>
          <w:szCs w:val="32"/>
        </w:rPr>
        <w:t xml:space="preserve">  本规定所称“中小学校、幼儿园出入口</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米范围内”指中小学校、幼儿园内部及距离中小学校、幼儿园出入</w:t>
      </w:r>
      <w:r>
        <w:rPr>
          <w:rFonts w:hint="eastAsia" w:ascii="仿宋_GB2312" w:hAnsi="仿宋_GB2312" w:eastAsia="仿宋_GB2312" w:cs="仿宋_GB2312"/>
          <w:color w:val="000000"/>
          <w:sz w:val="32"/>
          <w:szCs w:val="32"/>
        </w:rPr>
        <w:t>口中心位置向外延伸</w:t>
      </w:r>
      <w:r>
        <w:rPr>
          <w:rFonts w:ascii="仿宋_GB2312" w:hAnsi="仿宋_GB2312" w:eastAsia="仿宋_GB2312" w:cs="仿宋_GB2312"/>
          <w:color w:val="000000"/>
          <w:sz w:val="32"/>
          <w:szCs w:val="32"/>
        </w:rPr>
        <w:t>50</w:t>
      </w:r>
      <w:r>
        <w:rPr>
          <w:rFonts w:hint="eastAsia" w:ascii="仿宋_GB2312" w:hAnsi="仿宋_GB2312" w:eastAsia="仿宋_GB2312" w:cs="仿宋_GB2312"/>
          <w:color w:val="000000"/>
          <w:sz w:val="32"/>
          <w:szCs w:val="32"/>
        </w:rPr>
        <w:t>米范围内。</w:t>
      </w:r>
    </w:p>
    <w:p w14:paraId="59A90FD0">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出入口指中小学校及幼儿园用于学生、幼儿日常进出的通道口，不包括专用的教职工通道、后勤通道、消防通道、应急通道、货运通道、垃圾通道等学生不能正常通行的通道。</w:t>
      </w:r>
    </w:p>
    <w:p w14:paraId="3813AEAA">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第二十三条</w:t>
      </w:r>
      <w:r>
        <w:rPr>
          <w:rFonts w:hint="eastAsia" w:ascii="仿宋_GB2312" w:hAnsi="仿宋_GB2312" w:eastAsia="仿宋_GB2312" w:cs="仿宋_GB2312"/>
          <w:sz w:val="32"/>
          <w:szCs w:val="32"/>
        </w:rPr>
        <w:t xml:space="preserve">  已合法持有烟草专卖零售许可证的零售户，在许可有效期限内不受本规定调整的影响。持证人办理烟草专卖零售许可证延续申请的，不受合理布局数量和间距调整的影响，但具有不予发放烟草专卖零售许可证情形的除外。</w:t>
      </w:r>
    </w:p>
    <w:p w14:paraId="0E55AB3E">
      <w:pPr>
        <w:spacing w:line="579" w:lineRule="exact"/>
        <w:ind w:firstLine="643" w:firstLineChars="200"/>
        <w:rPr>
          <w:rFonts w:ascii="仿宋_GB2312" w:hAnsi="仿宋_GB2312" w:eastAsia="仿宋_GB2312" w:cs="仿宋_GB2312"/>
          <w:color w:val="000000"/>
          <w:szCs w:val="32"/>
        </w:rPr>
      </w:pPr>
      <w:r>
        <w:rPr>
          <w:rFonts w:hint="eastAsia" w:ascii="仿宋_GB2312" w:hAnsi="仿宋_GB2312" w:eastAsia="仿宋_GB2312" w:cs="仿宋_GB2312"/>
          <w:b/>
          <w:sz w:val="32"/>
          <w:szCs w:val="32"/>
        </w:rPr>
        <w:t>第二十四条</w:t>
      </w:r>
      <w:r>
        <w:rPr>
          <w:rFonts w:hint="eastAsia" w:ascii="仿宋_GB2312" w:hAnsi="仿宋_GB2312" w:eastAsia="仿宋_GB2312" w:cs="仿宋_GB2312"/>
          <w:sz w:val="32"/>
          <w:szCs w:val="32"/>
        </w:rPr>
        <w:t xml:space="preserve">  本规定中的“不少于”“以上”“以内”包含本数。</w:t>
      </w:r>
    </w:p>
    <w:p w14:paraId="351E78D7">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第二十五条</w:t>
      </w:r>
      <w:r>
        <w:rPr>
          <w:rFonts w:hint="eastAsia" w:ascii="仿宋_GB2312" w:hAnsi="仿宋_GB2312" w:eastAsia="仿宋_GB2312" w:cs="仿宋_GB2312"/>
          <w:sz w:val="32"/>
          <w:szCs w:val="32"/>
        </w:rPr>
        <w:t xml:space="preserve">  本规定由赤壁市烟草专卖局负责解释。</w:t>
      </w:r>
    </w:p>
    <w:p w14:paraId="2B7AF0B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第二十六条</w:t>
      </w:r>
      <w:r>
        <w:rPr>
          <w:rFonts w:hint="eastAsia" w:ascii="仿宋_GB2312" w:hAnsi="仿宋_GB2312" w:eastAsia="仿宋_GB2312" w:cs="仿宋_GB2312"/>
          <w:sz w:val="32"/>
          <w:szCs w:val="32"/>
        </w:rPr>
        <w:t xml:space="preserve">  本规定实施过程中，如遇国家法律法规和政策发生重大变化以及辖区内人口、交通通行状况、社会经济发展、消费能力等情况发生重大变化，需要调整烟草制品零售点布局标准时，赤壁市烟草专卖局依法依规适时进行调整。</w:t>
      </w:r>
    </w:p>
    <w:p w14:paraId="42950DD0">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第二十七条</w:t>
      </w:r>
      <w:r>
        <w:rPr>
          <w:rFonts w:hint="eastAsia" w:ascii="仿宋_GB2312" w:hAnsi="仿宋_GB2312" w:eastAsia="仿宋_GB2312" w:cs="仿宋_GB2312"/>
          <w:sz w:val="32"/>
          <w:szCs w:val="32"/>
        </w:rPr>
        <w:t xml:space="preserve">  在本规定实施前，申请人按照</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日颁布实施的《赤壁市烟草制品零售点合理布局规定》“退一进一”原则在烟草专卖局排队轮候的，排队顺序继续有效。</w:t>
      </w:r>
    </w:p>
    <w:p w14:paraId="03857AAA">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第二十八条  </w:t>
      </w:r>
      <w:r>
        <w:rPr>
          <w:rFonts w:hint="eastAsia" w:ascii="仿宋_GB2312" w:hAnsi="仿宋_GB2312" w:eastAsia="仿宋_GB2312" w:cs="仿宋_GB2312"/>
          <w:sz w:val="32"/>
          <w:szCs w:val="32"/>
        </w:rPr>
        <w:t>本规定自发布之日起实施，</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日颁布实施的《赤壁市烟草制品零售点合理布局规定》同时废止。</w:t>
      </w:r>
    </w:p>
    <w:p w14:paraId="61A4D6E7">
      <w:pPr>
        <w:spacing w:line="579" w:lineRule="exact"/>
        <w:ind w:firstLine="640" w:firstLineChars="200"/>
        <w:rPr>
          <w:rFonts w:ascii="仿宋_GB2312" w:hAnsi="仿宋_GB2312" w:eastAsia="仿宋_GB2312" w:cs="仿宋_GB2312"/>
          <w:sz w:val="32"/>
          <w:szCs w:val="32"/>
        </w:rPr>
      </w:pPr>
    </w:p>
    <w:p w14:paraId="76A241CA">
      <w:pPr>
        <w:spacing w:line="579" w:lineRule="exact"/>
        <w:ind w:left="1598" w:leftChars="304" w:hanging="960" w:hangingChars="300"/>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赤壁市烟草制品零售点市场单元布局规划表</w:t>
      </w:r>
    </w:p>
    <w:p w14:paraId="052B5564">
      <w:pPr>
        <w:spacing w:line="579" w:lineRule="exact"/>
        <w:ind w:left="1596" w:leftChars="684" w:hanging="160" w:hangingChars="5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赤壁市烟草专卖零售许可证办理轮候制度</w:t>
      </w:r>
    </w:p>
    <w:p w14:paraId="1964278F">
      <w:pPr>
        <w:spacing w:line="579" w:lineRule="exact"/>
        <w:ind w:left="1596" w:leftChars="684" w:hanging="160" w:hangingChars="5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赤壁市烟草制品零售点固定经营场所条件规定</w:t>
      </w:r>
    </w:p>
    <w:p w14:paraId="7BAFFE11">
      <w:pPr>
        <w:spacing w:line="579" w:lineRule="exact"/>
        <w:ind w:left="1596" w:leftChars="684" w:hanging="160" w:hangingChars="5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赤壁市烟草制品零售点间距勘验标准</w:t>
      </w:r>
    </w:p>
    <w:p w14:paraId="6BFCD055">
      <w:pPr>
        <w:spacing w:line="579" w:lineRule="exact"/>
        <w:rPr>
          <w:rFonts w:ascii="仿宋_GB2312" w:hAnsi="仿宋_GB2312" w:eastAsia="仿宋_GB2312" w:cs="仿宋_GB2312"/>
          <w:kern w:val="32"/>
          <w:sz w:val="32"/>
          <w:szCs w:val="32"/>
        </w:rPr>
      </w:pPr>
    </w:p>
    <w:p w14:paraId="5467598D">
      <w:pPr>
        <w:spacing w:line="579" w:lineRule="exact"/>
        <w:rPr>
          <w:rFonts w:ascii="仿宋_GB2312" w:hAnsi="仿宋_GB2312" w:eastAsia="仿宋_GB2312" w:cs="仿宋_GB2312"/>
          <w:kern w:val="32"/>
          <w:sz w:val="32"/>
          <w:szCs w:val="32"/>
        </w:rPr>
      </w:pPr>
    </w:p>
    <w:p w14:paraId="7E27ADB9">
      <w:pPr>
        <w:spacing w:line="579" w:lineRule="exact"/>
        <w:rPr>
          <w:rFonts w:ascii="仿宋_GB2312" w:hAnsi="仿宋_GB2312" w:eastAsia="仿宋_GB2312" w:cs="仿宋_GB2312"/>
          <w:kern w:val="32"/>
          <w:sz w:val="32"/>
          <w:szCs w:val="32"/>
        </w:rPr>
      </w:pPr>
    </w:p>
    <w:p w14:paraId="58D76A21">
      <w:pPr>
        <w:spacing w:line="579" w:lineRule="exact"/>
        <w:rPr>
          <w:rFonts w:ascii="仿宋_GB2312" w:hAnsi="仿宋_GB2312" w:eastAsia="仿宋_GB2312" w:cs="仿宋_GB2312"/>
          <w:kern w:val="32"/>
          <w:sz w:val="32"/>
          <w:szCs w:val="32"/>
        </w:rPr>
      </w:pPr>
    </w:p>
    <w:p w14:paraId="29D29E2C">
      <w:pPr>
        <w:spacing w:line="579" w:lineRule="exact"/>
        <w:rPr>
          <w:rFonts w:ascii="仿宋_GB2312" w:hAnsi="仿宋_GB2312" w:eastAsia="仿宋_GB2312" w:cs="仿宋_GB2312"/>
          <w:kern w:val="32"/>
          <w:sz w:val="32"/>
          <w:szCs w:val="32"/>
        </w:rPr>
      </w:pPr>
    </w:p>
    <w:p w14:paraId="472DBB9C">
      <w:pPr>
        <w:spacing w:line="579" w:lineRule="exact"/>
        <w:rPr>
          <w:rFonts w:ascii="仿宋_GB2312" w:hAnsi="仿宋_GB2312" w:eastAsia="仿宋_GB2312" w:cs="仿宋_GB2312"/>
          <w:kern w:val="32"/>
          <w:sz w:val="32"/>
          <w:szCs w:val="32"/>
        </w:rPr>
      </w:pPr>
    </w:p>
    <w:p w14:paraId="470A1A91">
      <w:pPr>
        <w:spacing w:line="579" w:lineRule="exact"/>
        <w:rPr>
          <w:rFonts w:ascii="仿宋_GB2312" w:hAnsi="仿宋_GB2312" w:eastAsia="仿宋_GB2312" w:cs="仿宋_GB2312"/>
          <w:kern w:val="32"/>
          <w:sz w:val="32"/>
          <w:szCs w:val="32"/>
        </w:rPr>
      </w:pPr>
    </w:p>
    <w:p w14:paraId="6EA9CC17">
      <w:pPr>
        <w:spacing w:line="579" w:lineRule="exact"/>
        <w:rPr>
          <w:rFonts w:ascii="仿宋_GB2312" w:hAnsi="仿宋_GB2312" w:eastAsia="仿宋_GB2312" w:cs="仿宋_GB2312"/>
          <w:kern w:val="32"/>
          <w:sz w:val="32"/>
          <w:szCs w:val="32"/>
        </w:rPr>
      </w:pPr>
    </w:p>
    <w:p w14:paraId="09213441">
      <w:pPr>
        <w:spacing w:line="579" w:lineRule="exact"/>
        <w:rPr>
          <w:rFonts w:ascii="仿宋_GB2312" w:hAnsi="仿宋_GB2312" w:eastAsia="仿宋_GB2312" w:cs="仿宋_GB2312"/>
          <w:kern w:val="32"/>
          <w:sz w:val="32"/>
          <w:szCs w:val="32"/>
        </w:rPr>
      </w:pPr>
    </w:p>
    <w:p w14:paraId="6F8B43E2">
      <w:pPr>
        <w:spacing w:line="579" w:lineRule="exact"/>
        <w:rPr>
          <w:rFonts w:ascii="仿宋_GB2312" w:hAnsi="仿宋_GB2312" w:eastAsia="仿宋_GB2312" w:cs="仿宋_GB2312"/>
          <w:kern w:val="32"/>
          <w:sz w:val="32"/>
          <w:szCs w:val="32"/>
        </w:rPr>
      </w:pPr>
    </w:p>
    <w:p w14:paraId="290D169C">
      <w:pPr>
        <w:spacing w:line="579" w:lineRule="exact"/>
        <w:rPr>
          <w:rFonts w:ascii="仿宋_GB2312" w:hAnsi="仿宋_GB2312" w:eastAsia="仿宋_GB2312" w:cs="仿宋_GB2312"/>
          <w:kern w:val="32"/>
          <w:sz w:val="32"/>
          <w:szCs w:val="32"/>
        </w:rPr>
      </w:pPr>
    </w:p>
    <w:p w14:paraId="2881BDD8">
      <w:pPr>
        <w:spacing w:line="579" w:lineRule="exact"/>
        <w:rPr>
          <w:rFonts w:ascii="仿宋_GB2312" w:hAnsi="仿宋_GB2312" w:eastAsia="仿宋_GB2312" w:cs="仿宋_GB2312"/>
          <w:kern w:val="32"/>
          <w:sz w:val="32"/>
          <w:szCs w:val="32"/>
        </w:rPr>
      </w:pPr>
    </w:p>
    <w:p w14:paraId="73915680">
      <w:pPr>
        <w:spacing w:line="579" w:lineRule="exact"/>
        <w:rPr>
          <w:rFonts w:ascii="仿宋_GB2312" w:hAnsi="仿宋_GB2312" w:eastAsia="仿宋_GB2312" w:cs="仿宋_GB2312"/>
          <w:kern w:val="32"/>
          <w:sz w:val="32"/>
          <w:szCs w:val="32"/>
        </w:rPr>
      </w:pPr>
    </w:p>
    <w:p w14:paraId="4E15BB02">
      <w:pPr>
        <w:spacing w:line="579" w:lineRule="exact"/>
        <w:rPr>
          <w:rFonts w:ascii="仿宋_GB2312" w:hAnsi="仿宋_GB2312" w:eastAsia="仿宋_GB2312" w:cs="仿宋_GB2312"/>
          <w:kern w:val="32"/>
          <w:sz w:val="32"/>
          <w:szCs w:val="32"/>
        </w:rPr>
      </w:pPr>
    </w:p>
    <w:p w14:paraId="37D47CD4">
      <w:pPr>
        <w:spacing w:line="579" w:lineRule="exact"/>
        <w:rPr>
          <w:rFonts w:ascii="仿宋_GB2312" w:hAnsi="仿宋_GB2312" w:eastAsia="仿宋_GB2312" w:cs="仿宋_GB2312"/>
          <w:kern w:val="32"/>
          <w:sz w:val="32"/>
          <w:szCs w:val="32"/>
        </w:rPr>
      </w:pPr>
    </w:p>
    <w:p w14:paraId="5C0CEF27">
      <w:pPr>
        <w:spacing w:line="579" w:lineRule="exact"/>
        <w:rPr>
          <w:rFonts w:ascii="仿宋_GB2312" w:hAnsi="仿宋_GB2312" w:eastAsia="仿宋_GB2312" w:cs="仿宋_GB2312"/>
          <w:kern w:val="32"/>
          <w:sz w:val="32"/>
          <w:szCs w:val="32"/>
        </w:rPr>
      </w:pPr>
    </w:p>
    <w:p w14:paraId="57343FAD">
      <w:pPr>
        <w:spacing w:line="579" w:lineRule="exact"/>
        <w:rPr>
          <w:rFonts w:ascii="仿宋_GB2312" w:hAnsi="仿宋_GB2312" w:eastAsia="仿宋_GB2312" w:cs="仿宋_GB2312"/>
          <w:kern w:val="32"/>
          <w:sz w:val="32"/>
          <w:szCs w:val="32"/>
        </w:rPr>
      </w:pPr>
    </w:p>
    <w:p w14:paraId="78F6330C">
      <w:pPr>
        <w:spacing w:line="579" w:lineRule="exact"/>
        <w:rPr>
          <w:rFonts w:ascii="黑体" w:hAnsi="黑体" w:eastAsia="黑体" w:cs="仿宋_GB2312"/>
          <w:kern w:val="32"/>
          <w:sz w:val="32"/>
          <w:szCs w:val="32"/>
        </w:rPr>
      </w:pPr>
      <w:r>
        <w:rPr>
          <w:rFonts w:hint="eastAsia" w:ascii="黑体" w:hAnsi="黑体" w:eastAsia="黑体" w:cs="仿宋_GB2312"/>
          <w:kern w:val="32"/>
          <w:sz w:val="32"/>
          <w:szCs w:val="32"/>
        </w:rPr>
        <w:t>附件</w:t>
      </w:r>
      <w:r>
        <w:rPr>
          <w:rFonts w:ascii="黑体" w:hAnsi="黑体" w:eastAsia="黑体" w:cs="仿宋_GB2312"/>
          <w:kern w:val="32"/>
          <w:sz w:val="32"/>
          <w:szCs w:val="32"/>
        </w:rPr>
        <w:t>1</w:t>
      </w:r>
    </w:p>
    <w:p w14:paraId="22A76023">
      <w:pPr>
        <w:spacing w:line="579" w:lineRule="exact"/>
        <w:rPr>
          <w:rFonts w:ascii="仿宋_GB2312" w:hAnsi="仿宋_GB2312" w:eastAsia="仿宋_GB2312" w:cs="仿宋_GB2312"/>
          <w:kern w:val="32"/>
          <w:sz w:val="32"/>
          <w:szCs w:val="32"/>
        </w:rPr>
      </w:pPr>
    </w:p>
    <w:tbl>
      <w:tblPr>
        <w:tblStyle w:val="6"/>
        <w:tblW w:w="9500" w:type="dxa"/>
        <w:jc w:val="center"/>
        <w:tblLayout w:type="autofit"/>
        <w:tblCellMar>
          <w:top w:w="0" w:type="dxa"/>
          <w:left w:w="108" w:type="dxa"/>
          <w:bottom w:w="0" w:type="dxa"/>
          <w:right w:w="108" w:type="dxa"/>
        </w:tblCellMar>
      </w:tblPr>
      <w:tblGrid>
        <w:gridCol w:w="720"/>
        <w:gridCol w:w="1080"/>
        <w:gridCol w:w="453"/>
        <w:gridCol w:w="4246"/>
        <w:gridCol w:w="1080"/>
        <w:gridCol w:w="987"/>
        <w:gridCol w:w="939"/>
      </w:tblGrid>
      <w:tr w14:paraId="5F54404A">
        <w:tblPrEx>
          <w:tblCellMar>
            <w:top w:w="0" w:type="dxa"/>
            <w:left w:w="108" w:type="dxa"/>
            <w:bottom w:w="0" w:type="dxa"/>
            <w:right w:w="108" w:type="dxa"/>
          </w:tblCellMar>
        </w:tblPrEx>
        <w:trPr>
          <w:trHeight w:val="567" w:hRule="atLeast"/>
          <w:jc w:val="center"/>
        </w:trPr>
        <w:tc>
          <w:tcPr>
            <w:tcW w:w="1800" w:type="dxa"/>
            <w:gridSpan w:val="2"/>
            <w:tcBorders>
              <w:top w:val="nil"/>
              <w:left w:val="nil"/>
              <w:bottom w:val="single" w:color="000000" w:sz="4" w:space="0"/>
              <w:right w:val="nil"/>
            </w:tcBorders>
          </w:tcPr>
          <w:p w14:paraId="768D822C">
            <w:pPr>
              <w:widowControl/>
              <w:jc w:val="center"/>
              <w:rPr>
                <w:rFonts w:ascii="方正小标宋简体" w:hAnsi="仿宋_GB2312" w:eastAsia="方正小标宋简体" w:cs="仿宋_GB2312"/>
                <w:sz w:val="36"/>
                <w:szCs w:val="36"/>
              </w:rPr>
            </w:pPr>
          </w:p>
        </w:tc>
        <w:tc>
          <w:tcPr>
            <w:tcW w:w="7700" w:type="dxa"/>
            <w:gridSpan w:val="5"/>
            <w:tcBorders>
              <w:top w:val="nil"/>
              <w:left w:val="nil"/>
              <w:bottom w:val="single" w:color="000000" w:sz="4" w:space="0"/>
              <w:right w:val="nil"/>
            </w:tcBorders>
            <w:noWrap/>
            <w:vAlign w:val="center"/>
          </w:tcPr>
          <w:p w14:paraId="2C6715A1">
            <w:pPr>
              <w:widowControl/>
              <w:jc w:val="center"/>
              <w:rPr>
                <w:rFonts w:ascii="方正小标宋简体" w:hAnsi="宋体" w:eastAsia="方正小标宋简体" w:cs="宋体"/>
                <w:b/>
                <w:bCs/>
                <w:color w:val="000000"/>
                <w:kern w:val="0"/>
                <w:sz w:val="32"/>
                <w:szCs w:val="32"/>
              </w:rPr>
            </w:pPr>
            <w:r>
              <w:rPr>
                <w:rFonts w:hint="eastAsia" w:ascii="方正小标宋简体" w:hAnsi="仿宋_GB2312" w:eastAsia="方正小标宋简体" w:cs="仿宋_GB2312"/>
                <w:sz w:val="36"/>
                <w:szCs w:val="36"/>
              </w:rPr>
              <w:t>赤壁市烟草制品零售点市场单元布局规划表</w:t>
            </w:r>
          </w:p>
        </w:tc>
      </w:tr>
      <w:tr w14:paraId="22D15BA3">
        <w:tblPrEx>
          <w:tblCellMar>
            <w:top w:w="0" w:type="dxa"/>
            <w:left w:w="108" w:type="dxa"/>
            <w:bottom w:w="0" w:type="dxa"/>
            <w:right w:w="108" w:type="dxa"/>
          </w:tblCellMar>
        </w:tblPrEx>
        <w:trPr>
          <w:trHeight w:val="900" w:hRule="atLeast"/>
          <w:jc w:val="center"/>
        </w:trPr>
        <w:tc>
          <w:tcPr>
            <w:tcW w:w="720" w:type="dxa"/>
            <w:tcBorders>
              <w:top w:val="single" w:color="000000" w:sz="4" w:space="0"/>
              <w:left w:val="single" w:color="000000" w:sz="4" w:space="0"/>
              <w:bottom w:val="single" w:color="000000" w:sz="4" w:space="0"/>
              <w:right w:val="single" w:color="000000" w:sz="4" w:space="0"/>
            </w:tcBorders>
            <w:vAlign w:val="center"/>
          </w:tcPr>
          <w:p w14:paraId="6E1ECA72">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序号</w:t>
            </w:r>
          </w:p>
        </w:tc>
        <w:tc>
          <w:tcPr>
            <w:tcW w:w="1533" w:type="dxa"/>
            <w:gridSpan w:val="2"/>
            <w:tcBorders>
              <w:top w:val="single" w:color="000000" w:sz="4" w:space="0"/>
              <w:left w:val="single" w:color="000000" w:sz="4" w:space="0"/>
              <w:bottom w:val="single" w:color="000000" w:sz="4" w:space="0"/>
              <w:right w:val="single" w:color="000000" w:sz="4" w:space="0"/>
            </w:tcBorders>
            <w:vAlign w:val="center"/>
          </w:tcPr>
          <w:p w14:paraId="528A2187">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乡镇（街道）</w:t>
            </w:r>
          </w:p>
        </w:tc>
        <w:tc>
          <w:tcPr>
            <w:tcW w:w="4246" w:type="dxa"/>
            <w:tcBorders>
              <w:top w:val="single" w:color="000000" w:sz="4" w:space="0"/>
              <w:left w:val="single" w:color="000000" w:sz="4" w:space="0"/>
              <w:bottom w:val="single" w:color="000000" w:sz="4" w:space="0"/>
              <w:right w:val="single" w:color="000000" w:sz="4" w:space="0"/>
            </w:tcBorders>
            <w:vAlign w:val="center"/>
          </w:tcPr>
          <w:p w14:paraId="35536A8C">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社区、行政村</w:t>
            </w:r>
          </w:p>
        </w:tc>
        <w:tc>
          <w:tcPr>
            <w:tcW w:w="1080" w:type="dxa"/>
            <w:tcBorders>
              <w:top w:val="single" w:color="000000" w:sz="4" w:space="0"/>
              <w:left w:val="single" w:color="000000" w:sz="4" w:space="0"/>
              <w:bottom w:val="single" w:color="000000" w:sz="4" w:space="0"/>
              <w:right w:val="single" w:color="000000" w:sz="4" w:space="0"/>
            </w:tcBorders>
            <w:vAlign w:val="center"/>
          </w:tcPr>
          <w:p w14:paraId="4F303901">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市场单元类型</w:t>
            </w:r>
          </w:p>
        </w:tc>
        <w:tc>
          <w:tcPr>
            <w:tcW w:w="987" w:type="dxa"/>
            <w:tcBorders>
              <w:top w:val="single" w:color="000000" w:sz="4" w:space="0"/>
              <w:left w:val="single" w:color="000000" w:sz="4" w:space="0"/>
              <w:bottom w:val="single" w:color="000000" w:sz="4" w:space="0"/>
              <w:right w:val="single" w:color="000000" w:sz="4" w:space="0"/>
            </w:tcBorders>
            <w:vAlign w:val="center"/>
          </w:tcPr>
          <w:p w14:paraId="7F61A7DB">
            <w:pPr>
              <w:widowControl/>
              <w:spacing w:line="400" w:lineRule="exact"/>
              <w:jc w:val="center"/>
              <w:rPr>
                <w:rFonts w:ascii="仿宋_GB2312" w:hAnsi="宋体" w:eastAsia="仿宋_GB2312" w:cs="宋体"/>
                <w:b/>
                <w:bCs/>
                <w:kern w:val="0"/>
                <w:sz w:val="24"/>
              </w:rPr>
            </w:pPr>
            <w:r>
              <w:rPr>
                <w:rFonts w:hint="eastAsia" w:ascii="仿宋_GB2312" w:hAnsi="宋体" w:eastAsia="仿宋_GB2312" w:cs="宋体"/>
                <w:b/>
                <w:bCs/>
                <w:kern w:val="0"/>
                <w:sz w:val="24"/>
              </w:rPr>
              <w:t>市场单元编号</w:t>
            </w:r>
          </w:p>
        </w:tc>
        <w:tc>
          <w:tcPr>
            <w:tcW w:w="934" w:type="dxa"/>
            <w:tcBorders>
              <w:top w:val="single" w:color="000000" w:sz="4" w:space="0"/>
              <w:left w:val="single" w:color="000000" w:sz="4" w:space="0"/>
              <w:bottom w:val="single" w:color="000000" w:sz="4" w:space="0"/>
              <w:right w:val="single" w:color="000000" w:sz="4" w:space="0"/>
            </w:tcBorders>
            <w:vAlign w:val="center"/>
          </w:tcPr>
          <w:p w14:paraId="53D7F732">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规划数（个）</w:t>
            </w:r>
          </w:p>
        </w:tc>
      </w:tr>
      <w:tr w14:paraId="5A53E5B1">
        <w:tblPrEx>
          <w:tblCellMar>
            <w:top w:w="0" w:type="dxa"/>
            <w:left w:w="108" w:type="dxa"/>
            <w:bottom w:w="0" w:type="dxa"/>
            <w:right w:w="108" w:type="dxa"/>
          </w:tblCellMar>
        </w:tblPrEx>
        <w:trPr>
          <w:trHeight w:val="1122"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4779EFD5">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11E6BAAD">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 xml:space="preserve"> </w:t>
            </w:r>
            <w:r>
              <w:rPr>
                <w:rFonts w:hint="eastAsia" w:ascii="仿宋_GB2312" w:hAnsi="宋体" w:eastAsia="仿宋_GB2312" w:cs="宋体"/>
                <w:color w:val="000000"/>
                <w:kern w:val="0"/>
                <w:sz w:val="24"/>
              </w:rPr>
              <w:t>赤马港街道办事处</w:t>
            </w:r>
          </w:p>
        </w:tc>
        <w:tc>
          <w:tcPr>
            <w:tcW w:w="4246" w:type="dxa"/>
            <w:tcBorders>
              <w:top w:val="single" w:color="000000" w:sz="4" w:space="0"/>
              <w:left w:val="single" w:color="000000" w:sz="4" w:space="0"/>
              <w:bottom w:val="single" w:color="000000" w:sz="4" w:space="0"/>
              <w:right w:val="single" w:color="000000" w:sz="4" w:space="0"/>
            </w:tcBorders>
            <w:vAlign w:val="center"/>
          </w:tcPr>
          <w:p w14:paraId="19CFCDAF">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河北街社区、赤马港社区、营里社区、周画岭社区、大桥社区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4721649">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CC030E5">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1323739B">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375</w:t>
            </w:r>
          </w:p>
        </w:tc>
      </w:tr>
      <w:tr w14:paraId="47EDAABF">
        <w:tblPrEx>
          <w:tblCellMar>
            <w:top w:w="0" w:type="dxa"/>
            <w:left w:w="108" w:type="dxa"/>
            <w:bottom w:w="0" w:type="dxa"/>
            <w:right w:w="108" w:type="dxa"/>
          </w:tblCellMar>
        </w:tblPrEx>
        <w:trPr>
          <w:trHeight w:val="983" w:hRule="atLeast"/>
          <w:jc w:val="center"/>
        </w:trPr>
        <w:tc>
          <w:tcPr>
            <w:tcW w:w="720" w:type="dxa"/>
            <w:vMerge w:val="continue"/>
            <w:tcBorders>
              <w:left w:val="single" w:color="000000" w:sz="4" w:space="0"/>
              <w:right w:val="single" w:color="000000" w:sz="4" w:space="0"/>
            </w:tcBorders>
            <w:noWrap/>
            <w:vAlign w:val="center"/>
          </w:tcPr>
          <w:p w14:paraId="3BC72958">
            <w:pPr>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D5C0CA1">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6F25D6FF">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砂子岭社区、夏龙铺社区、木田畈社区、汪家堡社区、北站社区、龙翔山社区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ED2A4E">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46602DB">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B</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206C0354">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360</w:t>
            </w:r>
          </w:p>
        </w:tc>
      </w:tr>
      <w:tr w14:paraId="43007297">
        <w:tblPrEx>
          <w:tblCellMar>
            <w:top w:w="0" w:type="dxa"/>
            <w:left w:w="108" w:type="dxa"/>
            <w:bottom w:w="0" w:type="dxa"/>
            <w:right w:w="108" w:type="dxa"/>
          </w:tblCellMar>
        </w:tblPrEx>
        <w:trPr>
          <w:trHeight w:val="1266"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60AA3F79">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3A8CF65">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5ED31A39">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黄龙社区、四清村、劈精村、杨泗庙村、鲁庄村、莲花塘村、八蛇村、月山村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D27024">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606BB492">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C</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2C6833C4">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44</w:t>
            </w:r>
          </w:p>
        </w:tc>
      </w:tr>
      <w:tr w14:paraId="72C5F352">
        <w:tblPrEx>
          <w:tblCellMar>
            <w:top w:w="0" w:type="dxa"/>
            <w:left w:w="108" w:type="dxa"/>
            <w:bottom w:w="0" w:type="dxa"/>
            <w:right w:w="108" w:type="dxa"/>
          </w:tblCellMar>
        </w:tblPrEx>
        <w:trPr>
          <w:trHeight w:val="81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2FE645E9">
            <w:pPr>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400D6F1B">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陆水湖街道</w:t>
            </w:r>
          </w:p>
          <w:p w14:paraId="1BF017D6">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办事处</w:t>
            </w:r>
          </w:p>
        </w:tc>
        <w:tc>
          <w:tcPr>
            <w:tcW w:w="4246" w:type="dxa"/>
            <w:tcBorders>
              <w:top w:val="single" w:color="000000" w:sz="4" w:space="0"/>
              <w:left w:val="single" w:color="000000" w:sz="4" w:space="0"/>
              <w:bottom w:val="single" w:color="000000" w:sz="4" w:space="0"/>
              <w:right w:val="single" w:color="000000" w:sz="4" w:space="0"/>
            </w:tcBorders>
            <w:vAlign w:val="center"/>
          </w:tcPr>
          <w:p w14:paraId="67B0B04C">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泉门社区、锁石岭社区、青泉社区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CC4D458">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5991FAFD">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D</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5B0E8748">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75</w:t>
            </w:r>
          </w:p>
        </w:tc>
      </w:tr>
      <w:tr w14:paraId="1F4C54C0">
        <w:tblPrEx>
          <w:tblCellMar>
            <w:top w:w="0" w:type="dxa"/>
            <w:left w:w="108" w:type="dxa"/>
            <w:bottom w:w="0" w:type="dxa"/>
            <w:right w:w="108" w:type="dxa"/>
          </w:tblCellMar>
        </w:tblPrEx>
        <w:trPr>
          <w:trHeight w:val="900"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16098E11">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748B6C6">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6C22E317">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芳世湾村、水浒城村、双泉村、东流港村、青枫岭村、玄素洞村、尖峰山村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1B9ABAD">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51FDC234">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E</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9F45E8E">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r>
      <w:tr w14:paraId="71E450A2">
        <w:tblPrEx>
          <w:tblCellMar>
            <w:top w:w="0" w:type="dxa"/>
            <w:left w:w="108" w:type="dxa"/>
            <w:bottom w:w="0" w:type="dxa"/>
            <w:right w:w="108" w:type="dxa"/>
          </w:tblCellMar>
        </w:tblPrEx>
        <w:trPr>
          <w:trHeight w:val="1005"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1B1B64AE">
            <w:pPr>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768F1FF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蒲圻街道</w:t>
            </w:r>
          </w:p>
          <w:p w14:paraId="523E038A">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办事处</w:t>
            </w:r>
          </w:p>
        </w:tc>
        <w:tc>
          <w:tcPr>
            <w:tcW w:w="4246" w:type="dxa"/>
            <w:tcBorders>
              <w:top w:val="single" w:color="000000" w:sz="4" w:space="0"/>
              <w:left w:val="single" w:color="000000" w:sz="4" w:space="0"/>
              <w:bottom w:val="single" w:color="000000" w:sz="4" w:space="0"/>
              <w:right w:val="single" w:color="000000" w:sz="4" w:space="0"/>
            </w:tcBorders>
            <w:vAlign w:val="center"/>
          </w:tcPr>
          <w:p w14:paraId="0AC9E92A">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和尚岭社区、北街社区、西街社区、鲫鱼桥社区、金鸡山社</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6CDB199">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4D7EB02">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F</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2006B56A">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345</w:t>
            </w:r>
          </w:p>
        </w:tc>
      </w:tr>
      <w:tr w14:paraId="662FE69B">
        <w:tblPrEx>
          <w:tblCellMar>
            <w:top w:w="0" w:type="dxa"/>
            <w:left w:w="108" w:type="dxa"/>
            <w:bottom w:w="0" w:type="dxa"/>
            <w:right w:w="108" w:type="dxa"/>
          </w:tblCellMar>
        </w:tblPrEx>
        <w:trPr>
          <w:trHeight w:val="1005" w:hRule="atLeast"/>
          <w:jc w:val="center"/>
        </w:trPr>
        <w:tc>
          <w:tcPr>
            <w:tcW w:w="720" w:type="dxa"/>
            <w:vMerge w:val="continue"/>
            <w:tcBorders>
              <w:left w:val="single" w:color="000000" w:sz="4" w:space="0"/>
              <w:right w:val="single" w:color="000000" w:sz="4" w:space="0"/>
            </w:tcBorders>
            <w:noWrap/>
            <w:vAlign w:val="center"/>
          </w:tcPr>
          <w:p w14:paraId="0C9A4045">
            <w:pPr>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FECCBBD">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3D33DA90">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铁山社区、炭素社区、华舟社区、</w:t>
            </w:r>
          </w:p>
          <w:p w14:paraId="28EA4BFF">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凤凰山社区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71966F4">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1A9CBA52">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G</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5567D819">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40</w:t>
            </w:r>
          </w:p>
        </w:tc>
      </w:tr>
      <w:tr w14:paraId="0196D957">
        <w:tblPrEx>
          <w:tblCellMar>
            <w:top w:w="0" w:type="dxa"/>
            <w:left w:w="108" w:type="dxa"/>
            <w:bottom w:w="0" w:type="dxa"/>
            <w:right w:w="108" w:type="dxa"/>
          </w:tblCellMar>
        </w:tblPrEx>
        <w:trPr>
          <w:trHeight w:val="1005" w:hRule="atLeast"/>
          <w:jc w:val="center"/>
        </w:trPr>
        <w:tc>
          <w:tcPr>
            <w:tcW w:w="720" w:type="dxa"/>
            <w:vMerge w:val="continue"/>
            <w:tcBorders>
              <w:left w:val="single" w:color="000000" w:sz="4" w:space="0"/>
              <w:right w:val="single" w:color="000000" w:sz="4" w:space="0"/>
            </w:tcBorders>
            <w:noWrap/>
            <w:vAlign w:val="center"/>
          </w:tcPr>
          <w:p w14:paraId="1B0CEF4D">
            <w:pPr>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8C68F2E">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75A8FD52">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斋公岭社区、陆水社区、红旗桥社区、大田畈社区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7A25F9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4E77F8C1">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H</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29AC7490">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90</w:t>
            </w:r>
          </w:p>
        </w:tc>
      </w:tr>
      <w:tr w14:paraId="6188A420">
        <w:tblPrEx>
          <w:tblCellMar>
            <w:top w:w="0" w:type="dxa"/>
            <w:left w:w="108" w:type="dxa"/>
            <w:bottom w:w="0" w:type="dxa"/>
            <w:right w:w="108" w:type="dxa"/>
          </w:tblCellMar>
        </w:tblPrEx>
        <w:trPr>
          <w:trHeight w:val="937"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2C73ECF7">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6AD402C">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2CDFE737">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望山社区、苦竹桥村、五洪山村、</w:t>
            </w:r>
          </w:p>
          <w:p w14:paraId="46E64BB9">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金潭村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5B0DD21">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6660D67">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I</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56E82524">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16</w:t>
            </w:r>
          </w:p>
        </w:tc>
      </w:tr>
      <w:tr w14:paraId="43FE59D3">
        <w:tblPrEx>
          <w:tblCellMar>
            <w:top w:w="0" w:type="dxa"/>
            <w:left w:w="108" w:type="dxa"/>
            <w:bottom w:w="0" w:type="dxa"/>
            <w:right w:w="108" w:type="dxa"/>
          </w:tblCellMar>
        </w:tblPrEx>
        <w:trPr>
          <w:trHeight w:val="690"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B6C1BD1">
            <w:pPr>
              <w:widowControl/>
              <w:spacing w:line="38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序号</w:t>
            </w:r>
          </w:p>
        </w:tc>
        <w:tc>
          <w:tcPr>
            <w:tcW w:w="1533" w:type="dxa"/>
            <w:gridSpan w:val="2"/>
            <w:tcBorders>
              <w:top w:val="single" w:color="000000" w:sz="4" w:space="0"/>
              <w:left w:val="single" w:color="000000" w:sz="4" w:space="0"/>
              <w:bottom w:val="single" w:color="000000" w:sz="4" w:space="0"/>
              <w:right w:val="single" w:color="000000" w:sz="4" w:space="0"/>
            </w:tcBorders>
            <w:vAlign w:val="center"/>
          </w:tcPr>
          <w:p w14:paraId="71BF7327">
            <w:pPr>
              <w:widowControl/>
              <w:spacing w:line="38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乡镇（街道）</w:t>
            </w:r>
          </w:p>
        </w:tc>
        <w:tc>
          <w:tcPr>
            <w:tcW w:w="4246" w:type="dxa"/>
            <w:tcBorders>
              <w:top w:val="single" w:color="000000" w:sz="4" w:space="0"/>
              <w:left w:val="single" w:color="000000" w:sz="4" w:space="0"/>
              <w:bottom w:val="single" w:color="000000" w:sz="4" w:space="0"/>
              <w:right w:val="single" w:color="000000" w:sz="4" w:space="0"/>
            </w:tcBorders>
            <w:vAlign w:val="center"/>
          </w:tcPr>
          <w:p w14:paraId="2BF62D0B">
            <w:pPr>
              <w:widowControl/>
              <w:spacing w:line="38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社区、行政村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CC79A90">
            <w:pPr>
              <w:widowControl/>
              <w:spacing w:line="38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市场单元类型</w:t>
            </w:r>
          </w:p>
        </w:tc>
        <w:tc>
          <w:tcPr>
            <w:tcW w:w="987" w:type="dxa"/>
            <w:tcBorders>
              <w:top w:val="single" w:color="000000" w:sz="4" w:space="0"/>
              <w:left w:val="single" w:color="000000" w:sz="4" w:space="0"/>
              <w:bottom w:val="single" w:color="000000" w:sz="4" w:space="0"/>
              <w:right w:val="single" w:color="000000" w:sz="4" w:space="0"/>
            </w:tcBorders>
            <w:vAlign w:val="center"/>
          </w:tcPr>
          <w:p w14:paraId="47E6AAD8">
            <w:pPr>
              <w:widowControl/>
              <w:spacing w:line="380" w:lineRule="exact"/>
              <w:jc w:val="center"/>
              <w:rPr>
                <w:rFonts w:ascii="仿宋_GB2312" w:hAnsi="宋体" w:eastAsia="仿宋_GB2312" w:cs="宋体"/>
                <w:b/>
                <w:bCs/>
                <w:kern w:val="0"/>
                <w:sz w:val="24"/>
              </w:rPr>
            </w:pPr>
            <w:r>
              <w:rPr>
                <w:rFonts w:hint="eastAsia" w:ascii="仿宋_GB2312" w:hAnsi="宋体" w:eastAsia="仿宋_GB2312" w:cs="宋体"/>
                <w:b/>
                <w:bCs/>
                <w:kern w:val="0"/>
                <w:sz w:val="24"/>
              </w:rPr>
              <w:t>市场单元编号</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1D9E9E4B">
            <w:pPr>
              <w:widowControl/>
              <w:spacing w:line="38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规划数（个）</w:t>
            </w:r>
          </w:p>
        </w:tc>
      </w:tr>
      <w:tr w14:paraId="5E364072">
        <w:tblPrEx>
          <w:tblCellMar>
            <w:top w:w="0" w:type="dxa"/>
            <w:left w:w="108" w:type="dxa"/>
            <w:bottom w:w="0" w:type="dxa"/>
            <w:right w:w="108" w:type="dxa"/>
          </w:tblCellMar>
        </w:tblPrEx>
        <w:trPr>
          <w:trHeight w:val="855"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5EDCF1D7">
            <w:pPr>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F1ECC5C">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赵李桥镇</w:t>
            </w:r>
          </w:p>
        </w:tc>
        <w:tc>
          <w:tcPr>
            <w:tcW w:w="4246" w:type="dxa"/>
            <w:tcBorders>
              <w:top w:val="single" w:color="000000" w:sz="4" w:space="0"/>
              <w:left w:val="single" w:color="000000" w:sz="4" w:space="0"/>
              <w:bottom w:val="single" w:color="000000" w:sz="4" w:space="0"/>
              <w:right w:val="single" w:color="000000" w:sz="4" w:space="0"/>
            </w:tcBorders>
            <w:vAlign w:val="center"/>
          </w:tcPr>
          <w:p w14:paraId="1214B1F9">
            <w:pPr>
              <w:widowControl/>
              <w:spacing w:line="38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羊楼洞社区、羊楼洞村、砖茶社区、赵李桥村、赵李桥社区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C442246">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31B34CC3">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J</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4BCCC9D5">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88</w:t>
            </w:r>
          </w:p>
        </w:tc>
      </w:tr>
      <w:tr w14:paraId="30ED25B0">
        <w:tblPrEx>
          <w:tblCellMar>
            <w:top w:w="0" w:type="dxa"/>
            <w:left w:w="108" w:type="dxa"/>
            <w:bottom w:w="0" w:type="dxa"/>
            <w:right w:w="108" w:type="dxa"/>
          </w:tblCellMar>
        </w:tblPrEx>
        <w:trPr>
          <w:trHeight w:val="900"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05121C37">
            <w:pPr>
              <w:widowControl/>
              <w:spacing w:line="38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4976236">
            <w:pPr>
              <w:widowControl/>
              <w:spacing w:line="38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74E2DA5D">
            <w:pPr>
              <w:widowControl/>
              <w:spacing w:line="38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蓼坪村、柳林村、羊楼司村、雷家桥村、百花岭村、石人泉村、伴旗山村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77264A">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0F5F46C3">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K</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7135BF56">
            <w:pPr>
              <w:widowControl/>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19</w:t>
            </w:r>
          </w:p>
        </w:tc>
      </w:tr>
      <w:tr w14:paraId="1EBF9A06">
        <w:tblPrEx>
          <w:tblCellMar>
            <w:top w:w="0" w:type="dxa"/>
            <w:left w:w="108" w:type="dxa"/>
            <w:bottom w:w="0" w:type="dxa"/>
            <w:right w:w="108" w:type="dxa"/>
          </w:tblCellMar>
        </w:tblPrEx>
        <w:trPr>
          <w:trHeight w:val="51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1BA10343">
            <w:pPr>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746A5701">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新店镇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5956CBF9">
            <w:pPr>
              <w:widowControl/>
              <w:spacing w:line="38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夜珠桥社区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3D96AD">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A3A3DE8">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L</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A017C00">
            <w:pPr>
              <w:widowControl/>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36</w:t>
            </w:r>
          </w:p>
        </w:tc>
      </w:tr>
      <w:tr w14:paraId="7F102E48">
        <w:tblPrEx>
          <w:tblCellMar>
            <w:top w:w="0" w:type="dxa"/>
            <w:left w:w="108" w:type="dxa"/>
            <w:bottom w:w="0" w:type="dxa"/>
            <w:right w:w="108" w:type="dxa"/>
          </w:tblCellMar>
        </w:tblPrEx>
        <w:trPr>
          <w:trHeight w:val="1245"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4D947215">
            <w:pPr>
              <w:widowControl/>
              <w:spacing w:line="38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1ED39860">
            <w:pPr>
              <w:widowControl/>
              <w:spacing w:line="38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7548F173">
            <w:pPr>
              <w:widowControl/>
              <w:spacing w:line="380" w:lineRule="exact"/>
              <w:jc w:val="left"/>
              <w:rPr>
                <w:rFonts w:ascii="仿宋_GB2312" w:hAnsi="宋体" w:eastAsia="仿宋_GB2312" w:cs="宋体"/>
                <w:kern w:val="0"/>
                <w:sz w:val="24"/>
              </w:rPr>
            </w:pPr>
            <w:r>
              <w:rPr>
                <w:rFonts w:hint="eastAsia" w:ascii="仿宋_GB2312" w:hAnsi="宋体" w:eastAsia="仿宋_GB2312" w:cs="宋体"/>
                <w:kern w:val="0"/>
                <w:sz w:val="24"/>
              </w:rPr>
              <w:t>土城村、花亭桥村、益阳桥村、大湖岭村、蒲首山村、雨亭岭村、朱巷村、官仕坳村、望夫山村、龙门桥村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E3E0658">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052470AA">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M</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0825EC9">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42</w:t>
            </w:r>
          </w:p>
        </w:tc>
      </w:tr>
      <w:tr w14:paraId="274686B3">
        <w:tblPrEx>
          <w:tblCellMar>
            <w:top w:w="0" w:type="dxa"/>
            <w:left w:w="108" w:type="dxa"/>
            <w:bottom w:w="0" w:type="dxa"/>
            <w:right w:w="108" w:type="dxa"/>
          </w:tblCellMar>
        </w:tblPrEx>
        <w:trPr>
          <w:trHeight w:val="525"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692C2BFA">
            <w:pPr>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5EBAC2CC">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赤壁镇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6CCCAC61">
            <w:pPr>
              <w:widowControl/>
              <w:spacing w:line="380" w:lineRule="exact"/>
              <w:jc w:val="left"/>
              <w:rPr>
                <w:rFonts w:ascii="仿宋_GB2312" w:hAnsi="宋体" w:eastAsia="仿宋_GB2312" w:cs="宋体"/>
                <w:kern w:val="0"/>
                <w:sz w:val="24"/>
              </w:rPr>
            </w:pPr>
            <w:r>
              <w:rPr>
                <w:rFonts w:hint="eastAsia" w:ascii="仿宋_GB2312" w:hAnsi="宋体" w:eastAsia="仿宋_GB2312" w:cs="宋体"/>
                <w:kern w:val="0"/>
                <w:sz w:val="24"/>
              </w:rPr>
              <w:t>石头口社区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E585D97">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00F3775">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N</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6223DC12">
            <w:pPr>
              <w:widowControl/>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26</w:t>
            </w:r>
          </w:p>
        </w:tc>
      </w:tr>
      <w:tr w14:paraId="2D8F728A">
        <w:tblPrEx>
          <w:tblCellMar>
            <w:top w:w="0" w:type="dxa"/>
            <w:left w:w="108" w:type="dxa"/>
            <w:bottom w:w="0" w:type="dxa"/>
            <w:right w:w="108" w:type="dxa"/>
          </w:tblCellMar>
        </w:tblPrEx>
        <w:trPr>
          <w:trHeight w:val="1095"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2D732302">
            <w:pPr>
              <w:widowControl/>
              <w:spacing w:line="38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9CCFCAE">
            <w:pPr>
              <w:widowControl/>
              <w:spacing w:line="38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2F5BE685">
            <w:pPr>
              <w:widowControl/>
              <w:spacing w:line="380" w:lineRule="exact"/>
              <w:jc w:val="left"/>
              <w:rPr>
                <w:rFonts w:ascii="仿宋_GB2312" w:hAnsi="宋体" w:eastAsia="仿宋_GB2312" w:cs="宋体"/>
                <w:kern w:val="0"/>
                <w:sz w:val="24"/>
              </w:rPr>
            </w:pPr>
            <w:r>
              <w:rPr>
                <w:rFonts w:hint="eastAsia" w:ascii="仿宋_GB2312" w:hAnsi="宋体" w:eastAsia="仿宋_GB2312" w:cs="宋体"/>
                <w:kern w:val="0"/>
                <w:sz w:val="24"/>
              </w:rPr>
              <w:t>东风村、周郎嘴村、小柏山村、青山村、东柳村、太平口村、九毫堤村、八把刀村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A723042">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3308D62D">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O</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5D6CBFC2">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28</w:t>
            </w:r>
          </w:p>
        </w:tc>
      </w:tr>
      <w:tr w14:paraId="5AF81F76">
        <w:tblPrEx>
          <w:tblCellMar>
            <w:top w:w="0" w:type="dxa"/>
            <w:left w:w="108" w:type="dxa"/>
            <w:bottom w:w="0" w:type="dxa"/>
            <w:right w:w="108" w:type="dxa"/>
          </w:tblCellMar>
        </w:tblPrEx>
        <w:trPr>
          <w:trHeight w:val="57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354B2C11">
            <w:pPr>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7</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2EC932C1">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茶庵岭镇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277D463C">
            <w:pPr>
              <w:widowControl/>
              <w:spacing w:line="380" w:lineRule="exact"/>
              <w:jc w:val="left"/>
              <w:rPr>
                <w:rFonts w:ascii="仿宋_GB2312" w:hAnsi="宋体" w:eastAsia="仿宋_GB2312" w:cs="宋体"/>
                <w:kern w:val="0"/>
                <w:sz w:val="24"/>
              </w:rPr>
            </w:pPr>
            <w:r>
              <w:rPr>
                <w:rFonts w:hint="eastAsia" w:ascii="仿宋_GB2312" w:hAnsi="宋体" w:eastAsia="仿宋_GB2312" w:cs="宋体"/>
                <w:kern w:val="0"/>
                <w:sz w:val="24"/>
              </w:rPr>
              <w:t>云台山村、青石桥社区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0E8E198">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199A7F24">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P</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5733E9EE">
            <w:pPr>
              <w:widowControl/>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32</w:t>
            </w:r>
          </w:p>
        </w:tc>
      </w:tr>
      <w:tr w14:paraId="6BF7ACD9">
        <w:tblPrEx>
          <w:tblCellMar>
            <w:top w:w="0" w:type="dxa"/>
            <w:left w:w="108" w:type="dxa"/>
            <w:bottom w:w="0" w:type="dxa"/>
            <w:right w:w="108" w:type="dxa"/>
          </w:tblCellMar>
        </w:tblPrEx>
        <w:trPr>
          <w:trHeight w:val="870"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20207123">
            <w:pPr>
              <w:widowControl/>
              <w:spacing w:line="38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7951251C">
            <w:pPr>
              <w:widowControl/>
              <w:spacing w:line="38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7CBF667B">
            <w:pPr>
              <w:widowControl/>
              <w:spacing w:line="380" w:lineRule="exact"/>
              <w:jc w:val="left"/>
              <w:rPr>
                <w:rFonts w:ascii="仿宋_GB2312" w:hAnsi="宋体" w:eastAsia="仿宋_GB2312" w:cs="宋体"/>
                <w:kern w:val="0"/>
                <w:sz w:val="24"/>
              </w:rPr>
            </w:pPr>
            <w:r>
              <w:rPr>
                <w:rFonts w:hint="eastAsia" w:ascii="仿宋_GB2312" w:hAnsi="宋体" w:eastAsia="仿宋_GB2312" w:cs="宋体"/>
                <w:kern w:val="0"/>
                <w:sz w:val="24"/>
              </w:rPr>
              <w:t>罗峰村、温泉村、峡山村、八王庙村、白石村、金峰村、小湖岭村、中心坪村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D0A8F8">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4681007">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Q</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B7B0618">
            <w:pPr>
              <w:widowControl/>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r>
              <w:rPr>
                <w:rFonts w:hint="eastAsia" w:ascii="仿宋_GB2312" w:hAnsi="宋体" w:eastAsia="仿宋_GB2312" w:cs="宋体"/>
                <w:color w:val="000000"/>
                <w:kern w:val="0"/>
                <w:sz w:val="24"/>
              </w:rPr>
              <w:t>6</w:t>
            </w:r>
          </w:p>
        </w:tc>
      </w:tr>
      <w:tr w14:paraId="6C1D0EE8">
        <w:tblPrEx>
          <w:tblCellMar>
            <w:top w:w="0" w:type="dxa"/>
            <w:left w:w="108" w:type="dxa"/>
            <w:bottom w:w="0" w:type="dxa"/>
            <w:right w:w="108" w:type="dxa"/>
          </w:tblCellMar>
        </w:tblPrEx>
        <w:trPr>
          <w:trHeight w:val="615"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0CB250CE">
            <w:pPr>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8</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D9455BA">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中伙铺镇</w:t>
            </w:r>
          </w:p>
        </w:tc>
        <w:tc>
          <w:tcPr>
            <w:tcW w:w="4246" w:type="dxa"/>
            <w:tcBorders>
              <w:top w:val="single" w:color="000000" w:sz="4" w:space="0"/>
              <w:left w:val="single" w:color="000000" w:sz="4" w:space="0"/>
              <w:bottom w:val="single" w:color="000000" w:sz="4" w:space="0"/>
              <w:right w:val="single" w:color="000000" w:sz="4" w:space="0"/>
            </w:tcBorders>
            <w:vAlign w:val="center"/>
          </w:tcPr>
          <w:p w14:paraId="5A51DB54">
            <w:pPr>
              <w:widowControl/>
              <w:spacing w:line="38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长山社区、中伙社区、杨家岭社区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DAFC913">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4873675F">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R</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65CED4D3">
            <w:pPr>
              <w:widowControl/>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60</w:t>
            </w:r>
          </w:p>
        </w:tc>
      </w:tr>
      <w:tr w14:paraId="31A2BAAB">
        <w:tblPrEx>
          <w:tblCellMar>
            <w:top w:w="0" w:type="dxa"/>
            <w:left w:w="108" w:type="dxa"/>
            <w:bottom w:w="0" w:type="dxa"/>
            <w:right w:w="108" w:type="dxa"/>
          </w:tblCellMar>
        </w:tblPrEx>
        <w:trPr>
          <w:trHeight w:val="1125"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6606F684">
            <w:pPr>
              <w:widowControl/>
              <w:spacing w:line="38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20581660">
            <w:pPr>
              <w:widowControl/>
              <w:spacing w:line="38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4D7B0C0E">
            <w:pPr>
              <w:widowControl/>
              <w:spacing w:line="38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南山村、高桥村、十八里畈村、琅桥村、安丰村、罗县村、李家港村、董家岭村、泉洪村、洪水铺村、官庄村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63D41F2">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7B63E21">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S</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4FBD9DEF">
            <w:pPr>
              <w:widowControl/>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40</w:t>
            </w:r>
          </w:p>
        </w:tc>
      </w:tr>
      <w:tr w14:paraId="68747A75">
        <w:tblPrEx>
          <w:tblCellMar>
            <w:top w:w="0" w:type="dxa"/>
            <w:left w:w="108" w:type="dxa"/>
            <w:bottom w:w="0" w:type="dxa"/>
            <w:right w:w="108" w:type="dxa"/>
          </w:tblCellMar>
        </w:tblPrEx>
        <w:trPr>
          <w:trHeight w:val="51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768A0567">
            <w:pPr>
              <w:spacing w:line="38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9</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1F63D95B">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官塘驿镇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7FC1E4DC">
            <w:pPr>
              <w:widowControl/>
              <w:spacing w:line="38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官塘社区、官塘村、泉口社区、泉口村、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BB233F4">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64A7086E">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T</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775E0E7E">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120</w:t>
            </w:r>
          </w:p>
        </w:tc>
      </w:tr>
      <w:tr w14:paraId="2E9B26B6">
        <w:tblPrEx>
          <w:tblCellMar>
            <w:top w:w="0" w:type="dxa"/>
            <w:left w:w="108" w:type="dxa"/>
            <w:bottom w:w="0" w:type="dxa"/>
            <w:right w:w="108" w:type="dxa"/>
          </w:tblCellMar>
        </w:tblPrEx>
        <w:trPr>
          <w:trHeight w:val="2205"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480CF339">
            <w:pPr>
              <w:widowControl/>
              <w:spacing w:line="38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224FBA0">
            <w:pPr>
              <w:widowControl/>
              <w:spacing w:line="38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7B3862BF">
            <w:pPr>
              <w:widowControl/>
              <w:spacing w:line="38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御屏山村、矿务局社区、十八里畈村、石榴泉村、西湾村、方秀畈村、白羊村、大贵村、龙凤山村、双丘村、黄沙村、张司边村、老虎岩村、葛仙山村、洋泉畈村、大竹山村、丰乐畈村、泉洪岭村、幸福堰村、随阳村、独山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C51EA31">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3396DAA">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U</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22D49A1">
            <w:pPr>
              <w:widowControl/>
              <w:spacing w:line="3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60</w:t>
            </w:r>
          </w:p>
        </w:tc>
      </w:tr>
      <w:tr w14:paraId="1C571F0F">
        <w:tblPrEx>
          <w:tblCellMar>
            <w:top w:w="0" w:type="dxa"/>
            <w:left w:w="108" w:type="dxa"/>
            <w:bottom w:w="0" w:type="dxa"/>
            <w:right w:w="108" w:type="dxa"/>
          </w:tblCellMar>
        </w:tblPrEx>
        <w:trPr>
          <w:trHeight w:val="896" w:hRule="atLeast"/>
          <w:jc w:val="center"/>
        </w:trPr>
        <w:tc>
          <w:tcPr>
            <w:tcW w:w="720" w:type="dxa"/>
            <w:tcBorders>
              <w:top w:val="single" w:color="000000" w:sz="4" w:space="0"/>
              <w:left w:val="single" w:color="000000" w:sz="4" w:space="0"/>
              <w:bottom w:val="single" w:color="000000" w:sz="4" w:space="0"/>
              <w:right w:val="single" w:color="000000" w:sz="4" w:space="0"/>
            </w:tcBorders>
            <w:noWrap/>
            <w:vAlign w:val="center"/>
          </w:tcPr>
          <w:p w14:paraId="052BD7AF">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序号</w:t>
            </w:r>
          </w:p>
        </w:tc>
        <w:tc>
          <w:tcPr>
            <w:tcW w:w="1533" w:type="dxa"/>
            <w:gridSpan w:val="2"/>
            <w:tcBorders>
              <w:top w:val="single" w:color="000000" w:sz="4" w:space="0"/>
              <w:left w:val="single" w:color="000000" w:sz="4" w:space="0"/>
              <w:bottom w:val="single" w:color="000000" w:sz="4" w:space="0"/>
              <w:right w:val="single" w:color="000000" w:sz="4" w:space="0"/>
            </w:tcBorders>
            <w:vAlign w:val="center"/>
          </w:tcPr>
          <w:p w14:paraId="4820566E">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乡镇（街道）</w:t>
            </w:r>
          </w:p>
        </w:tc>
        <w:tc>
          <w:tcPr>
            <w:tcW w:w="4246" w:type="dxa"/>
            <w:tcBorders>
              <w:top w:val="single" w:color="000000" w:sz="4" w:space="0"/>
              <w:left w:val="single" w:color="000000" w:sz="4" w:space="0"/>
              <w:bottom w:val="single" w:color="000000" w:sz="4" w:space="0"/>
              <w:right w:val="single" w:color="000000" w:sz="4" w:space="0"/>
            </w:tcBorders>
            <w:vAlign w:val="center"/>
          </w:tcPr>
          <w:p w14:paraId="7089A153">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社区、行政村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BEF9808">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市场单元类型</w:t>
            </w:r>
          </w:p>
        </w:tc>
        <w:tc>
          <w:tcPr>
            <w:tcW w:w="987" w:type="dxa"/>
            <w:tcBorders>
              <w:top w:val="single" w:color="000000" w:sz="4" w:space="0"/>
              <w:left w:val="single" w:color="000000" w:sz="4" w:space="0"/>
              <w:bottom w:val="single" w:color="000000" w:sz="4" w:space="0"/>
              <w:right w:val="single" w:color="000000" w:sz="4" w:space="0"/>
            </w:tcBorders>
            <w:vAlign w:val="center"/>
          </w:tcPr>
          <w:p w14:paraId="3F8C78A9">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市场单元编号</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36B63D47">
            <w:pPr>
              <w:widowControl/>
              <w:spacing w:line="400" w:lineRule="exact"/>
              <w:jc w:val="center"/>
              <w:rPr>
                <w:rFonts w:ascii="仿宋_GB2312" w:hAnsi="宋体" w:eastAsia="仿宋_GB2312" w:cs="宋体"/>
                <w:b/>
                <w:bCs/>
                <w:color w:val="000000"/>
                <w:kern w:val="0"/>
                <w:sz w:val="24"/>
              </w:rPr>
            </w:pPr>
            <w:r>
              <w:rPr>
                <w:rFonts w:hint="eastAsia" w:ascii="仿宋_GB2312" w:hAnsi="宋体" w:eastAsia="仿宋_GB2312" w:cs="宋体"/>
                <w:b/>
                <w:bCs/>
                <w:color w:val="000000"/>
                <w:kern w:val="0"/>
                <w:sz w:val="24"/>
              </w:rPr>
              <w:t>规划数（个）</w:t>
            </w:r>
          </w:p>
        </w:tc>
      </w:tr>
      <w:tr w14:paraId="0DF01B96">
        <w:tblPrEx>
          <w:tblCellMar>
            <w:top w:w="0" w:type="dxa"/>
            <w:left w:w="108" w:type="dxa"/>
            <w:bottom w:w="0" w:type="dxa"/>
            <w:right w:w="108" w:type="dxa"/>
          </w:tblCellMar>
        </w:tblPrEx>
        <w:trPr>
          <w:trHeight w:val="51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2CF467F4">
            <w:pPr>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4AFAAF5">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柳山湖镇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02C3079D">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柳山村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540DAC8">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A16C76B">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V</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1F08D813">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8</w:t>
            </w:r>
          </w:p>
        </w:tc>
      </w:tr>
      <w:tr w14:paraId="32417150">
        <w:tblPrEx>
          <w:tblCellMar>
            <w:top w:w="0" w:type="dxa"/>
            <w:left w:w="108" w:type="dxa"/>
            <w:bottom w:w="0" w:type="dxa"/>
            <w:right w:w="108" w:type="dxa"/>
          </w:tblCellMar>
        </w:tblPrEx>
        <w:trPr>
          <w:trHeight w:val="930"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466F0D65">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C18BA26">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4B7D68F0">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腊里山村、宝塔山村、团山村、吴家门村、易家堤村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B87C41">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5E8D718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6E995079">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25</w:t>
            </w:r>
          </w:p>
        </w:tc>
      </w:tr>
      <w:tr w14:paraId="1B0AA870">
        <w:tblPrEx>
          <w:tblCellMar>
            <w:top w:w="0" w:type="dxa"/>
            <w:left w:w="108" w:type="dxa"/>
            <w:bottom w:w="0" w:type="dxa"/>
            <w:right w:w="108" w:type="dxa"/>
          </w:tblCellMar>
        </w:tblPrEx>
        <w:trPr>
          <w:trHeight w:val="51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72965A05">
            <w:pPr>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11</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582B5A2">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神山镇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7A13C6F4">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神山社区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D3397A7">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9A273E1">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X</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41DCFED6">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30</w:t>
            </w:r>
          </w:p>
        </w:tc>
      </w:tr>
      <w:tr w14:paraId="22B933A1">
        <w:tblPrEx>
          <w:tblCellMar>
            <w:top w:w="0" w:type="dxa"/>
            <w:left w:w="108" w:type="dxa"/>
            <w:bottom w:w="0" w:type="dxa"/>
            <w:right w:w="108" w:type="dxa"/>
          </w:tblCellMar>
        </w:tblPrEx>
        <w:trPr>
          <w:trHeight w:val="1515"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2DDEE53B">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A3072C2">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7185E459">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西凉村、西湖村、凤凰村、文清村、大桥村、毕畈村、马铺村、洪岭村、龙岭村、钟岭村、钟鸣村、莲塘村、油岭村、熊岭村、宋河村、青云村、埠头村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8BE4DD1">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E14A2D4">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Y</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B6CEE9C">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35</w:t>
            </w:r>
          </w:p>
        </w:tc>
      </w:tr>
      <w:tr w14:paraId="6C39131E">
        <w:tblPrEx>
          <w:tblCellMar>
            <w:top w:w="0" w:type="dxa"/>
            <w:left w:w="108" w:type="dxa"/>
            <w:bottom w:w="0" w:type="dxa"/>
            <w:right w:w="108" w:type="dxa"/>
          </w:tblCellMar>
        </w:tblPrEx>
        <w:trPr>
          <w:trHeight w:val="54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6E2B7E1B">
            <w:pPr>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12</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443A221">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车埠镇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74BA37D4">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车埠社区、车埠村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1C56A4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3D2CCA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Z</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5529D5D">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48</w:t>
            </w:r>
          </w:p>
        </w:tc>
      </w:tr>
      <w:tr w14:paraId="3C99B0A7">
        <w:tblPrEx>
          <w:tblCellMar>
            <w:top w:w="0" w:type="dxa"/>
            <w:left w:w="108" w:type="dxa"/>
            <w:bottom w:w="0" w:type="dxa"/>
            <w:right w:w="108" w:type="dxa"/>
          </w:tblCellMar>
        </w:tblPrEx>
        <w:trPr>
          <w:trHeight w:val="1350"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20A4F7EF">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6F34FED">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7A44C980">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鸡公山村、毕家村、梅湖村、熊家岭村、马坡村、官田村、斗门村、肖桥村、黄土村、芙蓉村、枫桥村、白驹村、盘石村、勤俭村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2B8BC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11916E8">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AB</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1CB03F16">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33</w:t>
            </w:r>
          </w:p>
        </w:tc>
      </w:tr>
      <w:tr w14:paraId="3756D2C7">
        <w:tblPrEx>
          <w:tblCellMar>
            <w:top w:w="0" w:type="dxa"/>
            <w:left w:w="108" w:type="dxa"/>
            <w:bottom w:w="0" w:type="dxa"/>
            <w:right w:w="108" w:type="dxa"/>
          </w:tblCellMar>
        </w:tblPrEx>
        <w:trPr>
          <w:trHeight w:val="51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2653FD83">
            <w:pPr>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13</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B804354">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黄盖湖镇</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6F66B2BA">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黄盖社区、黄盖咀村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86FFADD">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2BA07A0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AC</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215D60C5">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23</w:t>
            </w:r>
          </w:p>
        </w:tc>
      </w:tr>
      <w:tr w14:paraId="20BC2E6E">
        <w:tblPrEx>
          <w:tblCellMar>
            <w:top w:w="0" w:type="dxa"/>
            <w:left w:w="108" w:type="dxa"/>
            <w:bottom w:w="0" w:type="dxa"/>
            <w:right w:w="108" w:type="dxa"/>
          </w:tblCellMar>
        </w:tblPrEx>
        <w:trPr>
          <w:trHeight w:val="510"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538110D9">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98E933D">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0E3D25FD">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大湾村、付家垸村、老河村、铁山村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A9F4689">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65F4EE4F">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AD</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270B54FD">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r>
      <w:tr w14:paraId="458A7DD8">
        <w:tblPrEx>
          <w:tblCellMar>
            <w:top w:w="0" w:type="dxa"/>
            <w:left w:w="108" w:type="dxa"/>
            <w:bottom w:w="0" w:type="dxa"/>
            <w:right w:w="108" w:type="dxa"/>
          </w:tblCellMar>
        </w:tblPrEx>
        <w:trPr>
          <w:trHeight w:val="510" w:hRule="atLeast"/>
          <w:jc w:val="center"/>
        </w:trPr>
        <w:tc>
          <w:tcPr>
            <w:tcW w:w="720" w:type="dxa"/>
            <w:vMerge w:val="restart"/>
            <w:tcBorders>
              <w:top w:val="single" w:color="000000" w:sz="4" w:space="0"/>
              <w:left w:val="single" w:color="000000" w:sz="4" w:space="0"/>
              <w:right w:val="single" w:color="000000" w:sz="4" w:space="0"/>
            </w:tcBorders>
            <w:noWrap/>
            <w:vAlign w:val="center"/>
          </w:tcPr>
          <w:p w14:paraId="4039EEFC">
            <w:pPr>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14</w:t>
            </w:r>
          </w:p>
        </w:tc>
        <w:tc>
          <w:tcPr>
            <w:tcW w:w="1533"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1B22EF8">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余家桥乡</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202CA51D">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余家桥村、洪山村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C409B4E">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09730AC0">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AE</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6F5B2B66">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16</w:t>
            </w:r>
          </w:p>
        </w:tc>
      </w:tr>
      <w:tr w14:paraId="6C00252D">
        <w:tblPrEx>
          <w:tblCellMar>
            <w:top w:w="0" w:type="dxa"/>
            <w:left w:w="108" w:type="dxa"/>
            <w:bottom w:w="0" w:type="dxa"/>
            <w:right w:w="108" w:type="dxa"/>
          </w:tblCellMar>
        </w:tblPrEx>
        <w:trPr>
          <w:trHeight w:val="1020" w:hRule="atLeast"/>
          <w:jc w:val="center"/>
        </w:trPr>
        <w:tc>
          <w:tcPr>
            <w:tcW w:w="720" w:type="dxa"/>
            <w:vMerge w:val="continue"/>
            <w:tcBorders>
              <w:left w:val="single" w:color="000000" w:sz="4" w:space="0"/>
              <w:bottom w:val="single" w:color="000000" w:sz="4" w:space="0"/>
              <w:right w:val="single" w:color="000000" w:sz="4" w:space="0"/>
            </w:tcBorders>
            <w:noWrap/>
            <w:vAlign w:val="center"/>
          </w:tcPr>
          <w:p w14:paraId="00A0842E">
            <w:pPr>
              <w:widowControl/>
              <w:spacing w:line="400" w:lineRule="exact"/>
              <w:jc w:val="center"/>
              <w:rPr>
                <w:rFonts w:ascii="仿宋_GB2312" w:hAnsi="宋体" w:eastAsia="仿宋_GB2312" w:cs="宋体"/>
                <w:color w:val="000000"/>
                <w:kern w:val="0"/>
                <w:sz w:val="24"/>
              </w:rPr>
            </w:pPr>
          </w:p>
        </w:tc>
        <w:tc>
          <w:tcPr>
            <w:tcW w:w="1533"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2861E538">
            <w:pPr>
              <w:widowControl/>
              <w:spacing w:line="400" w:lineRule="exact"/>
              <w:jc w:val="left"/>
              <w:rPr>
                <w:rFonts w:ascii="仿宋_GB2312" w:hAnsi="宋体" w:eastAsia="仿宋_GB2312" w:cs="宋体"/>
                <w:color w:val="000000"/>
                <w:kern w:val="0"/>
                <w:sz w:val="24"/>
              </w:rPr>
            </w:pPr>
          </w:p>
        </w:tc>
        <w:tc>
          <w:tcPr>
            <w:tcW w:w="4246" w:type="dxa"/>
            <w:tcBorders>
              <w:top w:val="single" w:color="000000" w:sz="4" w:space="0"/>
              <w:left w:val="single" w:color="000000" w:sz="4" w:space="0"/>
              <w:bottom w:val="single" w:color="000000" w:sz="4" w:space="0"/>
              <w:right w:val="single" w:color="000000" w:sz="4" w:space="0"/>
            </w:tcBorders>
            <w:vAlign w:val="center"/>
          </w:tcPr>
          <w:p w14:paraId="1AB7C227">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洞口村、月星山村、安咀村、丛林村、大岭村、冷家湖村、光荣桥村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0F7E968">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44E357F5">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AF</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00CFD57A">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11</w:t>
            </w:r>
          </w:p>
        </w:tc>
      </w:tr>
      <w:tr w14:paraId="13CA602F">
        <w:tblPrEx>
          <w:tblCellMar>
            <w:top w:w="0" w:type="dxa"/>
            <w:left w:w="108" w:type="dxa"/>
            <w:bottom w:w="0" w:type="dxa"/>
            <w:right w:w="108" w:type="dxa"/>
          </w:tblCellMar>
        </w:tblPrEx>
        <w:trPr>
          <w:trHeight w:val="510"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65B6">
            <w:pPr>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15</w:t>
            </w:r>
          </w:p>
        </w:tc>
        <w:tc>
          <w:tcPr>
            <w:tcW w:w="1533" w:type="dxa"/>
            <w:gridSpan w:val="2"/>
            <w:tcBorders>
              <w:top w:val="single" w:color="000000" w:sz="4" w:space="0"/>
              <w:left w:val="single" w:color="000000" w:sz="4" w:space="0"/>
              <w:bottom w:val="single" w:color="000000" w:sz="4" w:space="0"/>
              <w:right w:val="single" w:color="000000" w:sz="4" w:space="0"/>
            </w:tcBorders>
            <w:vAlign w:val="center"/>
          </w:tcPr>
          <w:p w14:paraId="3D552644">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沧湖开发区</w:t>
            </w:r>
          </w:p>
        </w:tc>
        <w:tc>
          <w:tcPr>
            <w:tcW w:w="4246" w:type="dxa"/>
            <w:tcBorders>
              <w:top w:val="single" w:color="000000" w:sz="4" w:space="0"/>
              <w:left w:val="single" w:color="000000" w:sz="4" w:space="0"/>
              <w:bottom w:val="single" w:color="000000" w:sz="4" w:space="0"/>
              <w:right w:val="single" w:color="000000" w:sz="4" w:space="0"/>
            </w:tcBorders>
            <w:noWrap/>
            <w:vAlign w:val="center"/>
          </w:tcPr>
          <w:p w14:paraId="088662E8">
            <w:pPr>
              <w:widowControl/>
              <w:spacing w:line="400" w:lineRule="exact"/>
              <w:jc w:val="left"/>
              <w:rPr>
                <w:rFonts w:ascii="仿宋_GB2312" w:hAnsi="宋体" w:eastAsia="仿宋_GB2312" w:cs="宋体"/>
                <w:color w:val="000000"/>
                <w:kern w:val="0"/>
                <w:sz w:val="24"/>
              </w:rPr>
            </w:pPr>
            <w:r>
              <w:rPr>
                <w:rFonts w:ascii="仿宋_GB2312" w:hAnsi="宋体" w:eastAsia="仿宋_GB2312" w:cs="宋体"/>
                <w:color w:val="000000"/>
                <w:kern w:val="0"/>
                <w:sz w:val="24"/>
              </w:rPr>
              <w:t xml:space="preserve"> </w:t>
            </w:r>
            <w:r>
              <w:rPr>
                <w:rFonts w:hint="eastAsia" w:ascii="仿宋_GB2312" w:hAnsi="宋体" w:eastAsia="仿宋_GB2312" w:cs="宋体"/>
                <w:color w:val="000000"/>
                <w:kern w:val="0"/>
                <w:sz w:val="24"/>
              </w:rPr>
              <w:t>汤家嘴村、普安村</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AE667AC">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D9EB767">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AG</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7B5A7693">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r>
      <w:tr w14:paraId="3C5CB907">
        <w:tblPrEx>
          <w:tblCellMar>
            <w:top w:w="0" w:type="dxa"/>
            <w:left w:w="108" w:type="dxa"/>
            <w:bottom w:w="0" w:type="dxa"/>
            <w:right w:w="108" w:type="dxa"/>
          </w:tblCellMar>
        </w:tblPrEx>
        <w:trPr>
          <w:trHeight w:val="765"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F0A16">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16</w:t>
            </w:r>
          </w:p>
        </w:tc>
        <w:tc>
          <w:tcPr>
            <w:tcW w:w="1533" w:type="dxa"/>
            <w:gridSpan w:val="2"/>
            <w:tcBorders>
              <w:top w:val="single" w:color="000000" w:sz="4" w:space="0"/>
              <w:left w:val="single" w:color="000000" w:sz="4" w:space="0"/>
              <w:bottom w:val="single" w:color="000000" w:sz="4" w:space="0"/>
              <w:right w:val="single" w:color="000000" w:sz="4" w:space="0"/>
            </w:tcBorders>
            <w:vAlign w:val="center"/>
          </w:tcPr>
          <w:p w14:paraId="7A35605B">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蒲纺工业园</w:t>
            </w:r>
          </w:p>
        </w:tc>
        <w:tc>
          <w:tcPr>
            <w:tcW w:w="4246" w:type="dxa"/>
            <w:tcBorders>
              <w:top w:val="single" w:color="000000" w:sz="4" w:space="0"/>
              <w:left w:val="single" w:color="000000" w:sz="4" w:space="0"/>
              <w:bottom w:val="single" w:color="000000" w:sz="4" w:space="0"/>
              <w:right w:val="single" w:color="000000" w:sz="4" w:space="0"/>
            </w:tcBorders>
            <w:vAlign w:val="center"/>
          </w:tcPr>
          <w:p w14:paraId="2870C404">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桂花树社区、六米桥社区、</w:t>
            </w:r>
          </w:p>
          <w:p w14:paraId="26D46236">
            <w:pPr>
              <w:widowControl/>
              <w:spacing w:line="400" w:lineRule="exact"/>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桃花坪社区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7E95DBE">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一级</w:t>
            </w:r>
          </w:p>
        </w:tc>
        <w:tc>
          <w:tcPr>
            <w:tcW w:w="987" w:type="dxa"/>
            <w:tcBorders>
              <w:top w:val="single" w:color="000000" w:sz="4" w:space="0"/>
              <w:left w:val="single" w:color="000000" w:sz="4" w:space="0"/>
              <w:bottom w:val="single" w:color="000000" w:sz="4" w:space="0"/>
              <w:right w:val="single" w:color="000000" w:sz="4" w:space="0"/>
            </w:tcBorders>
            <w:vAlign w:val="center"/>
          </w:tcPr>
          <w:p w14:paraId="712C6771">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AH</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4D6B4049">
            <w:pPr>
              <w:widowControl/>
              <w:spacing w:line="400" w:lineRule="exact"/>
              <w:jc w:val="center"/>
              <w:rPr>
                <w:rFonts w:ascii="仿宋_GB2312" w:hAnsi="宋体" w:eastAsia="仿宋_GB2312" w:cs="宋体"/>
                <w:color w:val="000000"/>
                <w:kern w:val="0"/>
                <w:sz w:val="24"/>
              </w:rPr>
            </w:pPr>
            <w:r>
              <w:rPr>
                <w:rFonts w:ascii="仿宋_GB2312" w:hAnsi="宋体" w:eastAsia="仿宋_GB2312" w:cs="宋体"/>
                <w:color w:val="000000"/>
                <w:kern w:val="0"/>
                <w:sz w:val="24"/>
              </w:rPr>
              <w:t>40</w:t>
            </w:r>
          </w:p>
        </w:tc>
      </w:tr>
      <w:tr w14:paraId="00B9612E">
        <w:tblPrEx>
          <w:tblCellMar>
            <w:top w:w="0" w:type="dxa"/>
            <w:left w:w="108" w:type="dxa"/>
            <w:bottom w:w="0" w:type="dxa"/>
            <w:right w:w="108" w:type="dxa"/>
          </w:tblCellMar>
        </w:tblPrEx>
        <w:trPr>
          <w:trHeight w:val="765"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DB93">
            <w:pPr>
              <w:widowControl/>
              <w:spacing w:line="40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17</w:t>
            </w:r>
          </w:p>
        </w:tc>
        <w:tc>
          <w:tcPr>
            <w:tcW w:w="1533" w:type="dxa"/>
            <w:gridSpan w:val="2"/>
            <w:tcBorders>
              <w:top w:val="single" w:color="000000" w:sz="4" w:space="0"/>
              <w:left w:val="single" w:color="000000" w:sz="4" w:space="0"/>
              <w:bottom w:val="single" w:color="000000" w:sz="4" w:space="0"/>
              <w:right w:val="single" w:color="000000" w:sz="4" w:space="0"/>
            </w:tcBorders>
            <w:vAlign w:val="center"/>
          </w:tcPr>
          <w:p w14:paraId="07644D3C">
            <w:pPr>
              <w:widowControl/>
              <w:spacing w:line="400" w:lineRule="exact"/>
              <w:jc w:val="center"/>
              <w:rPr>
                <w:rFonts w:ascii="仿宋_GB2312" w:hAnsi="宋体" w:eastAsia="仿宋_GB2312" w:cs="宋体"/>
                <w:kern w:val="0"/>
                <w:sz w:val="24"/>
              </w:rPr>
            </w:pPr>
            <w:r>
              <w:rPr>
                <w:rFonts w:hint="eastAsia" w:ascii="仿宋_GB2312" w:hAnsi="宋体" w:eastAsia="仿宋_GB2312" w:cs="宋体"/>
                <w:kern w:val="0"/>
                <w:sz w:val="24"/>
              </w:rPr>
              <w:t>羊楼洞茶场</w:t>
            </w:r>
          </w:p>
        </w:tc>
        <w:tc>
          <w:tcPr>
            <w:tcW w:w="4246" w:type="dxa"/>
            <w:tcBorders>
              <w:top w:val="single" w:color="000000" w:sz="4" w:space="0"/>
              <w:left w:val="single" w:color="000000" w:sz="4" w:space="0"/>
              <w:bottom w:val="single" w:color="000000" w:sz="4" w:space="0"/>
              <w:right w:val="single" w:color="000000" w:sz="4" w:space="0"/>
            </w:tcBorders>
            <w:vAlign w:val="center"/>
          </w:tcPr>
          <w:p w14:paraId="12127F86">
            <w:pPr>
              <w:widowControl/>
              <w:spacing w:line="400" w:lineRule="exact"/>
              <w:jc w:val="left"/>
              <w:rPr>
                <w:rFonts w:ascii="仿宋_GB2312" w:hAnsi="宋体" w:eastAsia="仿宋_GB2312" w:cs="宋体"/>
                <w:kern w:val="0"/>
                <w:sz w:val="24"/>
              </w:rPr>
            </w:pPr>
            <w:r>
              <w:rPr>
                <w:rFonts w:hint="eastAsia" w:ascii="仿宋_GB2312" w:hAnsi="宋体" w:eastAsia="仿宋_GB2312" w:cs="宋体"/>
                <w:kern w:val="0"/>
                <w:sz w:val="24"/>
              </w:rPr>
              <w:t>八王庙社区、益阳桥社区、羊茶社区、松峰社区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34CE8CD">
            <w:pPr>
              <w:widowControl/>
              <w:spacing w:line="400" w:lineRule="exact"/>
              <w:jc w:val="center"/>
              <w:rPr>
                <w:rFonts w:ascii="仿宋_GB2312" w:hAnsi="宋体" w:eastAsia="仿宋_GB2312" w:cs="宋体"/>
                <w:kern w:val="0"/>
                <w:sz w:val="24"/>
              </w:rPr>
            </w:pPr>
            <w:r>
              <w:rPr>
                <w:rFonts w:hint="eastAsia" w:ascii="仿宋_GB2312" w:hAnsi="宋体" w:eastAsia="仿宋_GB2312" w:cs="宋体"/>
                <w:kern w:val="0"/>
                <w:sz w:val="24"/>
              </w:rPr>
              <w:t>二级</w:t>
            </w:r>
          </w:p>
        </w:tc>
        <w:tc>
          <w:tcPr>
            <w:tcW w:w="987" w:type="dxa"/>
            <w:tcBorders>
              <w:top w:val="single" w:color="000000" w:sz="4" w:space="0"/>
              <w:left w:val="single" w:color="000000" w:sz="4" w:space="0"/>
              <w:bottom w:val="single" w:color="000000" w:sz="4" w:space="0"/>
              <w:right w:val="single" w:color="000000" w:sz="4" w:space="0"/>
            </w:tcBorders>
            <w:vAlign w:val="center"/>
          </w:tcPr>
          <w:p w14:paraId="195B3DEA">
            <w:pPr>
              <w:widowControl/>
              <w:spacing w:line="400" w:lineRule="exact"/>
              <w:jc w:val="center"/>
              <w:rPr>
                <w:rFonts w:ascii="仿宋_GB2312" w:hAnsi="宋体" w:eastAsia="仿宋_GB2312" w:cs="宋体"/>
                <w:kern w:val="0"/>
                <w:sz w:val="24"/>
              </w:rPr>
            </w:pPr>
            <w:r>
              <w:rPr>
                <w:rFonts w:hint="eastAsia" w:ascii="仿宋_GB2312" w:hAnsi="宋体" w:eastAsia="仿宋_GB2312" w:cs="宋体"/>
                <w:kern w:val="0"/>
                <w:sz w:val="24"/>
              </w:rPr>
              <w:t>AI</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2BBD3557">
            <w:pPr>
              <w:widowControl/>
              <w:spacing w:line="40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14:paraId="734D9ECB">
        <w:tblPrEx>
          <w:tblCellMar>
            <w:top w:w="0" w:type="dxa"/>
            <w:left w:w="108" w:type="dxa"/>
            <w:bottom w:w="0" w:type="dxa"/>
            <w:right w:w="108" w:type="dxa"/>
          </w:tblCellMar>
        </w:tblPrEx>
        <w:trPr>
          <w:trHeight w:val="643" w:hRule="atLeast"/>
          <w:jc w:val="center"/>
        </w:trPr>
        <w:tc>
          <w:tcPr>
            <w:tcW w:w="7579" w:type="dxa"/>
            <w:gridSpan w:val="5"/>
            <w:tcBorders>
              <w:top w:val="single" w:color="000000" w:sz="4" w:space="0"/>
              <w:left w:val="single" w:color="000000" w:sz="4" w:space="0"/>
              <w:bottom w:val="single" w:color="000000" w:sz="4" w:space="0"/>
              <w:right w:val="single" w:color="000000" w:sz="4" w:space="0"/>
            </w:tcBorders>
            <w:noWrap/>
            <w:vAlign w:val="center"/>
          </w:tcPr>
          <w:p w14:paraId="3288F953">
            <w:pPr>
              <w:widowControl/>
              <w:spacing w:line="400" w:lineRule="exact"/>
              <w:jc w:val="center"/>
              <w:rPr>
                <w:rFonts w:ascii="仿宋_GB2312" w:hAnsi="宋体" w:eastAsia="仿宋_GB2312" w:cs="宋体"/>
                <w:kern w:val="0"/>
                <w:sz w:val="24"/>
              </w:rPr>
            </w:pPr>
            <w:r>
              <w:rPr>
                <w:rFonts w:hint="eastAsia" w:ascii="仿宋_GB2312" w:hAnsi="宋体" w:eastAsia="仿宋_GB2312" w:cs="宋体"/>
                <w:kern w:val="0"/>
                <w:sz w:val="24"/>
              </w:rPr>
              <w:t>总计</w:t>
            </w:r>
          </w:p>
        </w:tc>
        <w:tc>
          <w:tcPr>
            <w:tcW w:w="987" w:type="dxa"/>
            <w:tcBorders>
              <w:top w:val="single" w:color="000000" w:sz="4" w:space="0"/>
              <w:left w:val="single" w:color="000000" w:sz="4" w:space="0"/>
              <w:bottom w:val="single" w:color="000000" w:sz="4" w:space="0"/>
              <w:right w:val="single" w:color="000000" w:sz="4" w:space="0"/>
            </w:tcBorders>
          </w:tcPr>
          <w:p w14:paraId="15616BD7">
            <w:pPr>
              <w:widowControl/>
              <w:spacing w:line="400" w:lineRule="exact"/>
              <w:jc w:val="center"/>
              <w:rPr>
                <w:rFonts w:ascii="仿宋_GB2312" w:hAnsi="宋体" w:eastAsia="仿宋_GB2312" w:cs="宋体"/>
                <w:kern w:val="0"/>
                <w:sz w:val="24"/>
              </w:rPr>
            </w:pP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5CEF9519">
            <w:pPr>
              <w:widowControl/>
              <w:spacing w:line="400" w:lineRule="exact"/>
              <w:jc w:val="center"/>
              <w:rPr>
                <w:rFonts w:ascii="仿宋_GB2312" w:hAnsi="宋体" w:eastAsia="仿宋_GB2312" w:cs="宋体"/>
                <w:kern w:val="0"/>
                <w:sz w:val="24"/>
              </w:rPr>
            </w:pPr>
            <w:r>
              <w:rPr>
                <w:rFonts w:ascii="仿宋_GB2312" w:hAnsi="宋体" w:eastAsia="仿宋_GB2312" w:cs="宋体"/>
                <w:kern w:val="0"/>
                <w:sz w:val="24"/>
              </w:rPr>
              <w:t>22</w:t>
            </w:r>
            <w:r>
              <w:rPr>
                <w:rFonts w:hint="eastAsia" w:ascii="仿宋_GB2312" w:hAnsi="宋体" w:eastAsia="仿宋_GB2312" w:cs="宋体"/>
                <w:kern w:val="0"/>
                <w:sz w:val="24"/>
              </w:rPr>
              <w:t>0</w:t>
            </w:r>
            <w:r>
              <w:rPr>
                <w:rFonts w:ascii="仿宋_GB2312" w:hAnsi="宋体" w:eastAsia="仿宋_GB2312" w:cs="宋体"/>
                <w:kern w:val="0"/>
                <w:sz w:val="24"/>
              </w:rPr>
              <w:t>0</w:t>
            </w:r>
          </w:p>
        </w:tc>
      </w:tr>
    </w:tbl>
    <w:p w14:paraId="29FD8121">
      <w:pPr>
        <w:spacing w:line="579" w:lineRule="exact"/>
        <w:rPr>
          <w:rFonts w:ascii="黑体" w:hAnsi="黑体" w:eastAsia="黑体" w:cs="仿宋_GB2312"/>
          <w:sz w:val="32"/>
          <w:szCs w:val="32"/>
        </w:rPr>
      </w:pPr>
    </w:p>
    <w:p w14:paraId="35E6D742">
      <w:pPr>
        <w:spacing w:line="579" w:lineRule="exact"/>
        <w:rPr>
          <w:rFonts w:ascii="黑体" w:hAnsi="黑体" w:eastAsia="黑体" w:cs="仿宋_GB2312"/>
          <w:sz w:val="32"/>
          <w:szCs w:val="32"/>
        </w:rPr>
      </w:pPr>
      <w:r>
        <w:rPr>
          <w:rFonts w:hint="eastAsia" w:ascii="黑体" w:hAnsi="黑体" w:eastAsia="黑体" w:cs="仿宋_GB2312"/>
          <w:sz w:val="32"/>
          <w:szCs w:val="32"/>
        </w:rPr>
        <w:t>附件</w:t>
      </w:r>
      <w:r>
        <w:rPr>
          <w:rFonts w:ascii="黑体" w:hAnsi="黑体" w:eastAsia="黑体" w:cs="仿宋_GB2312"/>
          <w:sz w:val="32"/>
          <w:szCs w:val="32"/>
        </w:rPr>
        <w:t>2</w:t>
      </w:r>
    </w:p>
    <w:p w14:paraId="249B6758">
      <w:pPr>
        <w:spacing w:line="579" w:lineRule="exact"/>
        <w:rPr>
          <w:rFonts w:ascii="黑体" w:hAnsi="黑体" w:eastAsia="黑体" w:cs="仿宋_GB2312"/>
          <w:sz w:val="32"/>
          <w:szCs w:val="32"/>
        </w:rPr>
      </w:pPr>
    </w:p>
    <w:p w14:paraId="21B57C1A">
      <w:pPr>
        <w:spacing w:line="579" w:lineRule="exact"/>
        <w:jc w:val="center"/>
        <w:rPr>
          <w:rFonts w:ascii="方正小标宋简体" w:hAnsi="仿宋_GB2312" w:eastAsia="方正小标宋简体" w:cs="仿宋_GB2312"/>
          <w:w w:val="90"/>
          <w:sz w:val="44"/>
          <w:szCs w:val="44"/>
        </w:rPr>
      </w:pPr>
      <w:r>
        <w:rPr>
          <w:rFonts w:hint="eastAsia" w:ascii="方正小标宋简体" w:hAnsi="仿宋_GB2312" w:eastAsia="方正小标宋简体" w:cs="仿宋_GB2312"/>
          <w:w w:val="90"/>
          <w:sz w:val="44"/>
          <w:szCs w:val="44"/>
        </w:rPr>
        <w:t>赤壁市烟草专卖零售许可证办理轮候制度</w:t>
      </w:r>
    </w:p>
    <w:p w14:paraId="77B2BD38">
      <w:pPr>
        <w:spacing w:line="579" w:lineRule="exact"/>
        <w:ind w:firstLine="640" w:firstLineChars="200"/>
        <w:rPr>
          <w:rFonts w:ascii="仿宋" w:hAnsi="仿宋" w:eastAsia="仿宋" w:cs="仿宋"/>
          <w:sz w:val="32"/>
          <w:szCs w:val="32"/>
        </w:rPr>
      </w:pPr>
    </w:p>
    <w:p w14:paraId="04FCBC53">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第一条</w:t>
      </w:r>
      <w:r>
        <w:rPr>
          <w:rFonts w:hint="eastAsia" w:ascii="仿宋_GB2312" w:hAnsi="仿宋_GB2312" w:eastAsia="仿宋_GB2312" w:cs="仿宋_GB2312"/>
          <w:sz w:val="32"/>
          <w:szCs w:val="32"/>
        </w:rPr>
        <w:t xml:space="preserve">  为规范实施《赤壁市烟草制品零售点合理布局规定》（以下简称《合理布局》），坚持公平、公正、公开原则，进一步增强公信力，促进烟草制品零售点排队轮候的规范应用，根据《中华人民共和国行政许可法》《烟草专卖许可证管理办法》《烟草专卖许可证管理办法实施细则》，特制定本制度。</w:t>
      </w:r>
    </w:p>
    <w:p w14:paraId="47A96BD9">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第二条</w:t>
      </w:r>
      <w:r>
        <w:rPr>
          <w:rFonts w:hint="eastAsia" w:ascii="仿宋_GB2312" w:hAnsi="仿宋_GB2312" w:eastAsia="仿宋_GB2312" w:cs="仿宋_GB2312"/>
          <w:sz w:val="32"/>
          <w:szCs w:val="32"/>
        </w:rPr>
        <w:t xml:space="preserve">  本制度适用于赤壁市申请办理烟草专卖零售许可证的排队轮候管理。</w:t>
      </w:r>
    </w:p>
    <w:p w14:paraId="091B676D">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第三条</w:t>
      </w:r>
      <w:r>
        <w:rPr>
          <w:rFonts w:hint="eastAsia" w:ascii="仿宋_GB2312" w:hAnsi="仿宋_GB2312" w:eastAsia="仿宋_GB2312" w:cs="仿宋_GB2312"/>
          <w:sz w:val="32"/>
          <w:szCs w:val="32"/>
        </w:rPr>
        <w:t xml:space="preserve">  轮候制度指实施数量调控的市场单元内的零售点数量达到指导数量上限时，赤壁市烟草专卖局（以下简称“发证机关”）遵循“退一进一”原则，根据申请办证的先后顺序分配办理名额的管理制度。</w:t>
      </w:r>
    </w:p>
    <w:p w14:paraId="0623895D">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第四条</w:t>
      </w:r>
      <w:r>
        <w:rPr>
          <w:rFonts w:hint="eastAsia" w:ascii="仿宋_GB2312" w:hAnsi="仿宋_GB2312" w:eastAsia="仿宋_GB2312" w:cs="仿宋_GB2312"/>
          <w:sz w:val="32"/>
          <w:szCs w:val="32"/>
        </w:rPr>
        <w:t xml:space="preserve">  申请人申请排队轮候的，由申请人经营场所所在地的发证机关负责接收、审查。</w:t>
      </w:r>
    </w:p>
    <w:p w14:paraId="6AAC3FE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第五条</w:t>
      </w:r>
      <w:r>
        <w:rPr>
          <w:rFonts w:hint="eastAsia" w:ascii="仿宋_GB2312" w:hAnsi="仿宋_GB2312" w:eastAsia="仿宋_GB2312" w:cs="仿宋_GB2312"/>
          <w:sz w:val="32"/>
          <w:szCs w:val="32"/>
        </w:rPr>
        <w:t xml:space="preserve">  发证机关应及时公开市场单元零售点指导数量、排队轮候情况、烟草专卖零售许可证办理情况等有关信息。</w:t>
      </w:r>
    </w:p>
    <w:p w14:paraId="4EF881DE">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第六条</w:t>
      </w:r>
      <w:r>
        <w:rPr>
          <w:rFonts w:hint="eastAsia" w:ascii="仿宋_GB2312" w:hAnsi="仿宋_GB2312" w:eastAsia="仿宋_GB2312" w:cs="仿宋_GB2312"/>
          <w:sz w:val="32"/>
          <w:szCs w:val="32"/>
        </w:rPr>
        <w:t xml:space="preserve">  发证机关应当提供咨询和投诉举报渠道，认真答复咨询，及时处理投诉举报。</w:t>
      </w:r>
    </w:p>
    <w:p w14:paraId="5079DD75">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第七条</w:t>
      </w:r>
      <w:r>
        <w:rPr>
          <w:rFonts w:hint="eastAsia" w:ascii="仿宋_GB2312" w:hAnsi="仿宋_GB2312" w:eastAsia="仿宋_GB2312" w:cs="仿宋_GB2312"/>
          <w:sz w:val="32"/>
          <w:szCs w:val="32"/>
        </w:rPr>
        <w:t xml:space="preserve">  排队轮候的对象为市场单元内零售点数量已经达到零售点指导数量后提出申请办理烟草专卖零售许可证条件的申请人，不包括本制度第十四条规定的特殊情形。</w:t>
      </w:r>
    </w:p>
    <w:p w14:paraId="70B89F3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第八条</w:t>
      </w:r>
      <w:r>
        <w:rPr>
          <w:rFonts w:hint="eastAsia" w:ascii="仿宋_GB2312" w:hAnsi="仿宋_GB2312" w:eastAsia="仿宋_GB2312" w:cs="仿宋_GB2312"/>
          <w:sz w:val="32"/>
          <w:szCs w:val="32"/>
        </w:rPr>
        <w:t xml:space="preserve">  当某一市场单元零售点指导数量额满后，如再接到新办申请，发证机关应按申请人登记时间的先后顺序进行排队轮候。</w:t>
      </w:r>
    </w:p>
    <w:p w14:paraId="414E81E6">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第九条</w:t>
      </w:r>
      <w:r>
        <w:rPr>
          <w:rFonts w:hint="eastAsia" w:ascii="仿宋_GB2312" w:hAnsi="仿宋_GB2312" w:eastAsia="仿宋_GB2312" w:cs="仿宋_GB2312"/>
          <w:sz w:val="32"/>
          <w:szCs w:val="32"/>
        </w:rPr>
        <w:t xml:space="preserve">  进入轮候后，申请人登记的企业名称、法定代表人或其他组织负责人、经营地址等登记事项应与实际经营情况相一致。</w:t>
      </w:r>
    </w:p>
    <w:p w14:paraId="4CEFE4C6">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在经营地址不发生变化的前提下，申请人如因客观原因需更改企业名称或更正身份信息的，应当在到号前向发证机关申请作出相应修改。</w:t>
      </w:r>
    </w:p>
    <w:p w14:paraId="4D5C076A">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当申请人经营场所所在辖区市场单元的零售点数量达到零售点指导数量时，且不符合第十四条规定的特殊情形，该区域内不予设置新的零售点，发证机关应作出不予行政许可决定，并引导申请人进入排队轮候。</w:t>
      </w:r>
    </w:p>
    <w:p w14:paraId="600D271B">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第十一条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申请人成功进入排队轮候的，发证机关应采用预留联系方式告知申请人当前轮候号码。</w:t>
      </w:r>
    </w:p>
    <w:p w14:paraId="746470FE">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第十二条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申请人排队到号且在收到办理通知之日起三个工作日内提出新办申请的，发证机关应按法定程序进行办理。申请人逾期未提出新办申请或在三个工作日内按照其提供的联系方式无法联系通知的，则自动视为放弃申请，由下一位排号人递补申请。</w:t>
      </w:r>
    </w:p>
    <w:p w14:paraId="2D1CA74F">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第十三条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发证机关应当将排队轮候相关材料存档备查，保存期为</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年。</w:t>
      </w:r>
    </w:p>
    <w:p w14:paraId="1C851822">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第十四条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属于《合理布局》中不受新增零售点数量限制的情形，不进行排队轮候，符合办理烟草专卖零售许可证条件的，可以直接办理烟草专卖零售许可证。</w:t>
      </w:r>
    </w:p>
    <w:p w14:paraId="243AE00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第十五条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申请人在排队轮候期间擅自从事烟草专卖品生产经营活动的，取消其排队轮候资格。</w:t>
      </w:r>
    </w:p>
    <w:p w14:paraId="1F5F08AB">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第十六条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申请人通过欺骗、贿赂等不正当手段取得轮候资格的，取消其排队轮候资格。</w:t>
      </w:r>
    </w:p>
    <w:p w14:paraId="55B91205">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第十七条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办理排队轮候不收取任何费用。</w:t>
      </w:r>
    </w:p>
    <w:p w14:paraId="5F6826AF">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第十八条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本制度由赤壁市烟草专卖局负责解释。</w:t>
      </w:r>
    </w:p>
    <w:p w14:paraId="34B88F06">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第十九条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本制度自印发之日起施行。</w:t>
      </w:r>
    </w:p>
    <w:p w14:paraId="1AD0E17F">
      <w:pPr>
        <w:spacing w:line="579" w:lineRule="exact"/>
        <w:rPr>
          <w:rFonts w:ascii="仿宋" w:hAnsi="仿宋" w:eastAsia="仿宋" w:cs="仿宋"/>
          <w:sz w:val="32"/>
          <w:szCs w:val="32"/>
        </w:rPr>
      </w:pPr>
    </w:p>
    <w:p w14:paraId="144ECC86">
      <w:pPr>
        <w:spacing w:line="579" w:lineRule="exact"/>
        <w:rPr>
          <w:rFonts w:ascii="仿宋_GB2312" w:hAnsi="仿宋_GB2312" w:eastAsia="仿宋_GB2312" w:cs="仿宋_GB2312"/>
          <w:sz w:val="32"/>
          <w:szCs w:val="32"/>
        </w:rPr>
      </w:pPr>
    </w:p>
    <w:p w14:paraId="707953DF">
      <w:pPr>
        <w:spacing w:line="579" w:lineRule="exact"/>
        <w:rPr>
          <w:rFonts w:ascii="仿宋_GB2312" w:hAnsi="仿宋_GB2312" w:eastAsia="仿宋_GB2312" w:cs="仿宋_GB2312"/>
          <w:sz w:val="32"/>
          <w:szCs w:val="32"/>
        </w:rPr>
      </w:pPr>
    </w:p>
    <w:p w14:paraId="6F093CBF">
      <w:pPr>
        <w:spacing w:line="579" w:lineRule="exact"/>
        <w:rPr>
          <w:rFonts w:ascii="仿宋_GB2312" w:hAnsi="仿宋_GB2312" w:eastAsia="仿宋_GB2312" w:cs="仿宋_GB2312"/>
          <w:sz w:val="32"/>
          <w:szCs w:val="32"/>
        </w:rPr>
      </w:pPr>
    </w:p>
    <w:p w14:paraId="6EF4669A">
      <w:pPr>
        <w:spacing w:line="579" w:lineRule="exact"/>
        <w:rPr>
          <w:rFonts w:ascii="仿宋_GB2312" w:hAnsi="仿宋_GB2312" w:eastAsia="仿宋_GB2312" w:cs="仿宋_GB2312"/>
          <w:sz w:val="32"/>
          <w:szCs w:val="32"/>
        </w:rPr>
      </w:pPr>
    </w:p>
    <w:p w14:paraId="66E7D7A7">
      <w:pPr>
        <w:spacing w:line="579" w:lineRule="exact"/>
        <w:rPr>
          <w:rFonts w:ascii="仿宋_GB2312" w:hAnsi="仿宋_GB2312" w:eastAsia="仿宋_GB2312" w:cs="仿宋_GB2312"/>
          <w:sz w:val="32"/>
          <w:szCs w:val="32"/>
        </w:rPr>
      </w:pPr>
    </w:p>
    <w:p w14:paraId="59F9AA93">
      <w:pPr>
        <w:spacing w:line="579" w:lineRule="exact"/>
        <w:rPr>
          <w:rFonts w:ascii="仿宋_GB2312" w:hAnsi="仿宋_GB2312" w:eastAsia="仿宋_GB2312" w:cs="仿宋_GB2312"/>
          <w:sz w:val="32"/>
          <w:szCs w:val="32"/>
        </w:rPr>
      </w:pPr>
    </w:p>
    <w:p w14:paraId="6505988B">
      <w:pPr>
        <w:spacing w:line="579" w:lineRule="exact"/>
        <w:rPr>
          <w:rFonts w:ascii="仿宋_GB2312" w:hAnsi="仿宋_GB2312" w:eastAsia="仿宋_GB2312" w:cs="仿宋_GB2312"/>
          <w:sz w:val="32"/>
          <w:szCs w:val="32"/>
        </w:rPr>
      </w:pPr>
    </w:p>
    <w:p w14:paraId="4D0FB26F">
      <w:pPr>
        <w:spacing w:line="579" w:lineRule="exact"/>
        <w:rPr>
          <w:rFonts w:ascii="仿宋_GB2312" w:hAnsi="仿宋_GB2312" w:eastAsia="仿宋_GB2312" w:cs="仿宋_GB2312"/>
          <w:sz w:val="32"/>
          <w:szCs w:val="32"/>
        </w:rPr>
      </w:pPr>
    </w:p>
    <w:p w14:paraId="05EE580D">
      <w:pPr>
        <w:spacing w:line="579" w:lineRule="exact"/>
        <w:rPr>
          <w:rFonts w:ascii="仿宋_GB2312" w:hAnsi="仿宋_GB2312" w:eastAsia="仿宋_GB2312" w:cs="仿宋_GB2312"/>
          <w:sz w:val="32"/>
          <w:szCs w:val="32"/>
        </w:rPr>
      </w:pPr>
    </w:p>
    <w:p w14:paraId="4C6B194E">
      <w:pPr>
        <w:spacing w:line="579" w:lineRule="exact"/>
        <w:rPr>
          <w:rFonts w:ascii="黑体" w:hAnsi="黑体" w:eastAsia="黑体" w:cs="仿宋_GB2312"/>
          <w:sz w:val="32"/>
          <w:szCs w:val="32"/>
        </w:rPr>
      </w:pPr>
      <w:r>
        <w:rPr>
          <w:rFonts w:hint="eastAsia" w:ascii="黑体" w:hAnsi="黑体" w:eastAsia="黑体" w:cs="仿宋_GB2312"/>
          <w:sz w:val="32"/>
          <w:szCs w:val="32"/>
        </w:rPr>
        <w:t>附件</w:t>
      </w:r>
      <w:r>
        <w:rPr>
          <w:rFonts w:ascii="黑体" w:hAnsi="黑体" w:eastAsia="黑体" w:cs="仿宋_GB2312"/>
          <w:sz w:val="32"/>
          <w:szCs w:val="32"/>
        </w:rPr>
        <w:t>3</w:t>
      </w:r>
    </w:p>
    <w:p w14:paraId="33F6D665">
      <w:pPr>
        <w:spacing w:line="579" w:lineRule="exact"/>
        <w:rPr>
          <w:rFonts w:ascii="黑体" w:hAnsi="黑体" w:eastAsia="黑体" w:cs="仿宋_GB2312"/>
          <w:sz w:val="32"/>
          <w:szCs w:val="32"/>
        </w:rPr>
      </w:pPr>
    </w:p>
    <w:p w14:paraId="00F3DBB8">
      <w:pPr>
        <w:spacing w:line="579" w:lineRule="exact"/>
        <w:jc w:val="center"/>
        <w:rPr>
          <w:rFonts w:ascii="方正小标宋简体" w:hAnsi="方正公文小标宋" w:eastAsia="方正小标宋简体" w:cs="方正公文小标宋"/>
          <w:bCs/>
          <w:w w:val="90"/>
          <w:sz w:val="44"/>
          <w:szCs w:val="44"/>
        </w:rPr>
      </w:pPr>
      <w:r>
        <w:rPr>
          <w:rFonts w:hint="eastAsia" w:ascii="方正小标宋简体" w:hAnsi="方正公文小标宋" w:eastAsia="方正小标宋简体" w:cs="方正公文小标宋"/>
          <w:bCs/>
          <w:w w:val="90"/>
          <w:sz w:val="44"/>
          <w:szCs w:val="44"/>
        </w:rPr>
        <w:t>赤壁市烟草制品零售点固定经营场所条件规定</w:t>
      </w:r>
    </w:p>
    <w:p w14:paraId="56F0237C">
      <w:pPr>
        <w:spacing w:line="579" w:lineRule="exact"/>
        <w:ind w:firstLine="640" w:firstLineChars="200"/>
        <w:rPr>
          <w:rFonts w:ascii="仿宋_GB2312" w:hAnsi="仿宋_GB2312" w:eastAsia="仿宋_GB2312" w:cs="仿宋_GB2312"/>
          <w:sz w:val="32"/>
          <w:szCs w:val="32"/>
        </w:rPr>
      </w:pPr>
    </w:p>
    <w:p w14:paraId="22918011">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第一条</w:t>
      </w:r>
      <w:r>
        <w:rPr>
          <w:rFonts w:ascii="仿宋_GB2312" w:hAnsi="仿宋_GB2312" w:eastAsia="仿宋_GB2312" w:cs="仿宋_GB2312"/>
          <w:sz w:val="32"/>
          <w:szCs w:val="32"/>
        </w:rPr>
        <w:t> </w:t>
      </w:r>
      <w:r>
        <w:rPr>
          <w:rFonts w:hint="eastAsia" w:ascii="仿宋_GB2312" w:hAnsi="仿宋_GB2312" w:eastAsia="仿宋_GB2312" w:cs="仿宋_GB2312"/>
          <w:sz w:val="32"/>
          <w:szCs w:val="32"/>
        </w:rPr>
        <w:t>为了明确固定经营场所条件，加强烟草专卖零售许可证管理，根据《中华人民共和国烟草专卖法实施条例》《烟草专卖许可证管理办法》《烟草专卖许可证管理办法实施细则》等有关规定，结合本市实际情况，制定本规定。</w:t>
      </w:r>
    </w:p>
    <w:p w14:paraId="4EB6FC34">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第二条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本规定适用于赤壁市行政区域范围内烟草专卖零售许可证新办、延续、变更等行政许可审批以及后续管理中，烟草专卖局对是否具备与住所相独立的固定经营场所条件的认定。</w:t>
      </w:r>
    </w:p>
    <w:p w14:paraId="2559D625">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第三条</w:t>
      </w:r>
      <w:r>
        <w:rPr>
          <w:rFonts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申领烟草专卖零售许可证，应当具备“有与住所相独立的固定经营场所”的条件。</w:t>
      </w:r>
    </w:p>
    <w:p w14:paraId="7912F466">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本规定所称固定经营场所，是指使用砖、木、钢、水泥等建筑材料筑成封闭或相对封闭的，具备实物商品展示的经营设施、条件，能直接面对消费者、消费者可直接进店挑选商品的固定独立门面（铺面）。</w:t>
      </w:r>
    </w:p>
    <w:p w14:paraId="7D31BA1D">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营场所与住所相独立，是指经营场所与起居场所之间应有墙体、门等固定、不易拆除的物理隔断，消费者无需经过生活起居区域即可直接进店挑选商品，经营行为不受生活活动影响。无法明确划分的，视为经营场所与住所不相独立。</w:t>
      </w:r>
    </w:p>
    <w:p w14:paraId="247B2EA4">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申请人应当对经营场所具有排他性的使用权，烟草制品零售点的经营场所只能由一个经营主体单独使用，与其他经营主体的场所应有固定墙体完全隔离，候车厅经营场所除外。</w:t>
      </w:r>
    </w:p>
    <w:p w14:paraId="697609AA">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第四条</w:t>
      </w:r>
      <w:r>
        <w:rPr>
          <w:rFonts w:hint="eastAsia" w:ascii="仿宋_GB2312" w:hAnsi="仿宋_GB2312" w:eastAsia="仿宋_GB2312" w:cs="仿宋_GB2312"/>
          <w:sz w:val="32"/>
          <w:szCs w:val="32"/>
        </w:rPr>
        <w:t xml:space="preserve">  有以下情形之一的，视为不具备与住所相独立的固定经营场所：</w:t>
      </w:r>
    </w:p>
    <w:p w14:paraId="41CD4365">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（一）经营场所与居住场所（如厨房、卧室等）相连且无有效阻断的，或在实际经营场所搭建、设置生活区域的；</w:t>
      </w:r>
    </w:p>
    <w:p w14:paraId="0FF219E2">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（二）消费者需经过居住场所、办公场所等才能进入的经营场所；</w:t>
      </w:r>
    </w:p>
    <w:p w14:paraId="45329374">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（三）经营场所尚未建成，影响烟草专卖局正常勘测，或者建成后房屋正常使用所必要的门窗、水电未安装完毕尚不能投入正常使用的，或者门外道路行人无法正常通行，烟草专卖局无法正常进行勘测的；</w:t>
      </w:r>
    </w:p>
    <w:p w14:paraId="1D3D0267">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（四）占用楼梯、走道等公共区域或与他人合租、合用同一区域等对经营场所不享有独立使用权的；</w:t>
      </w:r>
    </w:p>
    <w:p w14:paraId="21E41973">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（五）占用城市道路、建筑物前广场、停车场、公共用地、集体用地（经规划、国土、建筑等部门批准建设的除外）等场所或无法界定场所范围的场所；</w:t>
      </w:r>
    </w:p>
    <w:p w14:paraId="0E589B9C">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（六）流动摊点（车、棚、柜）、电话亭、报刊亭、治安亭等流动的场所；</w:t>
      </w:r>
    </w:p>
    <w:p w14:paraId="50AA8F8E">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（七）违章建筑，包括违章新建、扩建、改建的房屋（铺面）。</w:t>
      </w:r>
    </w:p>
    <w:p w14:paraId="01170117">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（八）危房或者市政规划已标示待拆迁、待拆除建筑房屋（铺面）；</w:t>
      </w:r>
    </w:p>
    <w:p w14:paraId="3F4C4127">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（九）经营场所内未形成商品实际展卖区域或明显不具备对外经营烟草制品的基本设施和条件的；</w:t>
      </w:r>
      <w:r>
        <w:rPr>
          <w:rFonts w:ascii="仿宋_GB2312" w:hAnsi="仿宋_GB2312" w:eastAsia="仿宋_GB2312" w:cs="仿宋_GB2312"/>
          <w:sz w:val="32"/>
          <w:szCs w:val="32"/>
        </w:rPr>
        <w:t xml:space="preserve"> </w:t>
      </w:r>
    </w:p>
    <w:p w14:paraId="0B7FA471">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（十）因使用权被收回、未能续租等原因导致不能继续使用经营场所进行经营的；</w:t>
      </w:r>
    </w:p>
    <w:p w14:paraId="42E5A827">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（十一）其它不能被认定为与住所相独立的固定经营场所的情形。</w:t>
      </w:r>
    </w:p>
    <w:p w14:paraId="2836223E">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第五条  </w:t>
      </w:r>
      <w:r>
        <w:rPr>
          <w:rFonts w:hint="eastAsia" w:ascii="仿宋_GB2312" w:hAnsi="仿宋_GB2312" w:eastAsia="仿宋_GB2312" w:cs="仿宋_GB2312"/>
          <w:sz w:val="32"/>
          <w:szCs w:val="32"/>
        </w:rPr>
        <w:t>烟草专卖局对是否具备与住所相独立的固定经营场所条件进行实地核查，必要时结合以下书面证明材料进行核查：</w:t>
      </w:r>
    </w:p>
    <w:p w14:paraId="2D631C80">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（一）属城镇自有房产的经营场所，核查产权证、建设规划许可证、购房合同或其他有效书面证明材料原件；</w:t>
      </w:r>
    </w:p>
    <w:p w14:paraId="4370943A">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（二）属农村自有房产的经营场所，核查产权证或其他有效书面证明材料原件；</w:t>
      </w:r>
    </w:p>
    <w:p w14:paraId="5D12627E">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（三）属租赁性质的经营场所，核查租赁合同原件；</w:t>
      </w:r>
    </w:p>
    <w:p w14:paraId="04F88F23">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（四）属其他情形的，按烟草专卖局要求出示相关材料。</w:t>
      </w:r>
    </w:p>
    <w:p w14:paraId="2596200F">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第六条</w:t>
      </w:r>
      <w:r>
        <w:rPr>
          <w:rFonts w:ascii="仿宋_GB2312" w:hAnsi="仿宋_GB2312" w:eastAsia="仿宋_GB2312" w:cs="仿宋_GB2312"/>
          <w:sz w:val="32"/>
          <w:szCs w:val="32"/>
        </w:rPr>
        <w:t> </w:t>
      </w:r>
      <w:r>
        <w:rPr>
          <w:rFonts w:hint="eastAsia" w:ascii="仿宋_GB2312" w:hAnsi="仿宋_GB2312" w:eastAsia="仿宋_GB2312" w:cs="仿宋_GB2312"/>
          <w:sz w:val="32"/>
          <w:szCs w:val="32"/>
        </w:rPr>
        <w:t>经营场所因日常经营需设置临时休息场所的，申请人在烟草专卖执法人员实地核查时需确认临时休息场所属于经营场所的一部分，有义务接受烟草专卖局的监督检查。</w:t>
      </w:r>
    </w:p>
    <w:p w14:paraId="4CB427EA">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申请人存放货物的储藏室、仓库与经营门店相分离的，视为经营场所的附属仓库，有义务接受烟草专卖局的监督检查。</w:t>
      </w:r>
    </w:p>
    <w:p w14:paraId="3C43A05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第七条</w:t>
      </w:r>
      <w:r>
        <w:rPr>
          <w:rFonts w:hint="eastAsia" w:ascii="仿宋_GB2312" w:hAnsi="仿宋_GB2312" w:eastAsia="仿宋_GB2312" w:cs="仿宋_GB2312"/>
          <w:sz w:val="32"/>
          <w:szCs w:val="32"/>
        </w:rPr>
        <w:t xml:space="preserve">  申领烟草专卖零售许可证或申请办理烟草专卖零售许可证延续、变更时，申请人应当如实填报经营场所的信息，并对经营场所的合法性、真实性负责，应配合烟草专卖局执法人员对经营场所开展实地核查。</w:t>
      </w:r>
    </w:p>
    <w:p w14:paraId="54A991B7">
      <w:pPr>
        <w:spacing w:line="579" w:lineRule="exact"/>
        <w:rPr>
          <w:rFonts w:ascii="仿宋_GB2312" w:hAnsi="仿宋_GB2312" w:eastAsia="仿宋_GB2312" w:cs="仿宋_GB2312"/>
          <w:kern w:val="32"/>
          <w:sz w:val="32"/>
          <w:szCs w:val="32"/>
        </w:rPr>
      </w:pPr>
    </w:p>
    <w:p w14:paraId="527E86DB">
      <w:pPr>
        <w:spacing w:line="579" w:lineRule="exact"/>
        <w:rPr>
          <w:rFonts w:ascii="仿宋_GB2312" w:hAnsi="仿宋_GB2312" w:eastAsia="仿宋_GB2312" w:cs="仿宋_GB2312"/>
          <w:kern w:val="32"/>
          <w:sz w:val="32"/>
          <w:szCs w:val="32"/>
        </w:rPr>
      </w:pPr>
    </w:p>
    <w:p w14:paraId="70B7F400">
      <w:pPr>
        <w:spacing w:line="579" w:lineRule="exact"/>
        <w:rPr>
          <w:rFonts w:ascii="仿宋_GB2312" w:hAnsi="仿宋_GB2312" w:eastAsia="仿宋_GB2312" w:cs="仿宋_GB2312"/>
          <w:kern w:val="32"/>
          <w:sz w:val="32"/>
          <w:szCs w:val="32"/>
        </w:rPr>
      </w:pPr>
    </w:p>
    <w:p w14:paraId="0D58294D">
      <w:pPr>
        <w:spacing w:line="579" w:lineRule="exact"/>
        <w:rPr>
          <w:rFonts w:ascii="仿宋_GB2312" w:hAnsi="仿宋_GB2312" w:eastAsia="仿宋_GB2312" w:cs="仿宋_GB2312"/>
          <w:kern w:val="32"/>
          <w:sz w:val="32"/>
          <w:szCs w:val="32"/>
        </w:rPr>
      </w:pPr>
    </w:p>
    <w:p w14:paraId="4839449B">
      <w:pPr>
        <w:spacing w:line="579" w:lineRule="exact"/>
        <w:rPr>
          <w:rFonts w:ascii="仿宋_GB2312" w:hAnsi="仿宋_GB2312" w:eastAsia="仿宋_GB2312" w:cs="仿宋_GB2312"/>
          <w:kern w:val="32"/>
          <w:sz w:val="32"/>
          <w:szCs w:val="32"/>
        </w:rPr>
      </w:pPr>
    </w:p>
    <w:p w14:paraId="08F6C23A">
      <w:pPr>
        <w:spacing w:line="579" w:lineRule="exact"/>
        <w:rPr>
          <w:rFonts w:ascii="仿宋_GB2312" w:hAnsi="仿宋_GB2312" w:eastAsia="仿宋_GB2312" w:cs="仿宋_GB2312"/>
          <w:kern w:val="32"/>
          <w:sz w:val="32"/>
          <w:szCs w:val="32"/>
        </w:rPr>
      </w:pPr>
    </w:p>
    <w:p w14:paraId="21044225">
      <w:pPr>
        <w:spacing w:line="579" w:lineRule="exact"/>
        <w:rPr>
          <w:rFonts w:ascii="仿宋_GB2312" w:hAnsi="仿宋_GB2312" w:eastAsia="仿宋_GB2312" w:cs="仿宋_GB2312"/>
          <w:kern w:val="32"/>
          <w:sz w:val="32"/>
          <w:szCs w:val="32"/>
        </w:rPr>
      </w:pPr>
    </w:p>
    <w:p w14:paraId="52352809">
      <w:pPr>
        <w:spacing w:line="579" w:lineRule="exact"/>
        <w:rPr>
          <w:rFonts w:ascii="仿宋_GB2312" w:hAnsi="仿宋_GB2312" w:eastAsia="仿宋_GB2312" w:cs="仿宋_GB2312"/>
          <w:kern w:val="32"/>
          <w:sz w:val="32"/>
          <w:szCs w:val="32"/>
        </w:rPr>
      </w:pPr>
    </w:p>
    <w:p w14:paraId="63BB890A">
      <w:pPr>
        <w:spacing w:line="579" w:lineRule="exact"/>
        <w:rPr>
          <w:rFonts w:ascii="仿宋_GB2312" w:hAnsi="仿宋_GB2312" w:eastAsia="仿宋_GB2312" w:cs="仿宋_GB2312"/>
          <w:kern w:val="32"/>
          <w:sz w:val="32"/>
          <w:szCs w:val="32"/>
        </w:rPr>
      </w:pPr>
    </w:p>
    <w:p w14:paraId="76066E67">
      <w:pPr>
        <w:spacing w:line="579" w:lineRule="exact"/>
        <w:rPr>
          <w:rFonts w:ascii="仿宋_GB2312" w:hAnsi="仿宋_GB2312" w:eastAsia="仿宋_GB2312" w:cs="仿宋_GB2312"/>
          <w:kern w:val="32"/>
          <w:sz w:val="32"/>
          <w:szCs w:val="32"/>
        </w:rPr>
      </w:pPr>
    </w:p>
    <w:p w14:paraId="043419A7">
      <w:pPr>
        <w:spacing w:line="579" w:lineRule="exact"/>
        <w:rPr>
          <w:rFonts w:ascii="仿宋_GB2312" w:hAnsi="仿宋_GB2312" w:eastAsia="仿宋_GB2312" w:cs="仿宋_GB2312"/>
          <w:kern w:val="32"/>
          <w:sz w:val="32"/>
          <w:szCs w:val="32"/>
        </w:rPr>
      </w:pPr>
    </w:p>
    <w:p w14:paraId="2E0D829A">
      <w:pPr>
        <w:spacing w:line="579" w:lineRule="exact"/>
        <w:rPr>
          <w:rFonts w:ascii="仿宋_GB2312" w:hAnsi="仿宋_GB2312" w:eastAsia="仿宋_GB2312" w:cs="仿宋_GB2312"/>
          <w:kern w:val="32"/>
          <w:sz w:val="32"/>
          <w:szCs w:val="32"/>
        </w:rPr>
      </w:pPr>
    </w:p>
    <w:p w14:paraId="33BACC77">
      <w:pPr>
        <w:spacing w:line="579" w:lineRule="exact"/>
        <w:rPr>
          <w:rFonts w:ascii="仿宋_GB2312" w:hAnsi="仿宋_GB2312" w:eastAsia="仿宋_GB2312" w:cs="仿宋_GB2312"/>
          <w:kern w:val="32"/>
          <w:sz w:val="32"/>
          <w:szCs w:val="32"/>
        </w:rPr>
      </w:pPr>
    </w:p>
    <w:p w14:paraId="0B2825F5">
      <w:pPr>
        <w:spacing w:line="579" w:lineRule="exact"/>
        <w:rPr>
          <w:rFonts w:ascii="仿宋_GB2312" w:hAnsi="仿宋_GB2312" w:eastAsia="仿宋_GB2312" w:cs="仿宋_GB2312"/>
          <w:kern w:val="32"/>
          <w:sz w:val="32"/>
          <w:szCs w:val="32"/>
        </w:rPr>
      </w:pPr>
    </w:p>
    <w:p w14:paraId="1FA0BAB3">
      <w:pPr>
        <w:spacing w:line="579" w:lineRule="exact"/>
        <w:rPr>
          <w:rFonts w:ascii="仿宋_GB2312" w:hAnsi="仿宋_GB2312" w:eastAsia="仿宋_GB2312" w:cs="仿宋_GB2312"/>
          <w:kern w:val="32"/>
          <w:sz w:val="32"/>
          <w:szCs w:val="32"/>
        </w:rPr>
      </w:pPr>
    </w:p>
    <w:p w14:paraId="1E9FC1AE">
      <w:pPr>
        <w:spacing w:line="579" w:lineRule="exact"/>
        <w:rPr>
          <w:rFonts w:ascii="仿宋_GB2312" w:hAnsi="仿宋_GB2312" w:eastAsia="仿宋_GB2312" w:cs="仿宋_GB2312"/>
          <w:kern w:val="32"/>
          <w:sz w:val="32"/>
          <w:szCs w:val="32"/>
        </w:rPr>
      </w:pPr>
    </w:p>
    <w:p w14:paraId="15A506CA">
      <w:pPr>
        <w:spacing w:line="579" w:lineRule="exact"/>
        <w:rPr>
          <w:rFonts w:ascii="仿宋_GB2312" w:hAnsi="仿宋_GB2312" w:eastAsia="仿宋_GB2312" w:cs="仿宋_GB2312"/>
          <w:kern w:val="32"/>
          <w:sz w:val="32"/>
          <w:szCs w:val="32"/>
        </w:rPr>
      </w:pPr>
    </w:p>
    <w:p w14:paraId="35CF4B17">
      <w:pPr>
        <w:spacing w:line="579" w:lineRule="exact"/>
        <w:rPr>
          <w:rFonts w:ascii="仿宋_GB2312" w:hAnsi="仿宋_GB2312" w:eastAsia="仿宋_GB2312" w:cs="仿宋_GB2312"/>
          <w:kern w:val="32"/>
          <w:sz w:val="32"/>
          <w:szCs w:val="32"/>
        </w:rPr>
      </w:pPr>
    </w:p>
    <w:p w14:paraId="5041E243">
      <w:pPr>
        <w:spacing w:line="579" w:lineRule="exact"/>
        <w:rPr>
          <w:rFonts w:ascii="仿宋_GB2312" w:hAnsi="仿宋_GB2312" w:eastAsia="仿宋_GB2312" w:cs="仿宋_GB2312"/>
          <w:kern w:val="32"/>
          <w:sz w:val="32"/>
          <w:szCs w:val="32"/>
        </w:rPr>
      </w:pPr>
    </w:p>
    <w:p w14:paraId="23ACCEE1">
      <w:pPr>
        <w:spacing w:line="579" w:lineRule="exact"/>
        <w:rPr>
          <w:rFonts w:ascii="仿宋_GB2312" w:hAnsi="仿宋_GB2312" w:eastAsia="仿宋_GB2312" w:cs="仿宋_GB2312"/>
          <w:kern w:val="32"/>
          <w:sz w:val="32"/>
          <w:szCs w:val="32"/>
        </w:rPr>
      </w:pPr>
    </w:p>
    <w:p w14:paraId="73424BFF">
      <w:pPr>
        <w:spacing w:line="579" w:lineRule="exact"/>
        <w:rPr>
          <w:rFonts w:ascii="黑体" w:hAnsi="黑体" w:eastAsia="黑体" w:cs="仿宋_GB2312"/>
          <w:kern w:val="32"/>
          <w:sz w:val="32"/>
          <w:szCs w:val="32"/>
        </w:rPr>
      </w:pPr>
      <w:r>
        <w:rPr>
          <w:rFonts w:hint="eastAsia" w:ascii="黑体" w:hAnsi="黑体" w:eastAsia="黑体" w:cs="仿宋_GB2312"/>
          <w:kern w:val="32"/>
          <w:sz w:val="32"/>
          <w:szCs w:val="32"/>
        </w:rPr>
        <w:t>附件</w:t>
      </w:r>
      <w:r>
        <w:rPr>
          <w:rFonts w:ascii="黑体" w:hAnsi="黑体" w:eastAsia="黑体" w:cs="仿宋_GB2312"/>
          <w:kern w:val="32"/>
          <w:sz w:val="32"/>
          <w:szCs w:val="32"/>
        </w:rPr>
        <w:t>4</w:t>
      </w:r>
    </w:p>
    <w:p w14:paraId="33ACFC17">
      <w:pPr>
        <w:spacing w:line="579" w:lineRule="exact"/>
        <w:rPr>
          <w:rFonts w:ascii="仿宋_GB2312" w:hAnsi="仿宋_GB2312" w:eastAsia="仿宋_GB2312" w:cs="仿宋_GB2312"/>
          <w:sz w:val="32"/>
          <w:szCs w:val="32"/>
        </w:rPr>
      </w:pPr>
    </w:p>
    <w:p w14:paraId="44733582">
      <w:pPr>
        <w:spacing w:line="579" w:lineRule="exact"/>
        <w:jc w:val="center"/>
        <w:rPr>
          <w:rFonts w:ascii="方正小标宋简体" w:hAnsi="方正公文小标宋" w:eastAsia="方正小标宋简体" w:cs="方正公文小标宋"/>
          <w:sz w:val="44"/>
          <w:szCs w:val="44"/>
        </w:rPr>
      </w:pPr>
      <w:r>
        <w:rPr>
          <w:rFonts w:hint="eastAsia" w:ascii="方正小标宋简体" w:hAnsi="方正公文小标宋" w:eastAsia="方正小标宋简体" w:cs="方正公文小标宋"/>
          <w:sz w:val="44"/>
          <w:szCs w:val="44"/>
        </w:rPr>
        <w:t>赤壁市烟草制品零售点间距勘验标准</w:t>
      </w:r>
    </w:p>
    <w:p w14:paraId="606CF406">
      <w:pPr>
        <w:spacing w:line="579" w:lineRule="exact"/>
        <w:ind w:firstLine="640" w:firstLineChars="200"/>
        <w:rPr>
          <w:rFonts w:ascii="仿宋_GB2312" w:hAnsi="仿宋_GB2312" w:eastAsia="仿宋_GB2312" w:cs="仿宋_GB2312"/>
          <w:sz w:val="32"/>
          <w:szCs w:val="32"/>
        </w:rPr>
      </w:pPr>
    </w:p>
    <w:p w14:paraId="6A425F16">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为统一规范烟草制品零售点（以下简称零售点）间距的实地测量标准，确保零售点勘验公开、公平、公正，依据《赤壁市烟草制品零售点合理布局规定》，制定本标准。</w:t>
      </w:r>
    </w:p>
    <w:p w14:paraId="17CD8BC3">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第一条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本标准适用于赤壁市辖区内烟草制品零售点间距的实地测量。</w:t>
      </w:r>
    </w:p>
    <w:p w14:paraId="50474CA9">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第二条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sz w:val="32"/>
          <w:szCs w:val="32"/>
        </w:rPr>
        <w:t>根据《赤壁市烟草制品零售点合理布局规定》第二十二条，零售点间距是指两点之间行人可正常通行的最短距离。</w:t>
      </w:r>
    </w:p>
    <w:p w14:paraId="76336020">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间距测量按照行人不违反交通管理规定、正常行走的最短路径进行测量。行人通行应遵守《中华人民共和国道路交通安全法》第六十一条、第六十二条、《中华人民共和国道路交通安全法实施条例》第七十五条规定，测量时应按直行通过计算距离。</w:t>
      </w:r>
    </w:p>
    <w:p w14:paraId="62BAFED4">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间距距离使用符合国家认证标准的测量工具进行测量。</w:t>
      </w:r>
    </w:p>
    <w:p w14:paraId="2DFB4EE3">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间距测量标准应当遵循基本标准，基本标准包括基本测量标准、起点终点测量标准、免除测量标准。</w:t>
      </w:r>
    </w:p>
    <w:p w14:paraId="530AC634">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（一）基本测量标准：相邻两个零售点之间的距离，按行人正常通行的最短路线测量。行人正常通行的道路包括城市规划道路和非城市规划但允许行人通行的道路。</w:t>
      </w:r>
    </w:p>
    <w:p w14:paraId="2E22E5DE">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（二）起点终点测量标准：以相邻两个零售点最近的出入口的中心位置作为距离测量的起点和终点。</w:t>
      </w:r>
    </w:p>
    <w:p w14:paraId="1F1C7249">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（三）免除测量标准：对非完全隔离道路障碍物的绕行路线不计算在测量距离内。</w:t>
      </w:r>
    </w:p>
    <w:p w14:paraId="16D3967A">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第三条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完全隔离道路障碍物包括政府行政管理部门依职能设置或者其他单位、组织或个人经相关职能部门批准设置的相对固定的障碍物，包括但不限于行人隔离带（栏）、道路护栏、道路固定花圃等。道路标线不视为完全隔离道路障碍物。</w:t>
      </w:r>
    </w:p>
    <w:p w14:paraId="0CBCF247">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非完全隔离道路障碍物指上述完全隔离道路障碍物之外的其他障碍物，包括但不限于临时设置的安全设施，临时放置的建筑材料、物品，临时性摆放的可移动的花圃、临时堆放的杂物或土堆，擅自设立、建造的建筑、围栏等物体。</w:t>
      </w:r>
    </w:p>
    <w:p w14:paraId="08BBACFE">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因阶段性施工影响通行不视为完全隔离道路障碍物情形。</w:t>
      </w:r>
    </w:p>
    <w:p w14:paraId="29E53AED">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第四条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间距测量由两名以上（含两名）专卖执法人员完成，测量时应邀请申请人全程在场，测量过程用执法记录仪全程记录，并制作现场勘验表和全程视频音频记录。</w:t>
      </w:r>
    </w:p>
    <w:p w14:paraId="3F709D54">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第五条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间距距离使用测量工具进行测量，测量结果在零售点设置合格值正负</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范围以内，应邀请利害关系人（相邻最近零售点持证人）现场见证，申请人或利害关系人提出复核的，由测量单位法制监督部门参与进行二次勘验。</w:t>
      </w:r>
    </w:p>
    <w:p w14:paraId="0C076877">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第六条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零售点相互间距距离按以下规则测量：</w:t>
      </w:r>
    </w:p>
    <w:p w14:paraId="6B445B0F">
      <w:pPr>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（一）申请的零售点与相邻最近的零售点在道路同侧的，测量</w:t>
      </w:r>
      <w:r>
        <w:rPr>
          <w:rFonts w:hint="eastAsia" w:ascii="仿宋_GB2312" w:hAnsi="仿宋_GB2312" w:eastAsia="仿宋_GB2312" w:cs="仿宋_GB2312"/>
          <w:kern w:val="0"/>
          <w:sz w:val="32"/>
          <w:szCs w:val="32"/>
        </w:rPr>
        <w:t>最短直线路线距离。（如图</w:t>
      </w:r>
      <w:r>
        <w:rPr>
          <w:rFonts w:ascii="仿宋_GB2312" w:hAnsi="仿宋_GB2312" w:eastAsia="仿宋_GB2312" w:cs="仿宋_GB2312"/>
          <w:kern w:val="0"/>
          <w:sz w:val="32"/>
          <w:szCs w:val="32"/>
        </w:rPr>
        <w:t>1</w:t>
      </w:r>
      <w:r>
        <w:rPr>
          <w:rFonts w:hint="eastAsia" w:ascii="仿宋_GB2312" w:hAnsi="仿宋_GB2312" w:eastAsia="仿宋_GB2312" w:cs="仿宋_GB2312"/>
          <w:kern w:val="0"/>
          <w:sz w:val="32"/>
          <w:szCs w:val="32"/>
        </w:rPr>
        <w:t>所示）</w:t>
      </w:r>
    </w:p>
    <w:p w14:paraId="26AE6485">
      <w:pPr>
        <w:rPr>
          <w:rFonts w:ascii="仿宋_GB2312" w:hAnsi="仿宋_GB2312" w:eastAsia="仿宋_GB2312" w:cs="仿宋_GB2312"/>
          <w:kern w:val="0"/>
          <w:sz w:val="32"/>
          <w:szCs w:val="32"/>
        </w:rPr>
      </w:pPr>
      <w:r>
        <w:rPr>
          <w:rFonts w:ascii="仿宋_GB2312" w:hAnsi="仿宋_GB2312" w:eastAsia="仿宋_GB2312" w:cs="仿宋_GB2312"/>
          <w:kern w:val="0"/>
          <w:sz w:val="32"/>
          <w:szCs w:val="32"/>
        </w:rPr>
        <w:drawing>
          <wp:inline distT="0" distB="0" distL="114300" distR="114300">
            <wp:extent cx="5562600" cy="3057525"/>
            <wp:effectExtent l="0" t="0" r="0" b="9525"/>
            <wp:docPr id="1" name="图片 25"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图1"/>
                    <pic:cNvPicPr>
                      <a:picLocks noChangeAspect="1"/>
                    </pic:cNvPicPr>
                  </pic:nvPicPr>
                  <pic:blipFill>
                    <a:blip r:embed="rId6"/>
                    <a:stretch>
                      <a:fillRect/>
                    </a:stretch>
                  </pic:blipFill>
                  <pic:spPr>
                    <a:xfrm>
                      <a:off x="0" y="0"/>
                      <a:ext cx="5562600" cy="3057525"/>
                    </a:xfrm>
                    <a:prstGeom prst="rect">
                      <a:avLst/>
                    </a:prstGeom>
                    <a:noFill/>
                    <a:ln>
                      <a:noFill/>
                    </a:ln>
                  </pic:spPr>
                </pic:pic>
              </a:graphicData>
            </a:graphic>
          </wp:inline>
        </w:drawing>
      </w:r>
    </w:p>
    <w:p w14:paraId="0B91A3FF">
      <w:pPr>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（图</w:t>
      </w:r>
      <w:r>
        <w:rPr>
          <w:rFonts w:ascii="仿宋_GB2312" w:hAnsi="仿宋_GB2312" w:eastAsia="仿宋_GB2312" w:cs="仿宋_GB2312"/>
          <w:kern w:val="0"/>
          <w:sz w:val="32"/>
          <w:szCs w:val="32"/>
        </w:rPr>
        <w:t>1</w:t>
      </w:r>
      <w:r>
        <w:rPr>
          <w:rFonts w:hint="eastAsia" w:ascii="仿宋_GB2312" w:hAnsi="仿宋_GB2312" w:eastAsia="仿宋_GB2312" w:cs="仿宋_GB2312"/>
          <w:kern w:val="0"/>
          <w:sz w:val="32"/>
          <w:szCs w:val="32"/>
        </w:rPr>
        <w:t>）</w:t>
      </w:r>
    </w:p>
    <w:p w14:paraId="3A781190">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（二）申请点与参照零售点不在道路同侧的，道路中间无物理隔离：</w:t>
      </w:r>
    </w:p>
    <w:p w14:paraId="0A6695D1">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情形</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：申请点或最近零售点经营场所门前为只允许行人通行的人行道的，按直线路线分段测量。道路有人行横道，申请点与人行横道的距离不超过</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米的，应该经过人行横道、从人行横道最靠近申请点一侧进行测量（如图</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所示）；申请点与人行横道的距离超过</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米的，测量路径无需经过人行横道（如图</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所示）。</w:t>
      </w:r>
    </w:p>
    <w:p w14:paraId="04981C7E">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562600" cy="3390900"/>
            <wp:effectExtent l="0" t="0" r="0" b="0"/>
            <wp:docPr id="2" name="图片 26"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descr="图2"/>
                    <pic:cNvPicPr>
                      <a:picLocks noChangeAspect="1"/>
                    </pic:cNvPicPr>
                  </pic:nvPicPr>
                  <pic:blipFill>
                    <a:blip r:embed="rId7"/>
                    <a:stretch>
                      <a:fillRect/>
                    </a:stretch>
                  </pic:blipFill>
                  <pic:spPr>
                    <a:xfrm>
                      <a:off x="0" y="0"/>
                      <a:ext cx="5562600" cy="3390900"/>
                    </a:xfrm>
                    <a:prstGeom prst="rect">
                      <a:avLst/>
                    </a:prstGeom>
                    <a:noFill/>
                    <a:ln>
                      <a:noFill/>
                    </a:ln>
                  </pic:spPr>
                </pic:pic>
              </a:graphicData>
            </a:graphic>
          </wp:inline>
        </w:drawing>
      </w:r>
      <w:r>
        <w:rPr>
          <w:rFonts w:hint="eastAsia" w:ascii="仿宋_GB2312" w:hAnsi="仿宋_GB2312" w:eastAsia="仿宋_GB2312" w:cs="仿宋_GB2312"/>
          <w:sz w:val="32"/>
          <w:szCs w:val="32"/>
        </w:rPr>
        <w:t>（图</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p>
    <w:p w14:paraId="445E3B1B">
      <w:pPr>
        <w:adjustRightInd w:val="0"/>
        <w:snapToGrid w:val="0"/>
        <w:jc w:val="center"/>
        <w:rPr>
          <w:rFonts w:ascii="仿宋_GB2312" w:hAnsi="仿宋_GB2312" w:eastAsia="仿宋_GB2312" w:cs="仿宋_GB2312"/>
          <w:sz w:val="32"/>
          <w:szCs w:val="32"/>
        </w:rPr>
      </w:pPr>
    </w:p>
    <w:p w14:paraId="2AC1837A">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562600" cy="3467100"/>
            <wp:effectExtent l="0" t="0" r="0" b="0"/>
            <wp:docPr id="3" name="图片 27"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图3"/>
                    <pic:cNvPicPr>
                      <a:picLocks noChangeAspect="1"/>
                    </pic:cNvPicPr>
                  </pic:nvPicPr>
                  <pic:blipFill>
                    <a:blip r:embed="rId8"/>
                    <a:stretch>
                      <a:fillRect/>
                    </a:stretch>
                  </pic:blipFill>
                  <pic:spPr>
                    <a:xfrm>
                      <a:off x="0" y="0"/>
                      <a:ext cx="5562600" cy="3467100"/>
                    </a:xfrm>
                    <a:prstGeom prst="rect">
                      <a:avLst/>
                    </a:prstGeom>
                    <a:noFill/>
                    <a:ln>
                      <a:noFill/>
                    </a:ln>
                  </pic:spPr>
                </pic:pic>
              </a:graphicData>
            </a:graphic>
          </wp:inline>
        </w:drawing>
      </w:r>
    </w:p>
    <w:p w14:paraId="533E730D">
      <w:pPr>
        <w:adjustRightInd w:val="0"/>
        <w:snapToGrid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p>
    <w:p w14:paraId="79FFE1C2">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情形</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：申请点或最近零售点经营场所门前为允许行人、机动车辆通行的人行道的，测量按直角线路分段测量。道路有人行横道，且申请点与人行横道的距离不超过</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米的，应该经过人行横道、从人行横道最靠近申请点一侧进行测量（如图</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所示）；申请点与人行横道的距离超过</w:t>
      </w:r>
      <w:r>
        <w:rPr>
          <w:rFonts w:ascii="仿宋_GB2312" w:hAnsi="仿宋_GB2312" w:eastAsia="仿宋_GB2312" w:cs="仿宋_GB2312"/>
          <w:sz w:val="32"/>
          <w:szCs w:val="32"/>
        </w:rPr>
        <w:t>50</w:t>
      </w:r>
      <w:r>
        <w:rPr>
          <w:rFonts w:hint="eastAsia" w:ascii="仿宋_GB2312" w:hAnsi="仿宋_GB2312" w:eastAsia="仿宋_GB2312" w:cs="仿宋_GB2312"/>
          <w:sz w:val="32"/>
          <w:szCs w:val="32"/>
        </w:rPr>
        <w:t>米的，测量路径无需经过人行横道（如图</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所示）。</w:t>
      </w:r>
    </w:p>
    <w:p w14:paraId="7D44F4EA">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457825" cy="3638550"/>
            <wp:effectExtent l="0" t="0" r="9525" b="0"/>
            <wp:docPr id="4" name="图片 28"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图4"/>
                    <pic:cNvPicPr>
                      <a:picLocks noChangeAspect="1"/>
                    </pic:cNvPicPr>
                  </pic:nvPicPr>
                  <pic:blipFill>
                    <a:blip r:embed="rId9"/>
                    <a:stretch>
                      <a:fillRect/>
                    </a:stretch>
                  </pic:blipFill>
                  <pic:spPr>
                    <a:xfrm>
                      <a:off x="0" y="0"/>
                      <a:ext cx="5457825" cy="3638550"/>
                    </a:xfrm>
                    <a:prstGeom prst="rect">
                      <a:avLst/>
                    </a:prstGeom>
                    <a:noFill/>
                    <a:ln>
                      <a:noFill/>
                    </a:ln>
                  </pic:spPr>
                </pic:pic>
              </a:graphicData>
            </a:graphic>
          </wp:inline>
        </w:drawing>
      </w:r>
      <w:r>
        <w:rPr>
          <w:rFonts w:hint="eastAsia" w:ascii="仿宋_GB2312" w:hAnsi="仿宋_GB2312" w:eastAsia="仿宋_GB2312" w:cs="仿宋_GB2312"/>
          <w:sz w:val="32"/>
          <w:szCs w:val="32"/>
        </w:rPr>
        <w:t>（图</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w:t>
      </w:r>
    </w:p>
    <w:p w14:paraId="55706B89">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095875" cy="3228975"/>
            <wp:effectExtent l="0" t="0" r="9525" b="9525"/>
            <wp:docPr id="5" name="图片 29"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descr="图5"/>
                    <pic:cNvPicPr>
                      <a:picLocks noChangeAspect="1"/>
                    </pic:cNvPicPr>
                  </pic:nvPicPr>
                  <pic:blipFill>
                    <a:blip r:embed="rId10"/>
                    <a:stretch>
                      <a:fillRect/>
                    </a:stretch>
                  </pic:blipFill>
                  <pic:spPr>
                    <a:xfrm>
                      <a:off x="0" y="0"/>
                      <a:ext cx="5095875" cy="3228975"/>
                    </a:xfrm>
                    <a:prstGeom prst="rect">
                      <a:avLst/>
                    </a:prstGeom>
                    <a:noFill/>
                    <a:ln>
                      <a:noFill/>
                    </a:ln>
                  </pic:spPr>
                </pic:pic>
              </a:graphicData>
            </a:graphic>
          </wp:inline>
        </w:drawing>
      </w:r>
    </w:p>
    <w:p w14:paraId="2C755236">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w:t>
      </w:r>
    </w:p>
    <w:p w14:paraId="0D2D5A42">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（三）申请点与参照零售点不在道路同侧、且道路中间有完全隔离道路障碍物的：</w:t>
      </w:r>
    </w:p>
    <w:p w14:paraId="390CFCFD">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情形</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：申请点或最近零售点经营场所门前为只允许行人通行的人行道的，按直线路线分段测量。（如图</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所示）</w:t>
      </w:r>
    </w:p>
    <w:p w14:paraId="6C1DC246">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314950" cy="2933700"/>
            <wp:effectExtent l="0" t="0" r="0" b="0"/>
            <wp:docPr id="6" name="图片 6" descr="企业微信截图_172256745721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微信截图_1722567457210_副本"/>
                    <pic:cNvPicPr>
                      <a:picLocks noChangeAspect="1"/>
                    </pic:cNvPicPr>
                  </pic:nvPicPr>
                  <pic:blipFill>
                    <a:blip r:embed="rId11"/>
                    <a:stretch>
                      <a:fillRect/>
                    </a:stretch>
                  </pic:blipFill>
                  <pic:spPr>
                    <a:xfrm>
                      <a:off x="0" y="0"/>
                      <a:ext cx="5314950" cy="2933700"/>
                    </a:xfrm>
                    <a:prstGeom prst="rect">
                      <a:avLst/>
                    </a:prstGeom>
                    <a:noFill/>
                    <a:ln>
                      <a:noFill/>
                    </a:ln>
                  </pic:spPr>
                </pic:pic>
              </a:graphicData>
            </a:graphic>
          </wp:inline>
        </w:drawing>
      </w:r>
    </w:p>
    <w:p w14:paraId="5297FF1E">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w:t>
      </w:r>
    </w:p>
    <w:p w14:paraId="2A72CCFA">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情形</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：申请点或最近零售点经营场所门前为允许行人、机动车辆通行的人行道的，测量按直角线路分段测量。（如图</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所示）</w:t>
      </w:r>
    </w:p>
    <w:p w14:paraId="6602265A">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391150" cy="3200400"/>
            <wp:effectExtent l="0" t="0" r="0" b="0"/>
            <wp:docPr id="7" name="图片 7" descr="企业微信截图_1722567485248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企业微信截图_17225674852486_副本"/>
                    <pic:cNvPicPr>
                      <a:picLocks noChangeAspect="1"/>
                    </pic:cNvPicPr>
                  </pic:nvPicPr>
                  <pic:blipFill>
                    <a:blip r:embed="rId12"/>
                    <a:stretch>
                      <a:fillRect/>
                    </a:stretch>
                  </pic:blipFill>
                  <pic:spPr>
                    <a:xfrm>
                      <a:off x="0" y="0"/>
                      <a:ext cx="5391150" cy="3200400"/>
                    </a:xfrm>
                    <a:prstGeom prst="rect">
                      <a:avLst/>
                    </a:prstGeom>
                    <a:noFill/>
                    <a:ln>
                      <a:noFill/>
                    </a:ln>
                  </pic:spPr>
                </pic:pic>
              </a:graphicData>
            </a:graphic>
          </wp:inline>
        </w:drawing>
      </w:r>
      <w:r>
        <w:rPr>
          <w:rFonts w:hint="eastAsia" w:ascii="仿宋_GB2312" w:hAnsi="仿宋_GB2312" w:eastAsia="仿宋_GB2312" w:cs="仿宋_GB2312"/>
          <w:sz w:val="32"/>
          <w:szCs w:val="32"/>
        </w:rPr>
        <w:t>（图</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w:t>
      </w:r>
    </w:p>
    <w:p w14:paraId="12625135">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（四）测量申请点与参照零售点距离的路线中，含有直角或圆角或弧形路线的，应按贴近墙角的行人正常通行最短路线测量距离：</w:t>
      </w:r>
    </w:p>
    <w:p w14:paraId="1CAF353F">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情形</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：路线存在转角为直角的，如图</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所示</w:t>
      </w:r>
    </w:p>
    <w:p w14:paraId="2D745156">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00650" cy="2886075"/>
            <wp:effectExtent l="0" t="0" r="0" b="9525"/>
            <wp:docPr id="8" name="图片 32"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图8"/>
                    <pic:cNvPicPr>
                      <a:picLocks noChangeAspect="1"/>
                    </pic:cNvPicPr>
                  </pic:nvPicPr>
                  <pic:blipFill>
                    <a:blip r:embed="rId13"/>
                    <a:stretch>
                      <a:fillRect/>
                    </a:stretch>
                  </pic:blipFill>
                  <pic:spPr>
                    <a:xfrm>
                      <a:off x="0" y="0"/>
                      <a:ext cx="5200650" cy="2886075"/>
                    </a:xfrm>
                    <a:prstGeom prst="rect">
                      <a:avLst/>
                    </a:prstGeom>
                    <a:noFill/>
                    <a:ln>
                      <a:noFill/>
                    </a:ln>
                  </pic:spPr>
                </pic:pic>
              </a:graphicData>
            </a:graphic>
          </wp:inline>
        </w:drawing>
      </w:r>
    </w:p>
    <w:p w14:paraId="2AEAA452">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w:t>
      </w:r>
    </w:p>
    <w:p w14:paraId="0019EF2B">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情形</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：路线存在转角为圆角或弧形路线的，如图</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所示</w:t>
      </w:r>
    </w:p>
    <w:p w14:paraId="3568F73B">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29225" cy="3200400"/>
            <wp:effectExtent l="0" t="0" r="9525" b="0"/>
            <wp:docPr id="9" name="图片 33"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descr="图9"/>
                    <pic:cNvPicPr>
                      <a:picLocks noChangeAspect="1"/>
                    </pic:cNvPicPr>
                  </pic:nvPicPr>
                  <pic:blipFill>
                    <a:blip r:embed="rId14"/>
                    <a:stretch>
                      <a:fillRect/>
                    </a:stretch>
                  </pic:blipFill>
                  <pic:spPr>
                    <a:xfrm>
                      <a:off x="0" y="0"/>
                      <a:ext cx="5229225" cy="3200400"/>
                    </a:xfrm>
                    <a:prstGeom prst="rect">
                      <a:avLst/>
                    </a:prstGeom>
                    <a:noFill/>
                    <a:ln>
                      <a:noFill/>
                    </a:ln>
                  </pic:spPr>
                </pic:pic>
              </a:graphicData>
            </a:graphic>
          </wp:inline>
        </w:drawing>
      </w:r>
    </w:p>
    <w:p w14:paraId="7C4656DA">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w:t>
      </w:r>
    </w:p>
    <w:p w14:paraId="622608FB">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（五）申请点与参照零售点属前后楼房的，后门也用于正常营业且可供消费者正常出入的，按后门行人正常通行最短路线测量距离。（如图</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所示）</w:t>
      </w:r>
    </w:p>
    <w:p w14:paraId="31D8A4EE">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7325" cy="2752725"/>
            <wp:effectExtent l="0" t="0" r="9525" b="9525"/>
            <wp:docPr id="10" name="图片 34"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descr="图10"/>
                    <pic:cNvPicPr>
                      <a:picLocks noChangeAspect="1"/>
                    </pic:cNvPicPr>
                  </pic:nvPicPr>
                  <pic:blipFill>
                    <a:blip r:embed="rId15"/>
                    <a:stretch>
                      <a:fillRect/>
                    </a:stretch>
                  </pic:blipFill>
                  <pic:spPr>
                    <a:xfrm>
                      <a:off x="0" y="0"/>
                      <a:ext cx="5267325" cy="2752725"/>
                    </a:xfrm>
                    <a:prstGeom prst="rect">
                      <a:avLst/>
                    </a:prstGeom>
                    <a:noFill/>
                    <a:ln>
                      <a:noFill/>
                    </a:ln>
                  </pic:spPr>
                </pic:pic>
              </a:graphicData>
            </a:graphic>
          </wp:inline>
        </w:drawing>
      </w:r>
    </w:p>
    <w:p w14:paraId="3C6C8AD9">
      <w:pPr>
        <w:adjustRightInd w:val="0"/>
        <w:snapToGrid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w:t>
      </w:r>
    </w:p>
    <w:p w14:paraId="35931FF0">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（六）申请点或参照点有多个门口用于正常营业且可供消费者正常出入的，以相邻最近的两个正常营业出入口的中心位置作为测量起点和终点测量距离。（如图</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所示）</w:t>
      </w:r>
    </w:p>
    <w:p w14:paraId="5459D685">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57800" cy="2295525"/>
            <wp:effectExtent l="0" t="0" r="0" b="9525"/>
            <wp:docPr id="11" name="图片 35"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图11"/>
                    <pic:cNvPicPr>
                      <a:picLocks noChangeAspect="1"/>
                    </pic:cNvPicPr>
                  </pic:nvPicPr>
                  <pic:blipFill>
                    <a:blip r:embed="rId16"/>
                    <a:stretch>
                      <a:fillRect/>
                    </a:stretch>
                  </pic:blipFill>
                  <pic:spPr>
                    <a:xfrm>
                      <a:off x="0" y="0"/>
                      <a:ext cx="5257800" cy="2295525"/>
                    </a:xfrm>
                    <a:prstGeom prst="rect">
                      <a:avLst/>
                    </a:prstGeom>
                    <a:noFill/>
                    <a:ln>
                      <a:noFill/>
                    </a:ln>
                  </pic:spPr>
                </pic:pic>
              </a:graphicData>
            </a:graphic>
          </wp:inline>
        </w:drawing>
      </w:r>
    </w:p>
    <w:p w14:paraId="1B5672E1">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w:t>
      </w:r>
    </w:p>
    <w:p w14:paraId="02DA9946">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（七）申请点与参照零售点的位置位于道路两侧、且道路没有区分机动车道、非机动车道、人行道的，按行人正常通行最短路线测量距离。（如图</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所示）</w:t>
      </w:r>
    </w:p>
    <w:p w14:paraId="5BFB98C3">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562600" cy="3238500"/>
            <wp:effectExtent l="0" t="0" r="0" b="0"/>
            <wp:docPr id="12" name="图片 36"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descr="图12"/>
                    <pic:cNvPicPr>
                      <a:picLocks noChangeAspect="1"/>
                    </pic:cNvPicPr>
                  </pic:nvPicPr>
                  <pic:blipFill>
                    <a:blip r:embed="rId17"/>
                    <a:stretch>
                      <a:fillRect/>
                    </a:stretch>
                  </pic:blipFill>
                  <pic:spPr>
                    <a:xfrm>
                      <a:off x="0" y="0"/>
                      <a:ext cx="5562600" cy="3238500"/>
                    </a:xfrm>
                    <a:prstGeom prst="rect">
                      <a:avLst/>
                    </a:prstGeom>
                    <a:noFill/>
                    <a:ln>
                      <a:noFill/>
                    </a:ln>
                  </pic:spPr>
                </pic:pic>
              </a:graphicData>
            </a:graphic>
          </wp:inline>
        </w:drawing>
      </w: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w:t>
      </w:r>
    </w:p>
    <w:p w14:paraId="6CF4C215">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（八）申请点位置位于十字路口且与参照零售点呈对角的，以相邻最近的两个正常营业出入口的中心位置作为测量起点和终点测量距离。（如图</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所示）</w:t>
      </w:r>
    </w:p>
    <w:p w14:paraId="002275DD">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562600" cy="3133725"/>
            <wp:effectExtent l="0" t="0" r="0" b="9525"/>
            <wp:docPr id="13" name="图片 37"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图13"/>
                    <pic:cNvPicPr>
                      <a:picLocks noChangeAspect="1"/>
                    </pic:cNvPicPr>
                  </pic:nvPicPr>
                  <pic:blipFill>
                    <a:blip r:embed="rId18"/>
                    <a:stretch>
                      <a:fillRect/>
                    </a:stretch>
                  </pic:blipFill>
                  <pic:spPr>
                    <a:xfrm>
                      <a:off x="0" y="0"/>
                      <a:ext cx="5562600" cy="3133725"/>
                    </a:xfrm>
                    <a:prstGeom prst="rect">
                      <a:avLst/>
                    </a:prstGeom>
                    <a:noFill/>
                    <a:ln>
                      <a:noFill/>
                    </a:ln>
                  </pic:spPr>
                </pic:pic>
              </a:graphicData>
            </a:graphic>
          </wp:inline>
        </w:drawing>
      </w: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w:t>
      </w:r>
    </w:p>
    <w:p w14:paraId="2BB2E1A8">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（九）申请点位置位于十字路口且与参照零售点之间有红绿灯有人行横道的，按行人可正常通行最短路线测量距离。（如图</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所示）</w:t>
      </w:r>
    </w:p>
    <w:p w14:paraId="5B2ECA4D">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010150" cy="2400300"/>
            <wp:effectExtent l="0" t="0" r="0" b="0"/>
            <wp:docPr id="14" name="图片 38"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descr="图14"/>
                    <pic:cNvPicPr>
                      <a:picLocks noChangeAspect="1"/>
                    </pic:cNvPicPr>
                  </pic:nvPicPr>
                  <pic:blipFill>
                    <a:blip r:embed="rId19"/>
                    <a:stretch>
                      <a:fillRect/>
                    </a:stretch>
                  </pic:blipFill>
                  <pic:spPr>
                    <a:xfrm>
                      <a:off x="0" y="0"/>
                      <a:ext cx="5010150" cy="2400300"/>
                    </a:xfrm>
                    <a:prstGeom prst="rect">
                      <a:avLst/>
                    </a:prstGeom>
                    <a:noFill/>
                    <a:ln>
                      <a:noFill/>
                    </a:ln>
                  </pic:spPr>
                </pic:pic>
              </a:graphicData>
            </a:graphic>
          </wp:inline>
        </w:drawing>
      </w:r>
    </w:p>
    <w:p w14:paraId="5E2B9033">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w:t>
      </w:r>
    </w:p>
    <w:p w14:paraId="1659FCBC">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（十）申请点与参照零售点之间，有障碍物或隔河相望的，应沿行人正常通行的最短路线测量距离。（如图</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所示）</w:t>
      </w:r>
    </w:p>
    <w:p w14:paraId="09F0EF98">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029200" cy="3333750"/>
            <wp:effectExtent l="0" t="0" r="0" b="0"/>
            <wp:docPr id="15" name="图片 39" descr="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descr="图15"/>
                    <pic:cNvPicPr>
                      <a:picLocks noChangeAspect="1"/>
                    </pic:cNvPicPr>
                  </pic:nvPicPr>
                  <pic:blipFill>
                    <a:blip r:embed="rId20"/>
                    <a:stretch>
                      <a:fillRect/>
                    </a:stretch>
                  </pic:blipFill>
                  <pic:spPr>
                    <a:xfrm>
                      <a:off x="0" y="0"/>
                      <a:ext cx="5029200" cy="3333750"/>
                    </a:xfrm>
                    <a:prstGeom prst="rect">
                      <a:avLst/>
                    </a:prstGeom>
                    <a:noFill/>
                    <a:ln>
                      <a:noFill/>
                    </a:ln>
                  </pic:spPr>
                </pic:pic>
              </a:graphicData>
            </a:graphic>
          </wp:inline>
        </w:drawing>
      </w:r>
    </w:p>
    <w:p w14:paraId="759D1959">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w:t>
      </w:r>
    </w:p>
    <w:p w14:paraId="2C71608F">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（十一）申请点与参照点之间有楼梯、自动扶梯的，以其平面坡长进行测量（如图</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所示）；有直升降电梯的，以层高进行测量，分段距离之和即为测量距离；同时有自动扶梯、直升降电梯的，以行人可无障碍通行且符合日常生活逻辑的最短距离进行测量。</w:t>
      </w:r>
    </w:p>
    <w:p w14:paraId="243FEC5A">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562600" cy="2847975"/>
            <wp:effectExtent l="0" t="0" r="0" b="9525"/>
            <wp:docPr id="16" name="图片 40" descr="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图16"/>
                    <pic:cNvPicPr>
                      <a:picLocks noChangeAspect="1"/>
                    </pic:cNvPicPr>
                  </pic:nvPicPr>
                  <pic:blipFill>
                    <a:blip r:embed="rId21"/>
                    <a:stretch>
                      <a:fillRect/>
                    </a:stretch>
                  </pic:blipFill>
                  <pic:spPr>
                    <a:xfrm>
                      <a:off x="0" y="0"/>
                      <a:ext cx="5562600" cy="2847975"/>
                    </a:xfrm>
                    <a:prstGeom prst="rect">
                      <a:avLst/>
                    </a:prstGeom>
                    <a:noFill/>
                    <a:ln>
                      <a:noFill/>
                    </a:ln>
                  </pic:spPr>
                </pic:pic>
              </a:graphicData>
            </a:graphic>
          </wp:inline>
        </w:drawing>
      </w: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w:t>
      </w:r>
    </w:p>
    <w:p w14:paraId="6AF50809">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（十二）特殊地形测量：因地形、地貌或设计等原因导致道路、通道成不规则形态，通过前述方法无法测量的，取可安全通行路径最近距离进行测量。如申请点与参照零售点处于</w:t>
      </w:r>
      <w:r>
        <w:rPr>
          <w:rFonts w:ascii="仿宋_GB2312" w:hAnsi="仿宋_GB2312" w:eastAsia="仿宋_GB2312" w:cs="仿宋_GB2312"/>
          <w:sz w:val="32"/>
          <w:szCs w:val="32"/>
        </w:rPr>
        <w:t>S</w:t>
      </w:r>
      <w:r>
        <w:rPr>
          <w:rFonts w:hint="eastAsia" w:ascii="仿宋_GB2312" w:hAnsi="仿宋_GB2312" w:eastAsia="仿宋_GB2312" w:cs="仿宋_GB2312"/>
          <w:sz w:val="32"/>
          <w:szCs w:val="32"/>
        </w:rPr>
        <w:t>形道路或其他特殊道路的，沿正常行人线路测量。（如图</w:t>
      </w:r>
      <w:r>
        <w:rPr>
          <w:rFonts w:ascii="仿宋_GB2312" w:hAnsi="仿宋_GB2312" w:eastAsia="仿宋_GB2312" w:cs="仿宋_GB2312"/>
          <w:sz w:val="32"/>
          <w:szCs w:val="32"/>
        </w:rPr>
        <w:t>17</w:t>
      </w:r>
      <w:r>
        <w:rPr>
          <w:rFonts w:hint="eastAsia" w:ascii="仿宋_GB2312" w:hAnsi="仿宋_GB2312" w:eastAsia="仿宋_GB2312" w:cs="仿宋_GB2312"/>
          <w:sz w:val="32"/>
          <w:szCs w:val="32"/>
        </w:rPr>
        <w:t>所示）</w:t>
      </w:r>
    </w:p>
    <w:p w14:paraId="7533E879">
      <w:pPr>
        <w:adjustRightInd w:val="0"/>
        <w:snapToGrid w:val="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981575" cy="3362325"/>
            <wp:effectExtent l="0" t="0" r="9525" b="9525"/>
            <wp:docPr id="17" name="图片 41"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图片17"/>
                    <pic:cNvPicPr>
                      <a:picLocks noChangeAspect="1"/>
                    </pic:cNvPicPr>
                  </pic:nvPicPr>
                  <pic:blipFill>
                    <a:blip r:embed="rId22"/>
                    <a:stretch>
                      <a:fillRect/>
                    </a:stretch>
                  </pic:blipFill>
                  <pic:spPr>
                    <a:xfrm>
                      <a:off x="0" y="0"/>
                      <a:ext cx="4981575" cy="3362325"/>
                    </a:xfrm>
                    <a:prstGeom prst="rect">
                      <a:avLst/>
                    </a:prstGeom>
                    <a:noFill/>
                    <a:ln>
                      <a:noFill/>
                    </a:ln>
                  </pic:spPr>
                </pic:pic>
              </a:graphicData>
            </a:graphic>
          </wp:inline>
        </w:drawing>
      </w:r>
    </w:p>
    <w:p w14:paraId="6DE990B3">
      <w:pPr>
        <w:adjustRightInd w:val="0"/>
        <w:snapToGrid w:val="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w:t>
      </w:r>
      <w:r>
        <w:rPr>
          <w:rFonts w:ascii="仿宋_GB2312" w:hAnsi="仿宋_GB2312" w:eastAsia="仿宋_GB2312" w:cs="仿宋_GB2312"/>
          <w:sz w:val="32"/>
          <w:szCs w:val="32"/>
        </w:rPr>
        <w:t>17</w:t>
      </w:r>
    </w:p>
    <w:p w14:paraId="1EB895C5">
      <w:pPr>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其他情形测量方法，均应遵循《赤壁市烟草制品零售点合理布局规定》相关规定及本标准规定。</w:t>
      </w:r>
    </w:p>
    <w:p w14:paraId="05844976">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第七条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以中小学校、幼儿园为参照点的，测量进出通道口向外延伸距离时，以中小学校、幼儿园最近出入口的中心位置向外延伸行人可正常通行的最短路线距离进行测量，测量方法参照第六条。</w:t>
      </w:r>
    </w:p>
    <w:p w14:paraId="39038B31">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第八条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间距距离测量时测量值超出零售点设置标准要求</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以上的，注明“内无零售点”即可（如规定申请人的经营场所与最近零售点的经营场所间距要达到</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米以上，测量时超过</w:t>
      </w:r>
      <w:r>
        <w:rPr>
          <w:rFonts w:ascii="仿宋_GB2312" w:hAnsi="仿宋_GB2312" w:eastAsia="仿宋_GB2312" w:cs="仿宋_GB2312"/>
          <w:sz w:val="32"/>
          <w:szCs w:val="32"/>
        </w:rPr>
        <w:t>120</w:t>
      </w:r>
      <w:r>
        <w:rPr>
          <w:rFonts w:hint="eastAsia" w:ascii="仿宋_GB2312" w:hAnsi="仿宋_GB2312" w:eastAsia="仿宋_GB2312" w:cs="仿宋_GB2312"/>
          <w:sz w:val="32"/>
          <w:szCs w:val="32"/>
        </w:rPr>
        <w:t>米的，可注明“</w:t>
      </w:r>
      <w:r>
        <w:rPr>
          <w:rFonts w:ascii="仿宋_GB2312" w:hAnsi="仿宋_GB2312" w:eastAsia="仿宋_GB2312" w:cs="仿宋_GB2312"/>
          <w:sz w:val="32"/>
          <w:szCs w:val="32"/>
        </w:rPr>
        <w:t>120</w:t>
      </w:r>
      <w:r>
        <w:rPr>
          <w:rFonts w:hint="eastAsia" w:ascii="仿宋_GB2312" w:hAnsi="仿宋_GB2312" w:eastAsia="仿宋_GB2312" w:cs="仿宋_GB2312"/>
          <w:sz w:val="32"/>
          <w:szCs w:val="32"/>
        </w:rPr>
        <w:t>米范围内无零售点”）。</w:t>
      </w:r>
    </w:p>
    <w:p w14:paraId="23F3C7B8">
      <w:pPr>
        <w:spacing w:line="579"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第九条</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勘验应当绘图、拍照记录，如有必要或者情况复杂的，应有视频记录。</w:t>
      </w:r>
    </w:p>
    <w:sectPr>
      <w:footerReference r:id="rId3" w:type="default"/>
      <w:footerReference r:id="rId4" w:type="even"/>
      <w:pgSz w:w="11906" w:h="16838"/>
      <w:pgMar w:top="2098" w:right="1474" w:bottom="1985" w:left="1588" w:header="851" w:footer="1400" w:gutter="0"/>
      <w:pgNumType w:fmt="numberInDash" w:start="1"/>
      <w:cols w:space="425" w:num="1"/>
      <w:docGrid w:type="lines" w:linePitch="455" w:charSpace="393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7E2EBC-F22A-4AB9-87AF-0F0DAE63580C}"/>
  </w:font>
  <w:font w:name="Arial">
    <w:panose1 w:val="020B0604020202020204"/>
    <w:charset w:val="01"/>
    <w:family w:val="swiss"/>
    <w:pitch w:val="default"/>
    <w:sig w:usb0="E0002EFF" w:usb1="C000785B" w:usb2="00000009" w:usb3="00000000" w:csb0="400001FF" w:csb1="FFFF0000"/>
    <w:embedRegular r:id="rId2" w:fontKey="{7745B68C-1BBD-430B-8461-91E6321D81C2}"/>
  </w:font>
  <w:font w:name="黑体">
    <w:panose1 w:val="02010609060101010101"/>
    <w:charset w:val="86"/>
    <w:family w:val="auto"/>
    <w:pitch w:val="default"/>
    <w:sig w:usb0="800002BF" w:usb1="38CF7CFA" w:usb2="00000016" w:usb3="00000000" w:csb0="00040001" w:csb1="00000000"/>
    <w:embedRegular r:id="rId3" w:fontKey="{AA0E15CC-18EE-40A1-A401-A04D8ED0DCFE}"/>
  </w:font>
  <w:font w:name="Courier New">
    <w:panose1 w:val="02070309020205020404"/>
    <w:charset w:val="01"/>
    <w:family w:val="modern"/>
    <w:pitch w:val="default"/>
    <w:sig w:usb0="E0002EFF" w:usb1="C0007843" w:usb2="00000009" w:usb3="00000000" w:csb0="400001FF" w:csb1="FFFF0000"/>
    <w:embedRegular r:id="rId4" w:fontKey="{E5EDDB2F-4DFC-40D0-9861-B6379FDD82FA}"/>
  </w:font>
  <w:font w:name="Symbol">
    <w:panose1 w:val="05050102010706020507"/>
    <w:charset w:val="02"/>
    <w:family w:val="roman"/>
    <w:pitch w:val="default"/>
    <w:sig w:usb0="00000000" w:usb1="00000000" w:usb2="00000000" w:usb3="00000000" w:csb0="80000000" w:csb1="00000000"/>
    <w:embedRegular r:id="rId5" w:fontKey="{ED92E375-ABDF-4464-A21A-70C1734B14B0}"/>
  </w:font>
  <w:font w:name="Calibri">
    <w:panose1 w:val="020F0502020204030204"/>
    <w:charset w:val="00"/>
    <w:family w:val="swiss"/>
    <w:pitch w:val="default"/>
    <w:sig w:usb0="E4002EFF" w:usb1="C200247B" w:usb2="00000009" w:usb3="00000000" w:csb0="200001FF" w:csb1="00000000"/>
    <w:embedRegular r:id="rId6" w:fontKey="{B34EA25B-3399-4472-8D28-9D69FFD25D0D}"/>
  </w:font>
  <w:font w:name="仿宋_GB2312">
    <w:altName w:val="仿宋"/>
    <w:panose1 w:val="00000000000000000000"/>
    <w:charset w:val="86"/>
    <w:family w:val="modern"/>
    <w:pitch w:val="default"/>
    <w:sig w:usb0="00000000" w:usb1="00000000" w:usb2="00000010" w:usb3="00000000" w:csb0="00040000" w:csb1="00000000"/>
    <w:embedRegular r:id="rId7" w:fontKey="{B14F8F91-298B-44CF-BF4D-B7E6663431AA}"/>
  </w:font>
  <w:font w:name="方正小标宋简体">
    <w:panose1 w:val="03000509000000000000"/>
    <w:charset w:val="86"/>
    <w:family w:val="auto"/>
    <w:pitch w:val="default"/>
    <w:sig w:usb0="00000001" w:usb1="080E0000" w:usb2="00000000" w:usb3="00000000" w:csb0="00040000" w:csb1="00000000"/>
    <w:embedRegular r:id="rId8" w:fontKey="{37598E35-7D10-4E3B-81C1-26A2A4B4E6C3}"/>
  </w:font>
  <w:font w:name="方正公文小标宋">
    <w:altName w:val="宋体"/>
    <w:panose1 w:val="00000000000000000000"/>
    <w:charset w:val="86"/>
    <w:family w:val="auto"/>
    <w:pitch w:val="default"/>
    <w:sig w:usb0="00000000" w:usb1="00000000" w:usb2="00000016" w:usb3="00000000" w:csb0="00040001" w:csb1="00000000"/>
    <w:embedRegular r:id="rId9" w:fontKey="{9E1FA46D-1579-40F7-A039-CAE5DC6350A0}"/>
  </w:font>
  <w:font w:name="仿宋">
    <w:panose1 w:val="02010609060101010101"/>
    <w:charset w:val="86"/>
    <w:family w:val="modern"/>
    <w:pitch w:val="default"/>
    <w:sig w:usb0="800002BF" w:usb1="38CF7CFA" w:usb2="00000016" w:usb3="00000000" w:csb0="00040001" w:csb1="00000000"/>
    <w:embedRegular r:id="rId10" w:fontKey="{8D6B9C55-D79D-495B-9482-C5F7A6D58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084F8">
    <w:pPr>
      <w:pStyle w:val="3"/>
      <w:framePr w:wrap="around" w:vAnchor="text" w:hAnchor="margin" w:xAlign="outside" w:y="1"/>
      <w:rPr>
        <w:rStyle w:val="8"/>
        <w:sz w:val="28"/>
        <w:szCs w:val="28"/>
      </w:rPr>
    </w:pPr>
    <w:r>
      <w:rPr>
        <w:rStyle w:val="8"/>
        <w:sz w:val="28"/>
        <w:szCs w:val="28"/>
      </w:rPr>
      <w:fldChar w:fldCharType="begin"/>
    </w:r>
    <w:r>
      <w:rPr>
        <w:rStyle w:val="8"/>
        <w:sz w:val="28"/>
        <w:szCs w:val="28"/>
      </w:rPr>
      <w:instrText xml:space="preserve">PAGE  </w:instrText>
    </w:r>
    <w:r>
      <w:rPr>
        <w:rStyle w:val="8"/>
        <w:sz w:val="28"/>
        <w:szCs w:val="28"/>
      </w:rPr>
      <w:fldChar w:fldCharType="separate"/>
    </w:r>
    <w:r>
      <w:rPr>
        <w:rStyle w:val="8"/>
        <w:sz w:val="28"/>
        <w:szCs w:val="28"/>
      </w:rPr>
      <w:t>- 1 -</w:t>
    </w:r>
    <w:r>
      <w:rPr>
        <w:rStyle w:val="8"/>
        <w:sz w:val="28"/>
        <w:szCs w:val="28"/>
      </w:rPr>
      <w:fldChar w:fldCharType="end"/>
    </w:r>
  </w:p>
  <w:p w14:paraId="24914172">
    <w:pPr>
      <w:pStyle w:val="3"/>
      <w:tabs>
        <w:tab w:val="center" w:pos="7797"/>
        <w:tab w:val="clear" w:pos="4153"/>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E1E32">
    <w:pPr>
      <w:pStyle w:val="3"/>
      <w:framePr w:wrap="around" w:vAnchor="text" w:hAnchor="margin" w:xAlign="outside" w:y="1"/>
      <w:jc w:val="center"/>
      <w:rPr>
        <w:rStyle w:val="8"/>
        <w:sz w:val="28"/>
      </w:rPr>
    </w:pPr>
    <w:r>
      <mc:AlternateContent>
        <mc:Choice Requires="wps">
          <w:drawing>
            <wp:anchor distT="0" distB="0" distL="114300" distR="114300" simplePos="0" relativeHeight="251659264" behindDoc="0" locked="0" layoutInCell="1" allowOverlap="1">
              <wp:simplePos x="0" y="0"/>
              <wp:positionH relativeFrom="column">
                <wp:posOffset>679450</wp:posOffset>
              </wp:positionH>
              <wp:positionV relativeFrom="paragraph">
                <wp:posOffset>93980</wp:posOffset>
              </wp:positionV>
              <wp:extent cx="144145" cy="0"/>
              <wp:effectExtent l="0" t="4445" r="0" b="5080"/>
              <wp:wrapNone/>
              <wp:docPr id="18" name="直线 1"/>
              <wp:cNvGraphicFramePr/>
              <a:graphic xmlns:a="http://schemas.openxmlformats.org/drawingml/2006/main">
                <a:graphicData uri="http://schemas.microsoft.com/office/word/2010/wordprocessingShape">
                  <wps:wsp>
                    <wps:cNvCnPr/>
                    <wps:spPr>
                      <a:xfrm flipH="1" flipV="1">
                        <a:off x="0" y="0"/>
                        <a:ext cx="1441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flip:x y;margin-left:53.5pt;margin-top:7.4pt;height:0pt;width:11.35pt;z-index:251659264;mso-width-relative:page;mso-height-relative:page;" filled="f" stroked="t" coordsize="21600,21600" o:gfxdata="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7i40QAAAAkBAAAPAAAAAAAAAAEAIAAAACIAAABkcnMvZG93bnJldi54bWxQSwECFAAUAAAACACH&#10;TuJALOsCIPIBAADvAwAADgAAAAAAAAABACAAAAAgAQAAZHJzL2Uyb0RvYy54bWxQSwUGAAAAAAYA&#10;BgBZAQAAh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102235</wp:posOffset>
              </wp:positionV>
              <wp:extent cx="144145" cy="0"/>
              <wp:effectExtent l="0" t="4445" r="0" b="5080"/>
              <wp:wrapNone/>
              <wp:docPr id="19" name="直线 2"/>
              <wp:cNvGraphicFramePr/>
              <a:graphic xmlns:a="http://schemas.openxmlformats.org/drawingml/2006/main">
                <a:graphicData uri="http://schemas.microsoft.com/office/word/2010/wordprocessingShape">
                  <wps:wsp>
                    <wps:cNvCnPr/>
                    <wps:spPr>
                      <a:xfrm flipH="1" flipV="1">
                        <a:off x="0" y="0"/>
                        <a:ext cx="1441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flip:x y;margin-left:13.5pt;margin-top:8.05pt;height:0pt;width:11.35pt;z-index:251659264;mso-width-relative:page;mso-height-relative:page;" filled="f" stroked="t" coordsize="21600,21600" o:gfxdata="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6TSr3RAAAABwEAAA8AAAAAAAAAAQAgAAAAIgAAAGRycy9kb3ducmV2LnhtbFBLAQIUABQAAAAI&#10;AIdO4kAU7bUn9AEAAO8DAAAOAAAAAAAAAAEAIAAAACABAABkcnMvZTJvRG9jLnhtbFBLBQYAAAAA&#10;BgAGAFkBAACGBQAAAAA=&#10;">
              <v:fill on="f" focussize="0,0"/>
              <v:stroke color="#000000" joinstyle="round"/>
              <v:imagedata o:title=""/>
              <o:lock v:ext="edit" aspectratio="f"/>
            </v:line>
          </w:pict>
        </mc:Fallback>
      </mc:AlternateContent>
    </w:r>
    <w:r>
      <w:rPr>
        <w:rStyle w:val="8"/>
        <w:sz w:val="28"/>
      </w:rPr>
      <w:fldChar w:fldCharType="begin"/>
    </w:r>
    <w:r>
      <w:rPr>
        <w:rStyle w:val="8"/>
        <w:sz w:val="28"/>
      </w:rPr>
      <w:instrText xml:space="preserve">PAGE  </w:instrText>
    </w:r>
    <w:r>
      <w:rPr>
        <w:rStyle w:val="8"/>
        <w:sz w:val="28"/>
      </w:rPr>
      <w:fldChar w:fldCharType="separate"/>
    </w:r>
    <w:r>
      <w:rPr>
        <w:rStyle w:val="8"/>
        <w:sz w:val="28"/>
      </w:rPr>
      <w:t>16</w:t>
    </w:r>
    <w:r>
      <w:rPr>
        <w:rStyle w:val="8"/>
        <w:sz w:val="28"/>
      </w:rPr>
      <w:fldChar w:fldCharType="end"/>
    </w:r>
  </w:p>
  <w:p w14:paraId="376ED3B8">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3ZGI2NzgxNmJmODcxYWU4MDNlYTBlNDljZGJkMzAifQ=="/>
  </w:docVars>
  <w:rsids>
    <w:rsidRoot w:val="003526ED"/>
    <w:rsid w:val="00002B9D"/>
    <w:rsid w:val="00007679"/>
    <w:rsid w:val="00022307"/>
    <w:rsid w:val="000306CA"/>
    <w:rsid w:val="000503DC"/>
    <w:rsid w:val="00050990"/>
    <w:rsid w:val="00067996"/>
    <w:rsid w:val="00076585"/>
    <w:rsid w:val="000869FD"/>
    <w:rsid w:val="00091CF7"/>
    <w:rsid w:val="000B0975"/>
    <w:rsid w:val="000C0B22"/>
    <w:rsid w:val="000D23A7"/>
    <w:rsid w:val="000F3E5C"/>
    <w:rsid w:val="001012B9"/>
    <w:rsid w:val="00107966"/>
    <w:rsid w:val="0011195C"/>
    <w:rsid w:val="00124266"/>
    <w:rsid w:val="00126624"/>
    <w:rsid w:val="001266F4"/>
    <w:rsid w:val="00142A2B"/>
    <w:rsid w:val="001535A9"/>
    <w:rsid w:val="00155571"/>
    <w:rsid w:val="0016360C"/>
    <w:rsid w:val="00171E80"/>
    <w:rsid w:val="00184A2C"/>
    <w:rsid w:val="00195F13"/>
    <w:rsid w:val="001967DA"/>
    <w:rsid w:val="001A7BCB"/>
    <w:rsid w:val="001B4199"/>
    <w:rsid w:val="001B61E4"/>
    <w:rsid w:val="001C7BCD"/>
    <w:rsid w:val="001E1282"/>
    <w:rsid w:val="001F76C4"/>
    <w:rsid w:val="002005CB"/>
    <w:rsid w:val="00200E5E"/>
    <w:rsid w:val="002335C7"/>
    <w:rsid w:val="00233E52"/>
    <w:rsid w:val="00255BFC"/>
    <w:rsid w:val="0026269C"/>
    <w:rsid w:val="0026306D"/>
    <w:rsid w:val="0026409C"/>
    <w:rsid w:val="00281DB0"/>
    <w:rsid w:val="00284280"/>
    <w:rsid w:val="002A0D60"/>
    <w:rsid w:val="002A14C2"/>
    <w:rsid w:val="002A37AB"/>
    <w:rsid w:val="002C194B"/>
    <w:rsid w:val="002C5D02"/>
    <w:rsid w:val="002E34F6"/>
    <w:rsid w:val="002E4036"/>
    <w:rsid w:val="002F6EF0"/>
    <w:rsid w:val="002F7BE2"/>
    <w:rsid w:val="00313C9F"/>
    <w:rsid w:val="0031643D"/>
    <w:rsid w:val="00326241"/>
    <w:rsid w:val="00334FAA"/>
    <w:rsid w:val="00336822"/>
    <w:rsid w:val="00342824"/>
    <w:rsid w:val="00342E77"/>
    <w:rsid w:val="0034447A"/>
    <w:rsid w:val="003526ED"/>
    <w:rsid w:val="00360E46"/>
    <w:rsid w:val="00364A20"/>
    <w:rsid w:val="00377D15"/>
    <w:rsid w:val="00380545"/>
    <w:rsid w:val="00391CDD"/>
    <w:rsid w:val="00392267"/>
    <w:rsid w:val="003A1522"/>
    <w:rsid w:val="003B5210"/>
    <w:rsid w:val="003B683E"/>
    <w:rsid w:val="003D2BBC"/>
    <w:rsid w:val="003F327C"/>
    <w:rsid w:val="00403F47"/>
    <w:rsid w:val="00412862"/>
    <w:rsid w:val="00415C3A"/>
    <w:rsid w:val="00431890"/>
    <w:rsid w:val="0044387C"/>
    <w:rsid w:val="004449CB"/>
    <w:rsid w:val="004451A9"/>
    <w:rsid w:val="004637C4"/>
    <w:rsid w:val="004A1A59"/>
    <w:rsid w:val="004A5A35"/>
    <w:rsid w:val="004B324B"/>
    <w:rsid w:val="004C4DF3"/>
    <w:rsid w:val="004C6008"/>
    <w:rsid w:val="004D25B5"/>
    <w:rsid w:val="004D45DF"/>
    <w:rsid w:val="004D6B54"/>
    <w:rsid w:val="00500A6D"/>
    <w:rsid w:val="00503323"/>
    <w:rsid w:val="0050703C"/>
    <w:rsid w:val="005133B2"/>
    <w:rsid w:val="00515DB5"/>
    <w:rsid w:val="00535042"/>
    <w:rsid w:val="0054218C"/>
    <w:rsid w:val="00544EFF"/>
    <w:rsid w:val="00550DCC"/>
    <w:rsid w:val="00551B0F"/>
    <w:rsid w:val="00567F2B"/>
    <w:rsid w:val="00583A93"/>
    <w:rsid w:val="005875EB"/>
    <w:rsid w:val="00591F22"/>
    <w:rsid w:val="00596B4A"/>
    <w:rsid w:val="00597C83"/>
    <w:rsid w:val="005B3A0A"/>
    <w:rsid w:val="005C2B93"/>
    <w:rsid w:val="005C2F8D"/>
    <w:rsid w:val="005E31FB"/>
    <w:rsid w:val="005E3F91"/>
    <w:rsid w:val="005E7114"/>
    <w:rsid w:val="005F0AF5"/>
    <w:rsid w:val="005F3997"/>
    <w:rsid w:val="005F6EF6"/>
    <w:rsid w:val="005F7EB3"/>
    <w:rsid w:val="0061007E"/>
    <w:rsid w:val="00621E6F"/>
    <w:rsid w:val="00623E42"/>
    <w:rsid w:val="006252C5"/>
    <w:rsid w:val="0063700F"/>
    <w:rsid w:val="00646462"/>
    <w:rsid w:val="00652B72"/>
    <w:rsid w:val="006542E1"/>
    <w:rsid w:val="00657BAA"/>
    <w:rsid w:val="00662335"/>
    <w:rsid w:val="0067679F"/>
    <w:rsid w:val="00684F35"/>
    <w:rsid w:val="00685824"/>
    <w:rsid w:val="006C4759"/>
    <w:rsid w:val="006C7190"/>
    <w:rsid w:val="006E32D8"/>
    <w:rsid w:val="006F1987"/>
    <w:rsid w:val="006F4FE0"/>
    <w:rsid w:val="0071156F"/>
    <w:rsid w:val="00711785"/>
    <w:rsid w:val="00717C4E"/>
    <w:rsid w:val="00725BE7"/>
    <w:rsid w:val="00737A91"/>
    <w:rsid w:val="00741975"/>
    <w:rsid w:val="00751346"/>
    <w:rsid w:val="0076531B"/>
    <w:rsid w:val="0076656E"/>
    <w:rsid w:val="00787F30"/>
    <w:rsid w:val="00791111"/>
    <w:rsid w:val="00796004"/>
    <w:rsid w:val="007C3AF5"/>
    <w:rsid w:val="007D4663"/>
    <w:rsid w:val="007D71EB"/>
    <w:rsid w:val="007E739B"/>
    <w:rsid w:val="0080338F"/>
    <w:rsid w:val="00803730"/>
    <w:rsid w:val="00805755"/>
    <w:rsid w:val="00811BF0"/>
    <w:rsid w:val="0082333E"/>
    <w:rsid w:val="00824403"/>
    <w:rsid w:val="00833C0B"/>
    <w:rsid w:val="00846DDB"/>
    <w:rsid w:val="00855649"/>
    <w:rsid w:val="0086220F"/>
    <w:rsid w:val="00865D5B"/>
    <w:rsid w:val="00893398"/>
    <w:rsid w:val="008A1FCF"/>
    <w:rsid w:val="008C3668"/>
    <w:rsid w:val="008D11D0"/>
    <w:rsid w:val="008D419E"/>
    <w:rsid w:val="008D47C3"/>
    <w:rsid w:val="008D6A28"/>
    <w:rsid w:val="008E1289"/>
    <w:rsid w:val="008E42B2"/>
    <w:rsid w:val="008F06AF"/>
    <w:rsid w:val="008F2A7B"/>
    <w:rsid w:val="00901E44"/>
    <w:rsid w:val="00903691"/>
    <w:rsid w:val="009112AC"/>
    <w:rsid w:val="00914064"/>
    <w:rsid w:val="0094472B"/>
    <w:rsid w:val="00951999"/>
    <w:rsid w:val="00961521"/>
    <w:rsid w:val="00970EDB"/>
    <w:rsid w:val="00973F91"/>
    <w:rsid w:val="009751B3"/>
    <w:rsid w:val="00981908"/>
    <w:rsid w:val="009820C6"/>
    <w:rsid w:val="009976E3"/>
    <w:rsid w:val="009A616B"/>
    <w:rsid w:val="009A63F8"/>
    <w:rsid w:val="009C2E65"/>
    <w:rsid w:val="009C6151"/>
    <w:rsid w:val="009D1F56"/>
    <w:rsid w:val="009E760E"/>
    <w:rsid w:val="009F3154"/>
    <w:rsid w:val="009F44A7"/>
    <w:rsid w:val="00A03A51"/>
    <w:rsid w:val="00A0574A"/>
    <w:rsid w:val="00A14CA2"/>
    <w:rsid w:val="00A4125E"/>
    <w:rsid w:val="00A62805"/>
    <w:rsid w:val="00A8429F"/>
    <w:rsid w:val="00A94FF3"/>
    <w:rsid w:val="00AC2500"/>
    <w:rsid w:val="00AD1E23"/>
    <w:rsid w:val="00AD47B6"/>
    <w:rsid w:val="00AE1B8C"/>
    <w:rsid w:val="00B03232"/>
    <w:rsid w:val="00B03FE4"/>
    <w:rsid w:val="00B05CEF"/>
    <w:rsid w:val="00B12F2B"/>
    <w:rsid w:val="00B2529F"/>
    <w:rsid w:val="00B5167D"/>
    <w:rsid w:val="00B64EC8"/>
    <w:rsid w:val="00B711DB"/>
    <w:rsid w:val="00B80443"/>
    <w:rsid w:val="00B805F2"/>
    <w:rsid w:val="00B81F56"/>
    <w:rsid w:val="00B858CC"/>
    <w:rsid w:val="00B97E2B"/>
    <w:rsid w:val="00BA1849"/>
    <w:rsid w:val="00BA4552"/>
    <w:rsid w:val="00BA6FF7"/>
    <w:rsid w:val="00BD7B44"/>
    <w:rsid w:val="00BE0006"/>
    <w:rsid w:val="00BF3D0D"/>
    <w:rsid w:val="00BF5C71"/>
    <w:rsid w:val="00C04C35"/>
    <w:rsid w:val="00C143EC"/>
    <w:rsid w:val="00C225B4"/>
    <w:rsid w:val="00C264E1"/>
    <w:rsid w:val="00C32ED7"/>
    <w:rsid w:val="00C5082C"/>
    <w:rsid w:val="00C511FD"/>
    <w:rsid w:val="00C61B65"/>
    <w:rsid w:val="00C674AC"/>
    <w:rsid w:val="00C70342"/>
    <w:rsid w:val="00C80ACE"/>
    <w:rsid w:val="00C82DE4"/>
    <w:rsid w:val="00C93E0C"/>
    <w:rsid w:val="00C966C7"/>
    <w:rsid w:val="00CA27FB"/>
    <w:rsid w:val="00CA4925"/>
    <w:rsid w:val="00CA6D1F"/>
    <w:rsid w:val="00CB7FE1"/>
    <w:rsid w:val="00CC5D70"/>
    <w:rsid w:val="00CD52A4"/>
    <w:rsid w:val="00CE0C5C"/>
    <w:rsid w:val="00CE242A"/>
    <w:rsid w:val="00CE2BBB"/>
    <w:rsid w:val="00CF5DD4"/>
    <w:rsid w:val="00D01DB4"/>
    <w:rsid w:val="00D17C11"/>
    <w:rsid w:val="00D21915"/>
    <w:rsid w:val="00D3544F"/>
    <w:rsid w:val="00D440F4"/>
    <w:rsid w:val="00D478A6"/>
    <w:rsid w:val="00D518B6"/>
    <w:rsid w:val="00D51D84"/>
    <w:rsid w:val="00D52362"/>
    <w:rsid w:val="00D52DB4"/>
    <w:rsid w:val="00D55F25"/>
    <w:rsid w:val="00D6394B"/>
    <w:rsid w:val="00D7152B"/>
    <w:rsid w:val="00D8115B"/>
    <w:rsid w:val="00D818E6"/>
    <w:rsid w:val="00D81F52"/>
    <w:rsid w:val="00D8618E"/>
    <w:rsid w:val="00D93C41"/>
    <w:rsid w:val="00D94846"/>
    <w:rsid w:val="00DA348F"/>
    <w:rsid w:val="00DE673E"/>
    <w:rsid w:val="00DF7F92"/>
    <w:rsid w:val="00E0347F"/>
    <w:rsid w:val="00E04BC7"/>
    <w:rsid w:val="00E1153A"/>
    <w:rsid w:val="00E16757"/>
    <w:rsid w:val="00E16D49"/>
    <w:rsid w:val="00E25DF1"/>
    <w:rsid w:val="00E3034A"/>
    <w:rsid w:val="00E3290E"/>
    <w:rsid w:val="00E33183"/>
    <w:rsid w:val="00E430A4"/>
    <w:rsid w:val="00E44F0C"/>
    <w:rsid w:val="00E62AFE"/>
    <w:rsid w:val="00E62C82"/>
    <w:rsid w:val="00E64EB2"/>
    <w:rsid w:val="00E75B0E"/>
    <w:rsid w:val="00E96237"/>
    <w:rsid w:val="00EA64B4"/>
    <w:rsid w:val="00EB499D"/>
    <w:rsid w:val="00EB5076"/>
    <w:rsid w:val="00EC2EC4"/>
    <w:rsid w:val="00EC3D8B"/>
    <w:rsid w:val="00EC76FA"/>
    <w:rsid w:val="00F10D60"/>
    <w:rsid w:val="00F1150F"/>
    <w:rsid w:val="00F20C33"/>
    <w:rsid w:val="00F20F98"/>
    <w:rsid w:val="00F419E5"/>
    <w:rsid w:val="00F41F97"/>
    <w:rsid w:val="00F64559"/>
    <w:rsid w:val="00F64E6C"/>
    <w:rsid w:val="00F722D5"/>
    <w:rsid w:val="00F92BEC"/>
    <w:rsid w:val="00FA00F0"/>
    <w:rsid w:val="00FC7DAA"/>
    <w:rsid w:val="00FE2503"/>
    <w:rsid w:val="00FE64B9"/>
    <w:rsid w:val="00FF0227"/>
    <w:rsid w:val="00FF0CB6"/>
    <w:rsid w:val="00FF4879"/>
    <w:rsid w:val="00FF6290"/>
    <w:rsid w:val="00FF7FAD"/>
    <w:rsid w:val="03B32AB9"/>
    <w:rsid w:val="23C86071"/>
    <w:rsid w:val="266713EC"/>
    <w:rsid w:val="28CC68EE"/>
    <w:rsid w:val="302A2B95"/>
    <w:rsid w:val="3270319B"/>
    <w:rsid w:val="387D22C6"/>
    <w:rsid w:val="39987CC0"/>
    <w:rsid w:val="3B322080"/>
    <w:rsid w:val="3E164FDF"/>
    <w:rsid w:val="40891207"/>
    <w:rsid w:val="47A7308B"/>
    <w:rsid w:val="47AE758C"/>
    <w:rsid w:val="643F7481"/>
    <w:rsid w:val="655D3BF5"/>
    <w:rsid w:val="7C23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rFonts w:ascii="Calibri" w:hAnsi="Calibri"/>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5">
    <w:name w:val="Normal (Web)"/>
    <w:basedOn w:val="1"/>
    <w:qFormat/>
    <w:uiPriority w:val="0"/>
    <w:pPr>
      <w:widowControl/>
      <w:spacing w:before="100" w:beforeAutospacing="1" w:after="100" w:afterAutospacing="1"/>
      <w:jc w:val="left"/>
    </w:pPr>
    <w:rPr>
      <w:rFonts w:ascii="仿宋_GB2312" w:hAnsi="宋体" w:eastAsia="仿宋_GB2312" w:cs="宋体"/>
      <w:kern w:val="0"/>
      <w:sz w:val="32"/>
    </w:rPr>
  </w:style>
  <w:style w:type="character" w:styleId="8">
    <w:name w:val="page number"/>
    <w:qFormat/>
    <w:uiPriority w:val="0"/>
    <w:rPr>
      <w:rFonts w:cs="Times New Roman"/>
    </w:rPr>
  </w:style>
  <w:style w:type="character" w:customStyle="1" w:styleId="9">
    <w:name w:val="页眉 字符"/>
    <w:link w:val="4"/>
    <w:qFormat/>
    <w:locked/>
    <w:uiPriority w:val="0"/>
    <w:rPr>
      <w:rFonts w:cs="Times New Roman"/>
      <w:sz w:val="18"/>
      <w:szCs w:val="18"/>
    </w:rPr>
  </w:style>
  <w:style w:type="character" w:customStyle="1" w:styleId="10">
    <w:name w:val="页脚 字符"/>
    <w:link w:val="3"/>
    <w:qFormat/>
    <w:locked/>
    <w:uiPriority w:val="0"/>
    <w:rPr>
      <w:rFonts w:cs="Times New Roman"/>
      <w:sz w:val="18"/>
      <w:szCs w:val="18"/>
    </w:rPr>
  </w:style>
  <w:style w:type="character" w:customStyle="1" w:styleId="11">
    <w:name w:val="批注框文本 字符"/>
    <w:link w:val="2"/>
    <w:semiHidden/>
    <w:qFormat/>
    <w:locked/>
    <w:uiPriority w:val="0"/>
    <w:rPr>
      <w:rFonts w:ascii="Times New Roman" w:hAnsi="Times New Roman" w:eastAsia="宋体" w:cs="Times New Roman"/>
      <w:sz w:val="18"/>
      <w:szCs w:val="18"/>
    </w:rPr>
  </w:style>
  <w:style w:type="paragraph" w:customStyle="1" w:styleId="12">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36</Pages>
  <Words>12174</Words>
  <Characters>12331</Characters>
  <Lines>92</Lines>
  <Paragraphs>26</Paragraphs>
  <TotalTime>4</TotalTime>
  <ScaleCrop>false</ScaleCrop>
  <LinksUpToDate>false</LinksUpToDate>
  <CharactersWithSpaces>12472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2024-09-13T01:58:00Z</dcterms:created>
  <dc:creator>Windows 用户</dc:creator>
  <cp:lastModifiedBy>小懒</cp:lastModifiedBy>
  <cp:lastPrinted>2024-07-30T08:14:00Z</cp:lastPrinted>
  <dcterms:modified xsi:type="dcterms:W3CDTF">2024-09-30T09:13:32Z</dcterms:modified>
  <dc:title>赤壁市烟草制品零售点合理布局规定</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AD54B4BEBED54F1A87BC44E3CC1785D9_13</vt:lpwstr>
  </property>
</Properties>
</file>