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jc w:val="left"/>
        <w:textAlignment w:val="auto"/>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rPr>
        <w:t>附件</w:t>
      </w:r>
      <w:r>
        <w:rPr>
          <w:rFonts w:hint="default" w:ascii="Times New Roman" w:hAnsi="Times New Roman" w:eastAsia="黑体" w:cs="Times New Roman"/>
          <w:bCs/>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color w:val="000000"/>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color w:val="000000"/>
          <w:sz w:val="44"/>
          <w:szCs w:val="52"/>
        </w:rPr>
      </w:pPr>
      <w:bookmarkStart w:id="0" w:name="_GoBack"/>
      <w:r>
        <w:rPr>
          <w:rFonts w:hint="default" w:ascii="Times New Roman" w:hAnsi="Times New Roman" w:eastAsia="方正小标宋简体" w:cs="Times New Roman"/>
          <w:color w:val="000000"/>
          <w:sz w:val="44"/>
          <w:szCs w:val="52"/>
        </w:rPr>
        <w:t>全市重大事故隐患专项排查整治2023行动</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color w:val="000000"/>
          <w:sz w:val="44"/>
          <w:szCs w:val="52"/>
        </w:rPr>
      </w:pPr>
      <w:r>
        <w:rPr>
          <w:rFonts w:hint="default" w:ascii="Times New Roman" w:hAnsi="Times New Roman" w:eastAsia="方正小标宋简体" w:cs="Times New Roman"/>
          <w:color w:val="000000"/>
          <w:sz w:val="44"/>
          <w:szCs w:val="52"/>
        </w:rPr>
        <w:t>工作领导小组</w:t>
      </w:r>
    </w:p>
    <w:bookmarkEnd w:id="0"/>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color w:val="000000"/>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sz w:val="32"/>
          <w:szCs w:val="40"/>
        </w:rPr>
      </w:pPr>
      <w:r>
        <w:rPr>
          <w:rFonts w:hint="eastAsia" w:ascii="仿宋" w:hAnsi="仿宋" w:eastAsia="仿宋" w:cs="仿宋"/>
          <w:color w:val="000000"/>
          <w:sz w:val="32"/>
          <w:szCs w:val="40"/>
        </w:rPr>
        <w:t>为认真贯彻落实党的二十大精神和习近平总书记关于安全生产重要论述，坚决落实党中央国务院决策部署和省委省政府</w:t>
      </w:r>
      <w:r>
        <w:rPr>
          <w:rFonts w:hint="eastAsia" w:ascii="仿宋" w:hAnsi="仿宋" w:eastAsia="仿宋" w:cs="仿宋"/>
          <w:color w:val="000000"/>
          <w:sz w:val="32"/>
          <w:szCs w:val="40"/>
          <w:lang w:eastAsia="zh-CN"/>
        </w:rPr>
        <w:t>和</w:t>
      </w:r>
      <w:r>
        <w:rPr>
          <w:rFonts w:hint="eastAsia" w:ascii="仿宋" w:hAnsi="仿宋" w:eastAsia="仿宋" w:cs="仿宋"/>
          <w:color w:val="000000"/>
          <w:sz w:val="32"/>
          <w:szCs w:val="40"/>
        </w:rPr>
        <w:t>市委市政府工作要求,全面加强安全生产风险研判，扎实推动重大安全风险防控措施落实，</w:t>
      </w:r>
      <w:r>
        <w:rPr>
          <w:rFonts w:hint="eastAsia" w:ascii="仿宋" w:hAnsi="仿宋" w:eastAsia="仿宋" w:cs="仿宋"/>
          <w:color w:val="000000"/>
          <w:sz w:val="32"/>
          <w:szCs w:val="40"/>
          <w:lang w:eastAsia="zh-CN"/>
        </w:rPr>
        <w:t>市安委会</w:t>
      </w:r>
      <w:r>
        <w:rPr>
          <w:rFonts w:hint="eastAsia" w:ascii="仿宋" w:hAnsi="仿宋" w:eastAsia="仿宋" w:cs="仿宋"/>
          <w:color w:val="000000"/>
          <w:sz w:val="32"/>
          <w:szCs w:val="40"/>
        </w:rPr>
        <w:t>决定成立全市重大事故隐患专项排查整治2023行动工作领导小组。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sz w:val="32"/>
          <w:szCs w:val="40"/>
          <w:lang w:val="en-US" w:eastAsia="zh-CN"/>
        </w:rPr>
      </w:pPr>
      <w:r>
        <w:rPr>
          <w:rFonts w:hint="eastAsia" w:ascii="仿宋" w:hAnsi="仿宋" w:eastAsia="仿宋" w:cs="仿宋"/>
          <w:color w:val="000000"/>
          <w:sz w:val="32"/>
          <w:szCs w:val="40"/>
          <w:lang w:eastAsia="zh-CN"/>
        </w:rPr>
        <w:t>组</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长：葛</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军</w:t>
      </w:r>
      <w:r>
        <w:rPr>
          <w:rFonts w:hint="eastAsia" w:ascii="仿宋" w:hAnsi="仿宋" w:eastAsia="仿宋" w:cs="仿宋"/>
          <w:color w:val="000000"/>
          <w:sz w:val="32"/>
          <w:szCs w:val="40"/>
          <w:lang w:val="en-US" w:eastAsia="zh-CN"/>
        </w:rPr>
        <w:t xml:space="preserve">  市委副书记、市长</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000000"/>
          <w:sz w:val="32"/>
          <w:szCs w:val="40"/>
          <w:lang w:eastAsia="zh-CN"/>
        </w:rPr>
      </w:pPr>
      <w:r>
        <w:rPr>
          <w:rFonts w:hint="eastAsia" w:ascii="仿宋" w:hAnsi="仿宋" w:eastAsia="仿宋" w:cs="仿宋"/>
          <w:color w:val="000000"/>
          <w:sz w:val="32"/>
          <w:szCs w:val="40"/>
          <w:lang w:eastAsia="zh-CN"/>
        </w:rPr>
        <w:t>副组长：</w:t>
      </w:r>
      <w:r>
        <w:rPr>
          <w:rFonts w:hint="eastAsia" w:ascii="Times New Roman" w:hAnsi="Times New Roman" w:eastAsia="仿宋_GB2312" w:cs="Times New Roman"/>
          <w:color w:val="000000"/>
          <w:sz w:val="32"/>
          <w:szCs w:val="40"/>
          <w:lang w:eastAsia="zh-CN"/>
        </w:rPr>
        <w:t>陈水波</w:t>
      </w:r>
      <w:r>
        <w:rPr>
          <w:rFonts w:hint="default" w:ascii="Times New Roman" w:hAnsi="Times New Roman" w:eastAsia="仿宋_GB2312" w:cs="Times New Roman"/>
          <w:color w:val="000000"/>
          <w:sz w:val="32"/>
          <w:szCs w:val="40"/>
          <w:lang w:val="en-US" w:eastAsia="zh-CN"/>
        </w:rPr>
        <w:t xml:space="preserve">  </w:t>
      </w:r>
      <w:r>
        <w:rPr>
          <w:rFonts w:hint="default" w:ascii="Times New Roman" w:hAnsi="Times New Roman" w:eastAsia="仿宋_GB2312" w:cs="Times New Roman"/>
          <w:color w:val="000000"/>
          <w:sz w:val="32"/>
          <w:szCs w:val="40"/>
          <w:lang w:eastAsia="zh-CN"/>
        </w:rPr>
        <w:t>市委常委、常务副市长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别华中</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市委常委、副市长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textAlignment w:val="auto"/>
        <w:outlineLvl w:val="9"/>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熊新年</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副市长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textAlignment w:val="auto"/>
        <w:outlineLvl w:val="9"/>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甘志宝</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副市长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textAlignment w:val="auto"/>
        <w:outlineLvl w:val="9"/>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胡广益</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副市长</w:t>
      </w:r>
    </w:p>
    <w:p>
      <w:pPr>
        <w:pStyle w:val="2"/>
        <w:keepNext w:val="0"/>
        <w:keepLines w:val="0"/>
        <w:pageBreakBefore w:val="0"/>
        <w:kinsoku/>
        <w:wordWrap/>
        <w:overflowPunct/>
        <w:topLinePunct w:val="0"/>
        <w:bidi w:val="0"/>
        <w:snapToGrid/>
        <w:spacing w:line="560" w:lineRule="exact"/>
        <w:ind w:left="0" w:leftChars="0" w:right="0" w:rightChars="0"/>
        <w:textAlignment w:val="auto"/>
        <w:outlineLvl w:val="9"/>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val="en-US" w:eastAsia="zh-CN"/>
        </w:rPr>
        <w:t xml:space="preserve">            王  辉  </w:t>
      </w:r>
      <w:r>
        <w:rPr>
          <w:rFonts w:hint="eastAsia" w:ascii="仿宋" w:hAnsi="仿宋" w:eastAsia="仿宋" w:cs="仿宋"/>
          <w:color w:val="000000"/>
          <w:sz w:val="32"/>
          <w:szCs w:val="40"/>
          <w:lang w:eastAsia="zh-CN"/>
        </w:rPr>
        <w:t>副市长</w:t>
      </w:r>
    </w:p>
    <w:p>
      <w:pPr>
        <w:keepNext w:val="0"/>
        <w:keepLines w:val="0"/>
        <w:pageBreakBefore w:val="0"/>
        <w:kinsoku/>
        <w:wordWrap/>
        <w:overflowPunct/>
        <w:topLinePunct w:val="0"/>
        <w:bidi w:val="0"/>
        <w:snapToGrid/>
        <w:spacing w:line="560" w:lineRule="exact"/>
        <w:ind w:left="0" w:leftChars="0" w:right="0" w:rightChars="0"/>
        <w:textAlignment w:val="auto"/>
        <w:outlineLvl w:val="9"/>
        <w:rPr>
          <w:rFonts w:hint="eastAsia" w:ascii="仿宋" w:hAnsi="仿宋" w:eastAsia="仿宋" w:cs="仿宋"/>
          <w:lang w:eastAsia="zh-CN"/>
        </w:rPr>
      </w:pP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张</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铨</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副市长、市公安局局长</w:t>
      </w:r>
    </w:p>
    <w:p>
      <w:pPr>
        <w:pStyle w:val="2"/>
        <w:keepNext w:val="0"/>
        <w:keepLines w:val="0"/>
        <w:pageBreakBefore w:val="0"/>
        <w:kinsoku/>
        <w:wordWrap/>
        <w:overflowPunct/>
        <w:topLinePunct w:val="0"/>
        <w:bidi w:val="0"/>
        <w:snapToGrid/>
        <w:spacing w:line="560" w:lineRule="exact"/>
        <w:ind w:left="0" w:leftChars="0" w:right="0" w:rightChars="0"/>
        <w:textAlignment w:val="auto"/>
        <w:outlineLvl w:val="9"/>
        <w:rPr>
          <w:rFonts w:hint="eastAsia" w:ascii="仿宋" w:hAnsi="仿宋" w:eastAsia="仿宋" w:cs="仿宋"/>
          <w:color w:val="000000"/>
          <w:sz w:val="32"/>
          <w:szCs w:val="40"/>
          <w:lang w:val="en-US" w:eastAsia="zh-CN"/>
        </w:rPr>
      </w:pP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鲁</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锋</w:t>
      </w:r>
      <w:r>
        <w:rPr>
          <w:rFonts w:hint="eastAsia" w:ascii="仿宋" w:hAnsi="仿宋" w:eastAsia="仿宋" w:cs="仿宋"/>
          <w:color w:val="000000"/>
          <w:sz w:val="32"/>
          <w:szCs w:val="40"/>
          <w:lang w:val="en-US" w:eastAsia="zh-CN"/>
        </w:rPr>
        <w:t xml:space="preserve">  市政府办公室主任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成</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员：廖逸峰</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市发改局局长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朱</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翔</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市教育局局长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王春林</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市科信局局长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漆学红</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市公安局副局长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漆云梅</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市自然资源和规划局副局长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伍火平</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市生态环境分局局长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孙克芳</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市住建局局长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邓晓金</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市交通运输局局长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方育才</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市水利和湖泊局局长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陈柏平</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市农业农村局局长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覃更新</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市商务局局长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祝爱华</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市文化和旅游局局长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张少辉</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市卫生健康局局长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杨赤明</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市应急管理局局长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张建武</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市市场监管局局长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孙先锋</w:t>
      </w:r>
      <w:r>
        <w:rPr>
          <w:rFonts w:hint="eastAsia" w:ascii="仿宋" w:hAnsi="仿宋" w:eastAsia="仿宋" w:cs="仿宋"/>
          <w:color w:val="000000"/>
          <w:sz w:val="32"/>
          <w:szCs w:val="40"/>
          <w:lang w:val="en-US" w:eastAsia="zh-CN"/>
        </w:rPr>
        <w:t xml:space="preserve">  </w:t>
      </w:r>
      <w:r>
        <w:rPr>
          <w:rFonts w:hint="eastAsia" w:ascii="仿宋" w:hAnsi="仿宋" w:eastAsia="仿宋" w:cs="仿宋"/>
          <w:color w:val="000000"/>
          <w:sz w:val="32"/>
          <w:szCs w:val="40"/>
          <w:lang w:eastAsia="zh-CN"/>
        </w:rPr>
        <w:t>市消防救援大队大队长</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领导小组职责：加强对全市重大事故隐患专项排查整治2023行动的组织领导、决策部署、调度指挥等工作。</w:t>
      </w:r>
    </w:p>
    <w:p>
      <w:pPr>
        <w:pStyle w:val="5"/>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000000"/>
          <w:sz w:val="32"/>
          <w:szCs w:val="40"/>
          <w:lang w:eastAsia="zh-CN"/>
        </w:rPr>
      </w:pPr>
      <w:r>
        <w:rPr>
          <w:rFonts w:hint="eastAsia" w:ascii="仿宋" w:hAnsi="仿宋" w:eastAsia="仿宋" w:cs="仿宋"/>
          <w:color w:val="000000"/>
          <w:sz w:val="32"/>
          <w:szCs w:val="40"/>
          <w:lang w:eastAsia="zh-CN"/>
        </w:rPr>
        <w:t>领导小组下设办公室，办公室设在市应急管理局，杨赤明同志兼任办公室主任，负责领导小组日常工作，负责全市重大事故隐患专项排查整治2023行动的协调、指导和督查，遇重大问题及时提交整治领导小组研究。</w:t>
      </w:r>
    </w:p>
    <w:p>
      <w:pPr>
        <w:pStyle w:val="5"/>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000000"/>
          <w:sz w:val="32"/>
          <w:szCs w:val="4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000000"/>
          <w:sz w:val="32"/>
          <w:szCs w:val="4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000000"/>
          <w:sz w:val="32"/>
          <w:szCs w:val="4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000000"/>
          <w:sz w:val="32"/>
          <w:szCs w:val="4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000000"/>
          <w:sz w:val="32"/>
          <w:szCs w:val="4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000000"/>
          <w:sz w:val="32"/>
          <w:szCs w:val="4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000000"/>
          <w:sz w:val="32"/>
          <w:szCs w:val="40"/>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jc w:val="left"/>
        <w:textAlignment w:val="auto"/>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rPr>
        <w:t>附件</w:t>
      </w:r>
      <w:r>
        <w:rPr>
          <w:rFonts w:hint="default" w:ascii="Times New Roman" w:hAnsi="Times New Roman" w:eastAsia="黑体" w:cs="Times New Roman"/>
          <w:bCs/>
          <w:color w:val="000000"/>
          <w:sz w:val="32"/>
          <w:szCs w:val="32"/>
          <w:lang w:val="en-US" w:eastAsia="zh-CN"/>
        </w:rPr>
        <w:t>2</w:t>
      </w:r>
    </w:p>
    <w:p>
      <w:pPr>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color w:val="000000"/>
          <w:sz w:val="36"/>
          <w:szCs w:val="36"/>
        </w:rPr>
      </w:pPr>
      <w:r>
        <w:rPr>
          <w:rFonts w:hint="default" w:ascii="Times New Roman" w:hAnsi="Times New Roman" w:eastAsia="方正小标宋简体" w:cs="Times New Roman"/>
          <w:bCs/>
          <w:color w:val="000000"/>
          <w:sz w:val="36"/>
          <w:szCs w:val="36"/>
        </w:rPr>
        <w:t>全</w:t>
      </w:r>
      <w:r>
        <w:rPr>
          <w:rFonts w:hint="eastAsia" w:ascii="Times New Roman" w:hAnsi="Times New Roman" w:eastAsia="方正小标宋简体" w:cs="Times New Roman"/>
          <w:bCs/>
          <w:color w:val="000000"/>
          <w:sz w:val="36"/>
          <w:szCs w:val="36"/>
          <w:lang w:eastAsia="zh-CN"/>
        </w:rPr>
        <w:t>市</w:t>
      </w:r>
      <w:r>
        <w:rPr>
          <w:rFonts w:hint="default" w:ascii="Times New Roman" w:hAnsi="Times New Roman" w:eastAsia="方正小标宋简体" w:cs="Times New Roman"/>
          <w:bCs/>
          <w:color w:val="000000"/>
          <w:sz w:val="36"/>
          <w:szCs w:val="36"/>
        </w:rPr>
        <w:t>重大事故隐患专项排查整治</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0"/>
        <w:rPr>
          <w:rFonts w:hint="default" w:ascii="Times New Roman" w:hAnsi="Times New Roman" w:eastAsia="仿宋_GB2312" w:cs="Times New Roman"/>
          <w:bCs/>
          <w:color w:val="000000"/>
          <w:sz w:val="36"/>
          <w:szCs w:val="36"/>
        </w:rPr>
      </w:pPr>
      <w:r>
        <w:rPr>
          <w:rFonts w:hint="default" w:ascii="Times New Roman" w:hAnsi="Times New Roman" w:eastAsia="方正小标宋简体" w:cs="Times New Roman"/>
          <w:bCs/>
          <w:color w:val="000000"/>
          <w:sz w:val="36"/>
          <w:szCs w:val="36"/>
        </w:rPr>
        <w:t>2023行动进展情况调度表</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rPr>
          <w:rFonts w:hint="default" w:ascii="Times New Roman" w:hAnsi="Times New Roman" w:eastAsia="仿宋_GB2312" w:cs="Times New Roman"/>
          <w:bCs/>
          <w:color w:val="000000"/>
          <w:szCs w:val="21"/>
        </w:rPr>
      </w:pPr>
      <w:r>
        <w:rPr>
          <w:rFonts w:hint="default" w:ascii="Times New Roman" w:hAnsi="Times New Roman" w:eastAsia="仿宋_GB2312" w:cs="Times New Roman"/>
          <w:bCs/>
          <w:color w:val="000000"/>
          <w:szCs w:val="21"/>
          <w:u w:val="none"/>
          <w:lang w:eastAsia="zh-CN"/>
        </w:rPr>
        <w:t>单位</w:t>
      </w:r>
      <w:r>
        <w:rPr>
          <w:rFonts w:hint="default" w:ascii="Times New Roman" w:hAnsi="Times New Roman" w:eastAsia="仿宋_GB2312" w:cs="Times New Roman"/>
          <w:bCs/>
          <w:color w:val="000000"/>
          <w:szCs w:val="21"/>
          <w:u w:val="single"/>
          <w:lang w:val="en-US" w:eastAsia="zh-CN"/>
        </w:rPr>
        <w:t xml:space="preserve">:            </w:t>
      </w:r>
      <w:r>
        <w:rPr>
          <w:rFonts w:hint="default" w:ascii="Times New Roman" w:hAnsi="Times New Roman" w:eastAsia="仿宋_GB2312" w:cs="Times New Roman"/>
          <w:bCs/>
          <w:color w:val="000000"/>
          <w:szCs w:val="21"/>
          <w:u w:val="single"/>
        </w:rPr>
        <w:t xml:space="preserve">       </w:t>
      </w:r>
      <w:r>
        <w:rPr>
          <w:rFonts w:hint="default" w:ascii="Times New Roman" w:hAnsi="Times New Roman" w:eastAsia="仿宋_GB2312" w:cs="Times New Roman"/>
          <w:bCs/>
          <w:color w:val="000000"/>
          <w:szCs w:val="21"/>
        </w:rPr>
        <w:t xml:space="preserve">                       </w:t>
      </w:r>
      <w:r>
        <w:rPr>
          <w:rFonts w:hint="default" w:ascii="Times New Roman" w:hAnsi="Times New Roman" w:eastAsia="仿宋_GB2312" w:cs="Times New Roman"/>
          <w:bCs/>
          <w:color w:val="000000"/>
          <w:szCs w:val="21"/>
          <w:lang w:val="en-US" w:eastAsia="zh-CN"/>
        </w:rPr>
        <w:t xml:space="preserve">       </w:t>
      </w:r>
      <w:r>
        <w:rPr>
          <w:rFonts w:hint="default" w:ascii="Times New Roman" w:hAnsi="Times New Roman" w:eastAsia="仿宋_GB2312" w:cs="Times New Roman"/>
          <w:bCs/>
          <w:color w:val="000000"/>
          <w:szCs w:val="21"/>
        </w:rPr>
        <w:t xml:space="preserve"> 时间：2023年   月   日</w:t>
      </w:r>
    </w:p>
    <w:tbl>
      <w:tblPr>
        <w:tblStyle w:val="10"/>
        <w:tblW w:w="0" w:type="auto"/>
        <w:jc w:val="center"/>
        <w:tblLayout w:type="fixed"/>
        <w:tblCellMar>
          <w:top w:w="0" w:type="dxa"/>
          <w:left w:w="108" w:type="dxa"/>
          <w:bottom w:w="0" w:type="dxa"/>
          <w:right w:w="108" w:type="dxa"/>
        </w:tblCellMar>
      </w:tblPr>
      <w:tblGrid>
        <w:gridCol w:w="983"/>
        <w:gridCol w:w="480"/>
        <w:gridCol w:w="2767"/>
        <w:gridCol w:w="767"/>
        <w:gridCol w:w="421"/>
        <w:gridCol w:w="2835"/>
        <w:gridCol w:w="773"/>
      </w:tblGrid>
      <w:tr>
        <w:tblPrEx>
          <w:tblCellMar>
            <w:top w:w="0" w:type="dxa"/>
            <w:left w:w="108" w:type="dxa"/>
            <w:bottom w:w="0" w:type="dxa"/>
            <w:right w:w="108" w:type="dxa"/>
          </w:tblCellMar>
        </w:tblPrEx>
        <w:trPr>
          <w:trHeight w:val="340"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总体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rPr>
              <w:t>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企业自查发现的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重大事故隐患（个）</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rPr>
                <w:rFonts w:hint="eastAsia" w:ascii="仿宋" w:hAnsi="仿宋" w:eastAsia="仿宋" w:cs="仿宋"/>
                <w:bCs/>
                <w:color w:val="000000"/>
                <w:szCs w:val="21"/>
              </w:rPr>
            </w:pPr>
          </w:p>
        </w:tc>
        <w:tc>
          <w:tcPr>
            <w:tcW w:w="421"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2</w:t>
            </w:r>
          </w:p>
        </w:tc>
        <w:tc>
          <w:tcPr>
            <w:tcW w:w="2835"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企业自查发现重大事故隐患中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已完成整改的（个）</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3</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部门检查发现的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重大事故隐患（个）</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4</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部门检查发现重大事故隐患中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已完成整改的（个）</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left w:val="single" w:color="000000" w:sz="12" w:space="0"/>
              <w:bottom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5</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政府挂牌督办的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重大事故隐患（个）</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6</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挂牌督办重大事故隐患中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已完成整改的（个）</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restar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对企业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rPr>
              <w:t>自查自改进行抽查检查情况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部门抽查检查的企业总数（家）</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2</w:t>
            </w:r>
          </w:p>
        </w:tc>
        <w:tc>
          <w:tcPr>
            <w:tcW w:w="2835"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企业主要负责人未按要求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亲自研究排查整治工作（家）</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rPr>
                <w:rFonts w:hint="eastAsia" w:ascii="仿宋" w:hAnsi="仿宋" w:eastAsia="仿宋" w:cs="仿宋"/>
                <w:bCs/>
                <w:color w:val="000000"/>
                <w:sz w:val="24"/>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3</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企业主要负责人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未带队检查（家）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4</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企业未制定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分管负责人职责清单（家）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rPr>
                <w:rFonts w:hint="eastAsia" w:ascii="仿宋" w:hAnsi="仿宋" w:eastAsia="仿宋" w:cs="仿宋"/>
                <w:bCs/>
                <w:color w:val="000000"/>
                <w:sz w:val="24"/>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5</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企业未依法建立安全管理机构和配足安全管理人员（家）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6</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电焊等特种作业岗位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人员无证上岗作业（家）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rPr>
                <w:rFonts w:hint="eastAsia" w:ascii="仿宋" w:hAnsi="仿宋" w:eastAsia="仿宋" w:cs="仿宋"/>
                <w:bCs/>
                <w:color w:val="000000"/>
                <w:sz w:val="24"/>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7</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外包外租安全管理混乱（家）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8</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未按规定开展应急演练、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员工不熟悉逃生出口（家）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部门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精准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严格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执法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rPr>
              <w:t>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帮扶指导重点</w:t>
            </w:r>
            <w:r>
              <w:rPr>
                <w:rFonts w:hint="eastAsia" w:ascii="仿宋" w:hAnsi="仿宋" w:eastAsia="仿宋" w:cs="仿宋"/>
                <w:bCs/>
                <w:color w:val="000000"/>
                <w:kern w:val="0"/>
                <w:szCs w:val="21"/>
                <w:lang w:eastAsia="zh-CN"/>
              </w:rPr>
              <w:t>乡镇</w:t>
            </w:r>
            <w:r>
              <w:rPr>
                <w:rFonts w:hint="eastAsia" w:ascii="仿宋" w:hAnsi="仿宋" w:eastAsia="仿宋" w:cs="仿宋"/>
                <w:bCs/>
                <w:color w:val="000000"/>
                <w:kern w:val="0"/>
                <w:szCs w:val="21"/>
              </w:rPr>
              <w:t>（个次）</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2</w:t>
            </w:r>
          </w:p>
        </w:tc>
        <w:tc>
          <w:tcPr>
            <w:tcW w:w="2835"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帮扶指导重点企业（家次）</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rPr>
                <w:rFonts w:hint="eastAsia" w:ascii="仿宋" w:hAnsi="仿宋" w:eastAsia="仿宋" w:cs="仿宋"/>
                <w:bCs/>
                <w:color w:val="000000"/>
                <w:sz w:val="24"/>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3</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行政处罚（次，万元）</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4</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企业和企业主要负责人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“一案双罚”（次）</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left w:val="single" w:color="000000" w:sz="12"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rPr>
                <w:rFonts w:hint="eastAsia" w:ascii="仿宋" w:hAnsi="仿宋" w:eastAsia="仿宋" w:cs="仿宋"/>
                <w:bCs/>
                <w:color w:val="000000"/>
                <w:sz w:val="24"/>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5</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移送司法机关（人）</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6</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责令停产整顿（家）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top w:val="single" w:color="auto" w:sz="4" w:space="0"/>
              <w:left w:val="single" w:color="000000" w:sz="12"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rPr>
                <w:rFonts w:hint="eastAsia" w:ascii="仿宋" w:hAnsi="仿宋" w:eastAsia="仿宋" w:cs="仿宋"/>
                <w:bCs/>
                <w:color w:val="000000"/>
                <w:sz w:val="24"/>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7</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曝光、约谈、联合惩戒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企业（家）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8</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公布典型执法案例（个），其中危险作业罪案例（个）</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top w:val="single" w:color="auto" w:sz="4" w:space="0"/>
              <w:left w:val="single" w:color="000000" w:sz="12"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rPr>
                <w:rFonts w:hint="eastAsia" w:ascii="仿宋" w:hAnsi="仿宋" w:eastAsia="仿宋" w:cs="仿宋"/>
                <w:bCs/>
                <w:color w:val="000000"/>
                <w:sz w:val="24"/>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9</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责任倒查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追责问责（人）</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10</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约谈通报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有关</w:t>
            </w:r>
            <w:r>
              <w:rPr>
                <w:rFonts w:hint="eastAsia" w:ascii="仿宋" w:hAnsi="仿宋" w:eastAsia="仿宋" w:cs="仿宋"/>
                <w:bCs/>
                <w:color w:val="000000"/>
                <w:kern w:val="0"/>
                <w:szCs w:val="21"/>
                <w:lang w:eastAsia="zh-CN"/>
              </w:rPr>
              <w:t>乡镇</w:t>
            </w:r>
            <w:r>
              <w:rPr>
                <w:rFonts w:hint="eastAsia" w:ascii="仿宋" w:hAnsi="仿宋" w:eastAsia="仿宋" w:cs="仿宋"/>
                <w:bCs/>
                <w:color w:val="000000"/>
                <w:kern w:val="0"/>
                <w:szCs w:val="21"/>
              </w:rPr>
              <w:t>及部门（次）</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restart"/>
            <w:tcBorders>
              <w:top w:val="single" w:color="auto" w:sz="4" w:space="0"/>
              <w:left w:val="single" w:color="000000" w:sz="12"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党委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政府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组织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领导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rPr>
              <w:t>情况</w:t>
            </w:r>
          </w:p>
        </w:tc>
        <w:tc>
          <w:tcPr>
            <w:tcW w:w="480"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1</w:t>
            </w:r>
          </w:p>
        </w:tc>
        <w:tc>
          <w:tcPr>
            <w:tcW w:w="2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lang w:eastAsia="zh-CN"/>
              </w:rPr>
              <w:t>县</w:t>
            </w:r>
            <w:r>
              <w:rPr>
                <w:rFonts w:hint="eastAsia" w:ascii="仿宋" w:hAnsi="仿宋" w:eastAsia="仿宋" w:cs="仿宋"/>
                <w:bCs/>
                <w:color w:val="000000"/>
                <w:kern w:val="0"/>
                <w:szCs w:val="21"/>
              </w:rPr>
              <w:t>、</w:t>
            </w:r>
            <w:r>
              <w:rPr>
                <w:rFonts w:hint="eastAsia" w:ascii="仿宋" w:hAnsi="仿宋" w:eastAsia="仿宋" w:cs="仿宋"/>
                <w:bCs/>
                <w:color w:val="000000"/>
                <w:kern w:val="0"/>
                <w:szCs w:val="21"/>
                <w:lang w:eastAsia="zh-CN"/>
              </w:rPr>
              <w:t>乡</w:t>
            </w:r>
            <w:r>
              <w:rPr>
                <w:rFonts w:hint="eastAsia" w:ascii="仿宋" w:hAnsi="仿宋" w:eastAsia="仿宋" w:cs="仿宋"/>
                <w:bCs/>
                <w:color w:val="000000"/>
                <w:kern w:val="0"/>
                <w:szCs w:val="21"/>
              </w:rPr>
              <w:t>党委政府分别组织专题学习安全生产十五条硬措施（次）</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p>
        </w:tc>
        <w:tc>
          <w:tcPr>
            <w:tcW w:w="421"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2</w:t>
            </w:r>
          </w:p>
        </w:tc>
        <w:tc>
          <w:tcPr>
            <w:tcW w:w="2835"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lang w:eastAsia="zh-CN"/>
              </w:rPr>
              <w:t>县</w:t>
            </w:r>
            <w:r>
              <w:rPr>
                <w:rFonts w:hint="eastAsia" w:ascii="仿宋" w:hAnsi="仿宋" w:eastAsia="仿宋" w:cs="仿宋"/>
                <w:bCs/>
                <w:color w:val="000000"/>
                <w:kern w:val="0"/>
                <w:szCs w:val="21"/>
              </w:rPr>
              <w:t>、</w:t>
            </w:r>
            <w:r>
              <w:rPr>
                <w:rFonts w:hint="eastAsia" w:ascii="仿宋" w:hAnsi="仿宋" w:eastAsia="仿宋" w:cs="仿宋"/>
                <w:bCs/>
                <w:color w:val="000000"/>
                <w:kern w:val="0"/>
                <w:szCs w:val="21"/>
                <w:lang w:eastAsia="zh-CN"/>
              </w:rPr>
              <w:t>乡</w:t>
            </w:r>
            <w:r>
              <w:rPr>
                <w:rFonts w:hint="eastAsia" w:ascii="仿宋" w:hAnsi="仿宋" w:eastAsia="仿宋" w:cs="仿宋"/>
                <w:bCs/>
                <w:color w:val="000000"/>
                <w:kern w:val="0"/>
                <w:szCs w:val="21"/>
              </w:rPr>
              <w:t>党委政府主要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rPr>
            </w:pPr>
            <w:r>
              <w:rPr>
                <w:rFonts w:hint="eastAsia" w:ascii="仿宋" w:hAnsi="仿宋" w:eastAsia="仿宋" w:cs="仿宋"/>
                <w:bCs/>
                <w:color w:val="000000"/>
                <w:kern w:val="0"/>
                <w:szCs w:val="21"/>
              </w:rPr>
              <w:t>负责同志分别专题研究（次）</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center"/>
              <w:rPr>
                <w:rFonts w:hint="default" w:ascii="Times New Roman" w:hAnsi="Times New Roman" w:eastAsia="仿宋_GB2312" w:cs="Times New Roman"/>
                <w:bCs/>
                <w:color w:val="000000"/>
                <w:kern w:val="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top w:val="single" w:color="auto" w:sz="4" w:space="0"/>
              <w:left w:val="single" w:color="000000" w:sz="12"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rPr>
                <w:rFonts w:hint="eastAsia" w:ascii="仿宋" w:hAnsi="仿宋" w:eastAsia="仿宋" w:cs="仿宋"/>
                <w:bCs/>
                <w:color w:val="000000"/>
                <w:sz w:val="26"/>
                <w:szCs w:val="26"/>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3</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县、乡政府负责同志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分别现场督导检查（次）</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4</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安委会成员单位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负责同志分别到企业宣讲（次）</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top w:val="single" w:color="auto" w:sz="4" w:space="0"/>
              <w:left w:val="single" w:color="000000" w:sz="12"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rPr>
                <w:rFonts w:hint="eastAsia" w:ascii="仿宋" w:hAnsi="仿宋" w:eastAsia="仿宋" w:cs="仿宋"/>
                <w:bCs/>
                <w:color w:val="000000"/>
                <w:sz w:val="26"/>
                <w:szCs w:val="26"/>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5</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举报奖励（万元），其中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匿名举报查实奖励（万元）</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6</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是否在市级主流媒体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播放安全生产专题栏目</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r>
        <w:tblPrEx>
          <w:tblCellMar>
            <w:top w:w="0" w:type="dxa"/>
            <w:left w:w="108" w:type="dxa"/>
            <w:bottom w:w="0" w:type="dxa"/>
            <w:right w:w="108" w:type="dxa"/>
          </w:tblCellMar>
        </w:tblPrEx>
        <w:trPr>
          <w:trHeight w:val="340" w:hRule="atLeast"/>
          <w:jc w:val="center"/>
        </w:trPr>
        <w:tc>
          <w:tcPr>
            <w:tcW w:w="983" w:type="dxa"/>
            <w:vMerge w:val="continue"/>
            <w:tcBorders>
              <w:top w:val="single" w:color="auto" w:sz="4" w:space="0"/>
              <w:left w:val="single" w:color="000000" w:sz="12"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rPr>
                <w:rFonts w:hint="eastAsia" w:ascii="仿宋" w:hAnsi="仿宋" w:eastAsia="仿宋" w:cs="仿宋"/>
                <w:bCs/>
                <w:color w:val="000000"/>
                <w:sz w:val="26"/>
                <w:szCs w:val="26"/>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7</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县级配备专兼职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技术检查员数量（人）</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8</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组织开展考核巡查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lang w:eastAsia="zh-CN"/>
              </w:rPr>
              <w:t>督导检查（次）</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default" w:ascii="Times New Roman" w:hAnsi="Times New Roman" w:eastAsia="仿宋_GB2312" w:cs="Times New Roman"/>
                <w:bCs/>
                <w:color w:val="000000"/>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left="0"/>
        <w:rPr>
          <w:rFonts w:hint="eastAsia" w:ascii="仿宋" w:hAnsi="仿宋" w:eastAsia="仿宋" w:cs="仿宋"/>
          <w:bCs/>
          <w:color w:val="000000"/>
          <w:szCs w:val="21"/>
        </w:rPr>
      </w:pPr>
      <w:r>
        <w:rPr>
          <w:rFonts w:hint="eastAsia" w:ascii="仿宋" w:hAnsi="仿宋" w:eastAsia="仿宋" w:cs="仿宋"/>
          <w:bCs/>
          <w:color w:val="000000"/>
          <w:szCs w:val="21"/>
        </w:rPr>
        <w:t>注：1.</w:t>
      </w:r>
      <w:r>
        <w:rPr>
          <w:rFonts w:hint="eastAsia" w:ascii="仿宋" w:hAnsi="仿宋" w:eastAsia="仿宋" w:cs="仿宋"/>
          <w:bCs/>
          <w:color w:val="000000"/>
          <w:szCs w:val="21"/>
          <w:lang w:eastAsia="zh-CN"/>
        </w:rPr>
        <w:t>市</w:t>
      </w:r>
      <w:r>
        <w:rPr>
          <w:rFonts w:hint="eastAsia" w:ascii="仿宋" w:hAnsi="仿宋" w:eastAsia="仿宋" w:cs="仿宋"/>
          <w:bCs/>
          <w:color w:val="000000"/>
          <w:szCs w:val="21"/>
        </w:rPr>
        <w:t>安委办对各地区工作进展情况进行月度调度。调度表自6月份开始上报，每月1日前上报截至上月末的累计情况。</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contextualSpacing/>
        <w:rPr>
          <w:rFonts w:hint="eastAsia" w:ascii="仿宋" w:hAnsi="仿宋" w:eastAsia="仿宋" w:cs="仿宋"/>
          <w:bCs/>
          <w:color w:val="000000"/>
          <w:szCs w:val="21"/>
        </w:rPr>
        <w:sectPr>
          <w:footerReference r:id="rId3" w:type="default"/>
          <w:pgSz w:w="11906" w:h="16838"/>
          <w:pgMar w:top="1701" w:right="1587" w:bottom="1587" w:left="1588" w:header="851" w:footer="1134" w:gutter="0"/>
          <w:pgNumType w:fmt="decimal"/>
          <w:cols w:space="720" w:num="1"/>
          <w:rtlGutter w:val="0"/>
          <w:docGrid w:type="lines" w:linePitch="312" w:charSpace="0"/>
        </w:sectPr>
      </w:pPr>
      <w:r>
        <w:rPr>
          <w:rFonts w:hint="eastAsia" w:ascii="仿宋" w:hAnsi="仿宋" w:eastAsia="仿宋" w:cs="仿宋"/>
          <w:bCs/>
          <w:color w:val="000000"/>
          <w:szCs w:val="21"/>
        </w:rPr>
        <w:t>2.调度表内容应围绕专项排查整治工作并对照方案具体要求如实填报，特别是对企业自查情况进行抽查检查时，要深挖细查，查出真问题。如：电焊等人员无证上岗作业，既要通过现场检查发现问题，也要通过对企业动火等特种作业存单进行检查核实来发现问题；外包外租管理混乱，是指符合以下情形之一的：承包承租方不具备安全生产条件、未取得相应资质，双方未签订安全生产协议，安全生产管理职责不清，未纳入本企业统一管理。</w:t>
      </w:r>
    </w:p>
    <w:p>
      <w:pPr>
        <w:keepNext w:val="0"/>
        <w:keepLines w:val="0"/>
        <w:pageBreakBefore w:val="0"/>
        <w:widowControl w:val="0"/>
        <w:kinsoku/>
        <w:wordWrap/>
        <w:overflowPunct/>
        <w:topLinePunct w:val="0"/>
        <w:autoSpaceDE/>
        <w:autoSpaceDN/>
        <w:bidi w:val="0"/>
        <w:adjustRightInd/>
        <w:spacing w:line="560" w:lineRule="exact"/>
        <w:ind w:left="0" w:leftChars="0"/>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rPr>
        <w:t>附件</w:t>
      </w:r>
      <w:r>
        <w:rPr>
          <w:rFonts w:hint="default" w:ascii="Times New Roman" w:hAnsi="Times New Roman" w:eastAsia="黑体" w:cs="Times New Roman"/>
          <w:bCs/>
          <w:color w:val="000000"/>
          <w:sz w:val="32"/>
          <w:szCs w:val="32"/>
          <w:lang w:val="en-US" w:eastAsia="zh-CN"/>
        </w:rPr>
        <w:t>3</w:t>
      </w:r>
    </w:p>
    <w:p>
      <w:pPr>
        <w:pStyle w:val="2"/>
        <w:rPr>
          <w:rFonts w:hint="default"/>
          <w:color w:val="000000"/>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000000"/>
          <w:sz w:val="44"/>
          <w:szCs w:val="44"/>
          <w:u w:val="none"/>
          <w:lang w:val="en-US" w:eastAsia="zh-CN"/>
        </w:rPr>
      </w:pPr>
      <w:r>
        <w:rPr>
          <w:rFonts w:hint="default" w:ascii="Times New Roman" w:hAnsi="Times New Roman" w:eastAsia="方正小标宋简体" w:cs="Times New Roman"/>
          <w:color w:val="000000"/>
          <w:sz w:val="44"/>
          <w:szCs w:val="44"/>
          <w:u w:val="single"/>
          <w:lang w:val="en-US" w:eastAsia="zh-CN"/>
        </w:rPr>
        <w:t xml:space="preserve">        </w:t>
      </w:r>
      <w:r>
        <w:rPr>
          <w:rFonts w:hint="default" w:ascii="Times New Roman" w:hAnsi="Times New Roman" w:eastAsia="方正小标宋简体" w:cs="Times New Roman"/>
          <w:color w:val="000000"/>
          <w:sz w:val="44"/>
          <w:szCs w:val="44"/>
          <w:u w:val="none"/>
          <w:lang w:val="en-US" w:eastAsia="zh-CN"/>
        </w:rPr>
        <w:t>安全隐患排查治理情况表</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000000"/>
          <w:sz w:val="40"/>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lang w:val="en-US" w:eastAsia="zh-CN"/>
        </w:rPr>
        <w:t>地址：               企业负责人：          联系电话：        所属行业：           监管部门：</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82"/>
        <w:gridCol w:w="1259"/>
        <w:gridCol w:w="1159"/>
        <w:gridCol w:w="4184"/>
        <w:gridCol w:w="4184"/>
        <w:gridCol w:w="1165"/>
        <w:gridCol w:w="693"/>
        <w:gridCol w:w="6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01" w:hRule="atLeast"/>
          <w:jc w:val="center"/>
        </w:trPr>
        <w:tc>
          <w:tcPr>
            <w:tcW w:w="682" w:type="dxa"/>
            <w:tcBorders>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序号</w:t>
            </w:r>
          </w:p>
        </w:tc>
        <w:tc>
          <w:tcPr>
            <w:tcW w:w="1259" w:type="dxa"/>
            <w:tcBorders>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检查日期</w:t>
            </w:r>
          </w:p>
        </w:tc>
        <w:tc>
          <w:tcPr>
            <w:tcW w:w="1159" w:type="dxa"/>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检查人</w:t>
            </w:r>
          </w:p>
        </w:tc>
        <w:tc>
          <w:tcPr>
            <w:tcW w:w="4184" w:type="dxa"/>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隐患问题</w:t>
            </w:r>
          </w:p>
        </w:tc>
        <w:tc>
          <w:tcPr>
            <w:tcW w:w="4184" w:type="dxa"/>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整改措施</w:t>
            </w:r>
          </w:p>
        </w:tc>
        <w:tc>
          <w:tcPr>
            <w:tcW w:w="1165" w:type="dxa"/>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整改完成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日期</w:t>
            </w:r>
          </w:p>
        </w:tc>
        <w:tc>
          <w:tcPr>
            <w:tcW w:w="693" w:type="dxa"/>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重大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隐患</w:t>
            </w:r>
          </w:p>
        </w:tc>
        <w:tc>
          <w:tcPr>
            <w:tcW w:w="669" w:type="dxa"/>
            <w:tcBorders>
              <w:left w:val="nil"/>
              <w:bottom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一般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center"/>
              <w:rPr>
                <w:rFonts w:hint="default" w:ascii="Times New Roman" w:hAnsi="Times New Roman" w:eastAsia="黑体" w:cs="Times New Roman"/>
                <w:i w:val="0"/>
                <w:iCs w:val="0"/>
                <w:color w:val="000000"/>
                <w:kern w:val="0"/>
                <w:sz w:val="28"/>
                <w:szCs w:val="28"/>
                <w:lang w:val="en-US" w:eastAsia="zh-CN" w:bidi="ar"/>
              </w:rPr>
            </w:pPr>
            <w:r>
              <w:rPr>
                <w:rFonts w:hint="default" w:ascii="Times New Roman" w:hAnsi="Times New Roman" w:eastAsia="黑体" w:cs="Times New Roman"/>
                <w:i w:val="0"/>
                <w:iCs w:val="0"/>
                <w:color w:val="000000"/>
                <w:kern w:val="0"/>
                <w:sz w:val="28"/>
                <w:szCs w:val="28"/>
                <w:lang w:val="en-US" w:eastAsia="zh-CN" w:bidi="ar"/>
              </w:rPr>
              <w:t>隐患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atLeast"/>
          <w:jc w:val="center"/>
        </w:trPr>
        <w:tc>
          <w:tcPr>
            <w:tcW w:w="682" w:type="dxa"/>
            <w:tcBorders>
              <w:top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2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lang w:eastAsia="zh-CN"/>
              </w:rPr>
            </w:pPr>
            <w:r>
              <w:rPr>
                <w:rFonts w:hint="default" w:ascii="Times New Roman" w:hAnsi="Times New Roman" w:cs="Times New Roman"/>
                <w:i w:val="0"/>
                <w:iCs w:val="0"/>
                <w:color w:val="000000"/>
                <w:sz w:val="32"/>
                <w:szCs w:val="32"/>
                <w:lang w:eastAsia="zh-CN"/>
              </w:rPr>
              <w:sym w:font="Wingdings 2" w:char="00A3"/>
            </w:r>
          </w:p>
        </w:tc>
        <w:tc>
          <w:tcPr>
            <w:tcW w:w="669" w:type="dxa"/>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lang w:eastAsia="zh-CN"/>
              </w:rPr>
            </w:pPr>
            <w:r>
              <w:rPr>
                <w:rFonts w:hint="default" w:ascii="Times New Roman" w:hAnsi="Times New Roman" w:cs="Times New Roman"/>
                <w:i w:val="0"/>
                <w:iCs w:val="0"/>
                <w:color w:val="000000"/>
                <w:sz w:val="32"/>
                <w:szCs w:val="32"/>
                <w:lang w:eastAsia="zh-CN"/>
              </w:rPr>
              <w:sym w:font="Wingdings 2" w:char="00A3"/>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atLeast"/>
          <w:jc w:val="center"/>
        </w:trPr>
        <w:tc>
          <w:tcPr>
            <w:tcW w:w="682" w:type="dxa"/>
            <w:tcBorders>
              <w:top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2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r>
              <w:rPr>
                <w:rFonts w:hint="default" w:ascii="Times New Roman" w:hAnsi="Times New Roman" w:cs="Times New Roman"/>
                <w:i w:val="0"/>
                <w:iCs w:val="0"/>
                <w:color w:val="000000"/>
                <w:sz w:val="32"/>
                <w:szCs w:val="32"/>
                <w:lang w:eastAsia="zh-CN"/>
              </w:rPr>
              <w:sym w:font="Wingdings 2" w:char="00A3"/>
            </w:r>
          </w:p>
        </w:tc>
        <w:tc>
          <w:tcPr>
            <w:tcW w:w="669" w:type="dxa"/>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r>
              <w:rPr>
                <w:rFonts w:hint="default" w:ascii="Times New Roman" w:hAnsi="Times New Roman" w:cs="Times New Roman"/>
                <w:i w:val="0"/>
                <w:iCs w:val="0"/>
                <w:color w:val="000000"/>
                <w:sz w:val="32"/>
                <w:szCs w:val="32"/>
                <w:lang w:eastAsia="zh-CN"/>
              </w:rPr>
              <w:sym w:font="Wingdings 2" w:char="00A3"/>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atLeast"/>
          <w:jc w:val="center"/>
        </w:trPr>
        <w:tc>
          <w:tcPr>
            <w:tcW w:w="682" w:type="dxa"/>
            <w:tcBorders>
              <w:top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2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r>
              <w:rPr>
                <w:rFonts w:hint="default" w:ascii="Times New Roman" w:hAnsi="Times New Roman" w:cs="Times New Roman"/>
                <w:i w:val="0"/>
                <w:iCs w:val="0"/>
                <w:color w:val="000000"/>
                <w:sz w:val="32"/>
                <w:szCs w:val="32"/>
                <w:lang w:eastAsia="zh-CN"/>
              </w:rPr>
              <w:sym w:font="Wingdings 2" w:char="00A3"/>
            </w:r>
          </w:p>
        </w:tc>
        <w:tc>
          <w:tcPr>
            <w:tcW w:w="669" w:type="dxa"/>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r>
              <w:rPr>
                <w:rFonts w:hint="default" w:ascii="Times New Roman" w:hAnsi="Times New Roman" w:cs="Times New Roman"/>
                <w:i w:val="0"/>
                <w:iCs w:val="0"/>
                <w:color w:val="000000"/>
                <w:sz w:val="32"/>
                <w:szCs w:val="32"/>
                <w:lang w:eastAsia="zh-CN"/>
              </w:rPr>
              <w:sym w:font="Wingdings 2" w:char="00A3"/>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atLeast"/>
          <w:jc w:val="center"/>
        </w:trPr>
        <w:tc>
          <w:tcPr>
            <w:tcW w:w="682" w:type="dxa"/>
            <w:tcBorders>
              <w:top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2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r>
              <w:rPr>
                <w:rFonts w:hint="default" w:ascii="Times New Roman" w:hAnsi="Times New Roman" w:cs="Times New Roman"/>
                <w:i w:val="0"/>
                <w:iCs w:val="0"/>
                <w:color w:val="000000"/>
                <w:sz w:val="32"/>
                <w:szCs w:val="32"/>
                <w:lang w:eastAsia="zh-CN"/>
              </w:rPr>
              <w:sym w:font="Wingdings 2" w:char="00A3"/>
            </w:r>
          </w:p>
        </w:tc>
        <w:tc>
          <w:tcPr>
            <w:tcW w:w="669" w:type="dxa"/>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r>
              <w:rPr>
                <w:rFonts w:hint="default" w:ascii="Times New Roman" w:hAnsi="Times New Roman" w:cs="Times New Roman"/>
                <w:i w:val="0"/>
                <w:iCs w:val="0"/>
                <w:color w:val="000000"/>
                <w:sz w:val="32"/>
                <w:szCs w:val="32"/>
                <w:lang w:eastAsia="zh-CN"/>
              </w:rPr>
              <w:sym w:font="Wingdings 2" w:char="00A3"/>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atLeast"/>
          <w:jc w:val="center"/>
        </w:trPr>
        <w:tc>
          <w:tcPr>
            <w:tcW w:w="682" w:type="dxa"/>
            <w:tcBorders>
              <w:top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2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r>
              <w:rPr>
                <w:rFonts w:hint="default" w:ascii="Times New Roman" w:hAnsi="Times New Roman" w:cs="Times New Roman"/>
                <w:i w:val="0"/>
                <w:iCs w:val="0"/>
                <w:color w:val="000000"/>
                <w:sz w:val="32"/>
                <w:szCs w:val="32"/>
                <w:lang w:eastAsia="zh-CN"/>
              </w:rPr>
              <w:sym w:font="Wingdings 2" w:char="00A3"/>
            </w:r>
          </w:p>
        </w:tc>
        <w:tc>
          <w:tcPr>
            <w:tcW w:w="669" w:type="dxa"/>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r>
              <w:rPr>
                <w:rFonts w:hint="default" w:ascii="Times New Roman" w:hAnsi="Times New Roman" w:cs="Times New Roman"/>
                <w:i w:val="0"/>
                <w:iCs w:val="0"/>
                <w:color w:val="000000"/>
                <w:sz w:val="32"/>
                <w:szCs w:val="32"/>
                <w:lang w:eastAsia="zh-CN"/>
              </w:rPr>
              <w:sym w:font="Wingdings 2" w:char="00A3"/>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4" w:hRule="atLeast"/>
          <w:jc w:val="center"/>
        </w:trPr>
        <w:tc>
          <w:tcPr>
            <w:tcW w:w="682" w:type="dxa"/>
            <w:tcBorders>
              <w:top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259"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59"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4184"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1165"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p>
        </w:tc>
        <w:tc>
          <w:tcPr>
            <w:tcW w:w="693"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r>
              <w:rPr>
                <w:rFonts w:hint="default" w:ascii="Times New Roman" w:hAnsi="Times New Roman" w:cs="Times New Roman"/>
                <w:i w:val="0"/>
                <w:iCs w:val="0"/>
                <w:color w:val="000000"/>
                <w:sz w:val="32"/>
                <w:szCs w:val="32"/>
                <w:lang w:eastAsia="zh-CN"/>
              </w:rPr>
              <w:sym w:font="Wingdings 2" w:char="00A3"/>
            </w:r>
          </w:p>
        </w:tc>
        <w:tc>
          <w:tcPr>
            <w:tcW w:w="669" w:type="dxa"/>
            <w:tcBorders>
              <w:top w:val="single" w:color="auto" w:sz="4" w:space="0"/>
              <w:left w:val="single" w:color="auto" w:sz="4" w:space="0"/>
            </w:tcBorders>
            <w:noWrap w:val="0"/>
            <w:tcMar>
              <w:top w:w="15" w:type="dxa"/>
              <w:left w:w="15" w:type="dxa"/>
              <w:right w:w="1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cs="Times New Roman"/>
                <w:i w:val="0"/>
                <w:iCs w:val="0"/>
                <w:color w:val="000000"/>
                <w:sz w:val="21"/>
                <w:szCs w:val="21"/>
              </w:rPr>
            </w:pPr>
            <w:r>
              <w:rPr>
                <w:rFonts w:hint="default" w:ascii="Times New Roman" w:hAnsi="Times New Roman" w:cs="Times New Roman"/>
                <w:i w:val="0"/>
                <w:iCs w:val="0"/>
                <w:color w:val="000000"/>
                <w:sz w:val="32"/>
                <w:szCs w:val="32"/>
                <w:lang w:eastAsia="zh-CN"/>
              </w:rPr>
              <w:sym w:font="Wingdings 2" w:char="00A3"/>
            </w:r>
          </w:p>
        </w:tc>
      </w:tr>
    </w:tbl>
    <w:p>
      <w:pPr>
        <w:pStyle w:val="2"/>
        <w:rPr>
          <w:rFonts w:hint="eastAsia" w:ascii="仿宋_GB2312" w:hAnsi="仿宋_GB2312" w:eastAsia="仿宋_GB2312" w:cs="仿宋_GB2312"/>
          <w:color w:val="000000"/>
          <w:sz w:val="32"/>
          <w:szCs w:val="32"/>
        </w:rPr>
      </w:pPr>
      <w:r>
        <w:rPr>
          <w:rFonts w:hint="eastAsia" w:ascii="仿宋" w:hAnsi="仿宋" w:eastAsia="仿宋" w:cs="仿宋"/>
          <w:color w:val="000000"/>
          <w:sz w:val="28"/>
          <w:szCs w:val="28"/>
          <w:lang w:val="en-US" w:eastAsia="zh-CN"/>
        </w:rPr>
        <w:t>※检查人分为企业自查、部门检查、上级部门督查、党委政府领导督查</w:t>
      </w:r>
    </w:p>
    <w:p/>
    <w:sectPr>
      <w:footerReference r:id="rId4" w:type="default"/>
      <w:pgSz w:w="16838" w:h="11906" w:orient="landscape"/>
      <w:pgMar w:top="1588" w:right="1701" w:bottom="1587" w:left="1587" w:header="851" w:footer="113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iddenHorzOCl">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0" w:leftChars="0" w:firstLine="0" w:firstLineChars="0"/>
                            <w:rPr>
                              <w:rFonts w:hint="default" w:ascii="Times New Roman" w:hAnsi="Times New Roman" w:cs="Times New Roman"/>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8"/>
                      <w:ind w:left="0" w:leftChars="0" w:firstLine="0" w:firstLineChars="0"/>
                      <w:rPr>
                        <w:rFonts w:hint="default" w:ascii="Times New Roman" w:hAnsi="Times New Roman" w:cs="Times New Roman"/>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DZiZGQyY2FmNzRjYjMxYWE2YWFiYWU4ZDdiNGYifQ=="/>
  </w:docVars>
  <w:rsids>
    <w:rsidRoot w:val="1C806DD5"/>
    <w:rsid w:val="1C80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adjustRightInd w:val="0"/>
      <w:jc w:val="left"/>
    </w:pPr>
    <w:rPr>
      <w:rFonts w:ascii="HiddenHorzOCl" w:cs="宋体"/>
      <w:color w:val="000000"/>
      <w:kern w:val="0"/>
      <w:sz w:val="24"/>
      <w:szCs w:val="24"/>
    </w:rPr>
  </w:style>
  <w:style w:type="paragraph" w:customStyle="1" w:styleId="3">
    <w:name w:val="正文1"/>
    <w:qFormat/>
    <w:uiPriority w:val="0"/>
    <w:pPr>
      <w:jc w:val="both"/>
    </w:pPr>
    <w:rPr>
      <w:rFonts w:ascii="Times New Roman" w:hAnsi="Times New Roman" w:eastAsia="宋体" w:cs="Times New Roman"/>
      <w:sz w:val="32"/>
      <w:szCs w:val="32"/>
      <w:lang w:val="en-US" w:eastAsia="zh-CN" w:bidi="ar-SA"/>
    </w:rPr>
  </w:style>
  <w:style w:type="paragraph" w:styleId="4">
    <w:name w:val="Normal Indent"/>
    <w:basedOn w:val="1"/>
    <w:qFormat/>
    <w:uiPriority w:val="0"/>
    <w:pPr>
      <w:ind w:firstLine="420" w:firstLineChars="200"/>
    </w:pPr>
    <w:rPr>
      <w:rFonts w:eastAsia="仿宋"/>
      <w:sz w:val="32"/>
    </w:rPr>
  </w:style>
  <w:style w:type="paragraph" w:styleId="5">
    <w:name w:val="Body Text"/>
    <w:basedOn w:val="1"/>
    <w:next w:val="6"/>
    <w:qFormat/>
    <w:uiPriority w:val="0"/>
    <w:rPr>
      <w:rFonts w:ascii="宋体" w:hAnsi="宋体" w:eastAsia="宋体" w:cs="宋体"/>
      <w:sz w:val="32"/>
      <w:szCs w:val="32"/>
      <w:lang w:val="zh-CN" w:eastAsia="zh-CN" w:bidi="zh-CN"/>
    </w:rPr>
  </w:style>
  <w:style w:type="paragraph" w:styleId="6">
    <w:name w:val="toc 5"/>
    <w:basedOn w:val="1"/>
    <w:next w:val="1"/>
    <w:qFormat/>
    <w:uiPriority w:val="0"/>
    <w:pPr>
      <w:ind w:left="1680"/>
    </w:pPr>
    <w:rPr>
      <w:rFonts w:ascii="Times New Roman" w:hAnsi="Times New Roman"/>
    </w:rPr>
  </w:style>
  <w:style w:type="paragraph" w:styleId="7">
    <w:name w:val="Body Text Indent"/>
    <w:basedOn w:val="1"/>
    <w:next w:val="4"/>
    <w:qFormat/>
    <w:uiPriority w:val="0"/>
    <w:pPr>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Body Text First Indent 2"/>
    <w:basedOn w:val="7"/>
    <w:next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2023-07-27T03:37:00Z</dcterms:created>
  <dc:creator>Lenovo</dc:creator>
  <cp:lastModifiedBy>Lenovo</cp:lastModifiedBy>
  <dcterms:modified xsi:type="dcterms:W3CDTF">2023-07-27T03:39:03Z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A8CBDF1A146041B8AB146F9632C18F74_11</vt:lpwstr>
  </property>
</Properties>
</file>