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F6B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FF0000"/>
          <w:sz w:val="28"/>
          <w:szCs w:val="36"/>
          <w:lang w:val="en-US" w:eastAsia="zh-CN"/>
        </w:rPr>
      </w:pPr>
      <w:r>
        <w:rPr>
          <w:rFonts w:hint="eastAsia"/>
          <w:b w:val="0"/>
          <w:bCs w:val="0"/>
          <w:color w:val="auto"/>
          <w:sz w:val="36"/>
          <w:szCs w:val="44"/>
          <w:lang w:val="en-US" w:eastAsia="zh-CN"/>
        </w:rPr>
        <w:t>附件</w:t>
      </w:r>
    </w:p>
    <w:p w14:paraId="47BCB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36"/>
          <w:szCs w:val="44"/>
          <w:lang w:val="en-US" w:eastAsia="zh-CN"/>
        </w:rPr>
      </w:pPr>
      <w:bookmarkStart w:id="0" w:name="_GoBack"/>
      <w:r>
        <w:rPr>
          <w:rFonts w:hint="eastAsia"/>
          <w:b/>
          <w:bCs/>
          <w:color w:val="auto"/>
          <w:sz w:val="36"/>
          <w:szCs w:val="44"/>
          <w:lang w:val="en-US" w:eastAsia="zh-CN"/>
        </w:rPr>
        <w:t>赤壁市禁止开垦陡坡地范围划定技术报告</w:t>
      </w:r>
      <w:bookmarkEnd w:id="0"/>
    </w:p>
    <w:p w14:paraId="7C077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color w:val="auto"/>
          <w:sz w:val="28"/>
          <w:szCs w:val="36"/>
          <w:lang w:val="en-US" w:eastAsia="zh-CN"/>
        </w:rPr>
      </w:pPr>
      <w:r>
        <w:rPr>
          <w:rFonts w:hint="eastAsia"/>
          <w:b w:val="0"/>
          <w:bCs w:val="0"/>
          <w:color w:val="auto"/>
          <w:sz w:val="28"/>
          <w:szCs w:val="36"/>
          <w:lang w:val="en-US" w:eastAsia="zh-CN"/>
        </w:rPr>
        <w:t>（征求意见稿）</w:t>
      </w:r>
    </w:p>
    <w:p w14:paraId="72CF30A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一、划定背景</w:t>
      </w:r>
    </w:p>
    <w:p w14:paraId="1ADE35C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为保护水土资源，有效防止水土流失，根据《中华人民共和国水土保持法》第二十条</w:t>
      </w:r>
      <w:r>
        <w:rPr>
          <w:rFonts w:hint="default" w:ascii="Times New Roman" w:hAnsi="Times New Roman" w:eastAsia="仿宋_GB2312" w:cs="Times New Roman"/>
          <w:bCs/>
          <w:color w:val="auto"/>
          <w:sz w:val="28"/>
          <w:szCs w:val="28"/>
        </w:rPr>
        <w:t>规定</w:t>
      </w:r>
      <w:r>
        <w:rPr>
          <w:rFonts w:hint="eastAsia" w:eastAsia="仿宋_GB2312" w:cs="Times New Roman"/>
          <w:color w:val="auto"/>
          <w:sz w:val="28"/>
          <w:szCs w:val="28"/>
          <w:lang w:eastAsia="zh-CN"/>
        </w:rPr>
        <w:t>“</w:t>
      </w:r>
      <w:r>
        <w:rPr>
          <w:rFonts w:hint="default" w:ascii="Times New Roman" w:hAnsi="Times New Roman" w:eastAsia="仿宋_GB2312" w:cs="Times New Roman"/>
          <w:bCs/>
          <w:color w:val="auto"/>
          <w:sz w:val="28"/>
          <w:szCs w:val="28"/>
        </w:rPr>
        <w:t>禁止在二十五度以上陡坡地开垦种植农作物</w:t>
      </w:r>
      <w:r>
        <w:rPr>
          <w:rFonts w:hint="eastAsia" w:eastAsia="仿宋_GB2312" w:cs="Times New Roman"/>
          <w:color w:val="auto"/>
          <w:sz w:val="28"/>
          <w:szCs w:val="28"/>
          <w:lang w:eastAsia="zh-CN"/>
        </w:rPr>
        <w:t>”；</w:t>
      </w:r>
      <w:r>
        <w:rPr>
          <w:rFonts w:hint="default" w:ascii="Times New Roman" w:hAnsi="Times New Roman" w:eastAsia="仿宋_GB2312" w:cs="Times New Roman"/>
          <w:color w:val="auto"/>
          <w:sz w:val="28"/>
          <w:szCs w:val="28"/>
        </w:rPr>
        <w:t>《湖北省〈中华人民共和国水土保持法〉实施办法》第十一条规定“禁止在二十五度以上（含二十五度）陡坡地开垦种植农作物</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Cs/>
          <w:color w:val="auto"/>
          <w:sz w:val="28"/>
          <w:szCs w:val="28"/>
        </w:rPr>
        <w:t>《中华人民共和国水土保持法》第四十九条的规定，违反本法规定，在禁止开垦坡度以上陡坡地开垦种植农作物，或者在禁止开垦、开发的植物保护带内开垦、开发的，将受到相应的行政处罚，包括责令停止违法行为、采取退耕、恢复植被等补救措施，并处以罚款</w:t>
      </w:r>
      <w:r>
        <w:rPr>
          <w:rFonts w:hint="eastAsia" w:eastAsia="仿宋_GB2312" w:cs="Times New Roman"/>
          <w:bCs/>
          <w:color w:val="auto"/>
          <w:sz w:val="28"/>
          <w:szCs w:val="28"/>
          <w:lang w:eastAsia="zh-CN"/>
        </w:rPr>
        <w:t>；</w:t>
      </w:r>
      <w:r>
        <w:rPr>
          <w:rFonts w:hint="default" w:ascii="Times New Roman" w:hAnsi="Times New Roman" w:eastAsia="仿宋_GB2312" w:cs="Times New Roman"/>
          <w:color w:val="auto"/>
          <w:sz w:val="28"/>
          <w:szCs w:val="28"/>
        </w:rPr>
        <w:t>以及《水利部关于加强水土保持空问管控的意见》(水保</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2024</w:t>
      </w:r>
      <w:r>
        <w:rPr>
          <w:rFonts w:hint="eastAsia"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4号)</w:t>
      </w:r>
      <w:r>
        <w:rPr>
          <w:rFonts w:hint="eastAsia" w:eastAsia="仿宋_GB2312" w:cs="Times New Roman"/>
          <w:color w:val="auto"/>
          <w:sz w:val="28"/>
          <w:szCs w:val="28"/>
          <w:lang w:eastAsia="zh-CN"/>
        </w:rPr>
        <w:t>，</w:t>
      </w:r>
      <w:r>
        <w:rPr>
          <w:rFonts w:hint="eastAsia" w:eastAsia="仿宋_GB2312" w:cs="Times New Roman"/>
          <w:color w:val="auto"/>
          <w:sz w:val="28"/>
          <w:szCs w:val="28"/>
          <w:lang w:val="en-US" w:eastAsia="zh-CN"/>
        </w:rPr>
        <w:t>提出了</w:t>
      </w:r>
      <w:r>
        <w:rPr>
          <w:rFonts w:hint="default" w:ascii="Times New Roman" w:hAnsi="Times New Roman" w:eastAsia="仿宋_GB2312" w:cs="Times New Roman"/>
          <w:color w:val="auto"/>
          <w:sz w:val="28"/>
          <w:szCs w:val="28"/>
        </w:rPr>
        <w:t>关于禁止开垦陡坡地划分工作要求，</w:t>
      </w:r>
      <w:r>
        <w:rPr>
          <w:rFonts w:hint="eastAsia" w:eastAsia="仿宋_GB2312" w:cs="Times New Roman"/>
          <w:color w:val="auto"/>
          <w:sz w:val="28"/>
          <w:szCs w:val="28"/>
          <w:lang w:val="en-US" w:eastAsia="zh-CN"/>
        </w:rPr>
        <w:t>必须</w:t>
      </w:r>
      <w:r>
        <w:rPr>
          <w:rFonts w:hint="default" w:ascii="Times New Roman" w:hAnsi="Times New Roman" w:eastAsia="仿宋_GB2312" w:cs="Times New Roman"/>
          <w:color w:val="auto"/>
          <w:sz w:val="28"/>
          <w:szCs w:val="28"/>
        </w:rPr>
        <w:t>加快推进划定落地，今年须完成以县为单位划定和公告禁止开垦陡坡地种植农作物范围的目标任务</w:t>
      </w:r>
      <w:r>
        <w:rPr>
          <w:rFonts w:hint="eastAsia" w:eastAsia="仿宋_GB2312" w:cs="Times New Roman"/>
          <w:color w:val="auto"/>
          <w:sz w:val="28"/>
          <w:szCs w:val="28"/>
          <w:lang w:eastAsia="zh-CN"/>
        </w:rPr>
        <w:t>，</w:t>
      </w:r>
      <w:r>
        <w:rPr>
          <w:rFonts w:hint="default" w:ascii="Times New Roman" w:hAnsi="Times New Roman" w:eastAsia="仿宋_GB2312" w:cs="Times New Roman"/>
          <w:bCs/>
          <w:color w:val="auto"/>
          <w:sz w:val="28"/>
          <w:szCs w:val="28"/>
        </w:rPr>
        <w:t>坚持山水林田湖草沙生命共同体理念，坚持问题导向、目标导向、结果导向，创新水土流失综合治理模式，因地制宜，精准施策，科学配置工程，提升禁止开垦陡坡地划定治理质量和成效。</w:t>
      </w:r>
      <w:r>
        <w:rPr>
          <w:rFonts w:hint="default" w:ascii="Times New Roman" w:hAnsi="Times New Roman" w:eastAsia="仿宋_GB2312" w:cs="Times New Roman"/>
          <w:color w:val="auto"/>
          <w:sz w:val="28"/>
          <w:szCs w:val="28"/>
        </w:rPr>
        <w:t>在此背景下，</w:t>
      </w:r>
      <w:r>
        <w:rPr>
          <w:rFonts w:hint="eastAsia" w:eastAsia="仿宋_GB2312" w:cs="Times New Roman"/>
          <w:color w:val="auto"/>
          <w:sz w:val="28"/>
          <w:szCs w:val="28"/>
          <w:lang w:val="en-US" w:eastAsia="zh-CN"/>
        </w:rPr>
        <w:t>对赤壁市进行禁止开垦陡坡地范围划定。</w:t>
      </w:r>
    </w:p>
    <w:p w14:paraId="675BFF8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二、划定方法</w:t>
      </w:r>
    </w:p>
    <w:p w14:paraId="25B86C4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default" w:ascii="Times New Roman" w:hAnsi="Times New Roman" w:eastAsia="仿宋_GB2312" w:cs="Times New Roman"/>
          <w:snapToGrid w:val="0"/>
          <w:color w:val="auto"/>
          <w:sz w:val="28"/>
          <w:szCs w:val="21"/>
        </w:rPr>
        <w:t>禁止开垦陡坡地范围采取自上而下和自下而上相结合的方式划定。</w:t>
      </w:r>
    </w:p>
    <w:p w14:paraId="5ACCE2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eastAsia="仿宋_GB2312" w:cs="Times New Roman"/>
          <w:snapToGrid w:val="0"/>
          <w:color w:val="auto"/>
          <w:sz w:val="28"/>
          <w:szCs w:val="21"/>
          <w:lang w:val="en-US" w:eastAsia="zh-CN"/>
        </w:rPr>
        <w:t>1、</w:t>
      </w:r>
      <w:r>
        <w:rPr>
          <w:rFonts w:hint="default" w:ascii="Times New Roman" w:hAnsi="Times New Roman" w:eastAsia="仿宋_GB2312" w:cs="Times New Roman"/>
          <w:snapToGrid w:val="0"/>
          <w:color w:val="auto"/>
          <w:sz w:val="28"/>
          <w:szCs w:val="21"/>
        </w:rPr>
        <w:t>省水行政主管部门根据印发的技术指南，印发通知布置县级开展禁止开垦陡坡地范围划定工作。</w:t>
      </w:r>
    </w:p>
    <w:p w14:paraId="6FEC89D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ascii="Times New Roman" w:hAnsi="Times New Roman" w:eastAsia="仿宋_GB2312" w:cs="Times New Roman"/>
          <w:snapToGrid w:val="0"/>
          <w:color w:val="auto"/>
          <w:sz w:val="28"/>
          <w:szCs w:val="21"/>
          <w:lang w:val="en-US" w:eastAsia="zh-CN"/>
        </w:rPr>
        <w:t>2、</w:t>
      </w:r>
      <w:r>
        <w:rPr>
          <w:rFonts w:hint="default" w:ascii="Times New Roman" w:hAnsi="Times New Roman" w:eastAsia="仿宋_GB2312" w:cs="Times New Roman"/>
          <w:snapToGrid w:val="0"/>
          <w:color w:val="auto"/>
          <w:sz w:val="28"/>
          <w:szCs w:val="21"/>
        </w:rPr>
        <w:t>各县级水行政主管部门牵头组织开展本地禁止开垦陡坡地范围划分，工作中应开展现场实地调查复核，征求县级有关部门意见，形成初步划定成果。</w:t>
      </w:r>
    </w:p>
    <w:p w14:paraId="50262D2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eastAsia="仿宋_GB2312" w:cs="Times New Roman"/>
          <w:snapToGrid w:val="0"/>
          <w:color w:val="auto"/>
          <w:sz w:val="28"/>
          <w:szCs w:val="21"/>
          <w:lang w:val="en-US" w:eastAsia="zh-CN"/>
        </w:rPr>
        <w:t>3、</w:t>
      </w:r>
      <w:r>
        <w:rPr>
          <w:rFonts w:hint="default" w:ascii="Times New Roman" w:hAnsi="Times New Roman" w:eastAsia="仿宋_GB2312" w:cs="Times New Roman"/>
          <w:snapToGrid w:val="0"/>
          <w:color w:val="auto"/>
          <w:sz w:val="28"/>
          <w:szCs w:val="21"/>
        </w:rPr>
        <w:t>市级水行政主管部门要督促指导辖区内各县级行政区按规定要求全面完成禁止开垦陡坡地范围划定和公告。</w:t>
      </w:r>
    </w:p>
    <w:p w14:paraId="5F2E0EA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ascii="Times New Roman" w:hAnsi="Times New Roman" w:eastAsia="仿宋_GB2312" w:cs="Times New Roman"/>
          <w:snapToGrid w:val="0"/>
          <w:color w:val="auto"/>
          <w:sz w:val="28"/>
          <w:szCs w:val="21"/>
        </w:rPr>
      </w:pPr>
      <w:r>
        <w:rPr>
          <w:rFonts w:hint="eastAsia" w:ascii="Times New Roman" w:hAnsi="Times New Roman" w:eastAsia="仿宋_GB2312" w:cs="Times New Roman"/>
          <w:snapToGrid w:val="0"/>
          <w:color w:val="auto"/>
          <w:sz w:val="28"/>
          <w:szCs w:val="21"/>
          <w:lang w:val="en-US" w:eastAsia="zh-CN"/>
        </w:rPr>
        <w:t>4、</w:t>
      </w:r>
      <w:r>
        <w:rPr>
          <w:rFonts w:hint="default" w:ascii="Times New Roman" w:hAnsi="Times New Roman" w:eastAsia="仿宋_GB2312" w:cs="Times New Roman"/>
          <w:snapToGrid w:val="0"/>
          <w:color w:val="auto"/>
          <w:sz w:val="28"/>
          <w:szCs w:val="21"/>
        </w:rPr>
        <w:t>初步划定成果经省级审核通过后，由县级人民政府公告。</w:t>
      </w:r>
    </w:p>
    <w:p w14:paraId="1AE788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color w:val="auto"/>
        </w:rPr>
      </w:pPr>
      <w:r>
        <w:rPr>
          <w:rFonts w:hint="eastAsia" w:eastAsia="仿宋_GB2312" w:cs="Times New Roman"/>
          <w:snapToGrid w:val="0"/>
          <w:color w:val="auto"/>
          <w:sz w:val="28"/>
          <w:szCs w:val="21"/>
          <w:lang w:val="en-US" w:eastAsia="zh-CN"/>
        </w:rPr>
        <w:t>本次划分</w:t>
      </w:r>
      <w:r>
        <w:rPr>
          <w:rFonts w:hint="default" w:ascii="Times New Roman" w:hAnsi="Times New Roman" w:eastAsia="仿宋_GB2312" w:cs="Times New Roman"/>
          <w:snapToGrid w:val="0"/>
          <w:color w:val="auto"/>
          <w:sz w:val="28"/>
          <w:szCs w:val="21"/>
        </w:rPr>
        <w:t>以第三次国土调查正射影像为基础，充分利用现有林地</w:t>
      </w:r>
      <w:r>
        <w:rPr>
          <w:rFonts w:hint="eastAsia" w:ascii="Times New Roman" w:hAnsi="Times New Roman" w:eastAsia="仿宋_GB2312" w:cs="Times New Roman"/>
          <w:snapToGrid w:val="0"/>
          <w:color w:val="auto"/>
          <w:sz w:val="28"/>
          <w:szCs w:val="21"/>
          <w:lang w:eastAsia="zh-CN"/>
        </w:rPr>
        <w:t>、</w:t>
      </w:r>
      <w:r>
        <w:rPr>
          <w:rFonts w:hint="eastAsia" w:ascii="Times New Roman" w:hAnsi="Times New Roman" w:eastAsia="仿宋_GB2312" w:cs="Times New Roman"/>
          <w:snapToGrid w:val="0"/>
          <w:color w:val="auto"/>
          <w:sz w:val="28"/>
          <w:szCs w:val="21"/>
          <w:lang w:val="en-US" w:eastAsia="zh-CN"/>
        </w:rPr>
        <w:t>草地、裸土地</w:t>
      </w:r>
      <w:r>
        <w:rPr>
          <w:rFonts w:hint="default" w:ascii="Times New Roman" w:hAnsi="Times New Roman" w:eastAsia="仿宋_GB2312" w:cs="Times New Roman"/>
          <w:snapToGrid w:val="0"/>
          <w:color w:val="auto"/>
          <w:sz w:val="28"/>
          <w:szCs w:val="21"/>
        </w:rPr>
        <w:t>数据、</w:t>
      </w:r>
      <w:r>
        <w:rPr>
          <w:rFonts w:hint="eastAsia" w:ascii="Times New Roman" w:hAnsi="Times New Roman" w:eastAsia="仿宋_GB2312" w:cs="Times New Roman"/>
          <w:snapToGrid w:val="0"/>
          <w:color w:val="auto"/>
          <w:sz w:val="28"/>
          <w:szCs w:val="21"/>
          <w:lang w:val="en-US" w:eastAsia="zh-CN"/>
        </w:rPr>
        <w:t>通过DEM数据提取的</w:t>
      </w:r>
      <w:r>
        <w:rPr>
          <w:rFonts w:hint="default" w:ascii="Times New Roman" w:hAnsi="Times New Roman" w:eastAsia="仿宋_GB2312" w:cs="Times New Roman"/>
          <w:snapToGrid w:val="0"/>
          <w:color w:val="auto"/>
          <w:sz w:val="28"/>
          <w:szCs w:val="21"/>
        </w:rPr>
        <w:t>坡度图、</w:t>
      </w:r>
      <w:r>
        <w:rPr>
          <w:rFonts w:hint="eastAsia" w:ascii="Times New Roman" w:hAnsi="Times New Roman" w:eastAsia="仿宋_GB2312" w:cs="Times New Roman"/>
          <w:snapToGrid w:val="0"/>
          <w:color w:val="auto"/>
          <w:sz w:val="28"/>
          <w:szCs w:val="21"/>
          <w:lang w:val="en-US" w:eastAsia="zh-CN"/>
        </w:rPr>
        <w:t>结合</w:t>
      </w:r>
      <w:r>
        <w:rPr>
          <w:rFonts w:hint="default" w:ascii="Times New Roman" w:hAnsi="Times New Roman" w:eastAsia="仿宋_GB2312" w:cs="Times New Roman"/>
          <w:snapToGrid w:val="0"/>
          <w:color w:val="auto"/>
          <w:sz w:val="28"/>
          <w:szCs w:val="21"/>
        </w:rPr>
        <w:t>生态保护红线，通过人机交互的方式对数据进行叠加处理，统一建立</w:t>
      </w:r>
      <w:r>
        <w:rPr>
          <w:rFonts w:hint="eastAsia" w:eastAsia="仿宋_GB2312" w:cs="Times New Roman"/>
          <w:snapToGrid w:val="0"/>
          <w:color w:val="auto"/>
          <w:sz w:val="28"/>
          <w:szCs w:val="21"/>
          <w:lang w:val="en-US" w:eastAsia="zh-CN"/>
        </w:rPr>
        <w:t>赤壁市</w:t>
      </w:r>
      <w:r>
        <w:rPr>
          <w:rFonts w:hint="default" w:ascii="Times New Roman" w:hAnsi="Times New Roman" w:eastAsia="仿宋_GB2312" w:cs="Times New Roman"/>
          <w:snapToGrid w:val="0"/>
          <w:color w:val="auto"/>
          <w:sz w:val="28"/>
          <w:szCs w:val="21"/>
        </w:rPr>
        <w:t>陡坡地禁垦区域划定数据库。在此基础上，开展陡坡地禁垦区域划定位置、面积等情况确定，编写陡坡地禁垦区域划定报告和图件编制。</w:t>
      </w:r>
    </w:p>
    <w:p w14:paraId="703A180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sz w:val="28"/>
          <w:szCs w:val="21"/>
          <w:lang w:val="en-US" w:eastAsia="zh-CN"/>
        </w:rPr>
      </w:pPr>
      <w:r>
        <w:rPr>
          <w:rFonts w:hint="eastAsia" w:eastAsia="仿宋_GB2312" w:cs="Times New Roman"/>
          <w:snapToGrid w:val="0"/>
          <w:color w:val="auto"/>
          <w:sz w:val="28"/>
          <w:szCs w:val="21"/>
          <w:lang w:val="en-US" w:eastAsia="zh-CN"/>
        </w:rPr>
        <w:t>本次划定采用2000国家大地坐标系，高斯-克吕格投影（3度分带），1985国家高程基准。以乡镇为基本单元，编制禁止开垦陡坡地面积统计表，主要包括乡镇名称、禁止开垦陡坡地面积、国土面积等基本信息。数据库以图斑为单元构建。</w:t>
      </w:r>
    </w:p>
    <w:p w14:paraId="427675F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三、划定成果</w:t>
      </w:r>
    </w:p>
    <w:p w14:paraId="74543D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经图斑边界调整、现场复核后，赤壁市涉及禁止开垦陡坡地乡镇主要涉及有：茶庵岭镇、车埠镇、赤马港办事处、官塘驿林场、官塘驿镇、陆水湖办事处、蒲圻办事处、神山镇、新店镇、羊楼洞茶场、赵李桥镇、中伙铺镇共12个乡镇；禁止开垦陡坡地面积19331.58hm</w:t>
      </w:r>
      <w:r>
        <w:rPr>
          <w:rFonts w:hint="eastAsia" w:eastAsia="仿宋_GB2312" w:cs="Times New Roman"/>
          <w:snapToGrid w:val="0"/>
          <w:color w:val="auto"/>
          <w:kern w:val="2"/>
          <w:sz w:val="28"/>
          <w:szCs w:val="21"/>
          <w:vertAlign w:val="superscript"/>
          <w:lang w:val="en-US" w:eastAsia="zh-CN" w:bidi="ar-SA"/>
        </w:rPr>
        <w:t>2</w:t>
      </w:r>
      <w:r>
        <w:rPr>
          <w:rFonts w:hint="eastAsia" w:eastAsia="仿宋_GB2312" w:cs="Times New Roman"/>
          <w:snapToGrid w:val="0"/>
          <w:color w:val="auto"/>
          <w:kern w:val="2"/>
          <w:sz w:val="28"/>
          <w:szCs w:val="21"/>
          <w:lang w:val="en-US" w:eastAsia="zh-CN" w:bidi="ar-SA"/>
        </w:rPr>
        <w:t>，占国土面积的11.25%，将划定成果图斑按照乡镇、地类及坡度分割，共生成图斑403个。</w:t>
      </w:r>
    </w:p>
    <w:p w14:paraId="38B033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从土地利用分类来看，图斑地类全部为林地，不涉及草地与裸土地。</w:t>
      </w:r>
    </w:p>
    <w:p w14:paraId="7C0BD99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default"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t>从乡镇分布来看，图斑主要分布于官塘驿镇，占禁垦总面积30.45%</w:t>
      </w:r>
      <w:r>
        <w:rPr>
          <w:rFonts w:hint="default" w:eastAsia="仿宋_GB2312" w:cs="Times New Roman"/>
          <w:snapToGrid w:val="0"/>
          <w:color w:val="auto"/>
          <w:kern w:val="2"/>
          <w:sz w:val="28"/>
          <w:szCs w:val="21"/>
          <w:lang w:val="en-US" w:eastAsia="zh-CN" w:bidi="ar-SA"/>
        </w:rPr>
        <w:t>。</w:t>
      </w:r>
    </w:p>
    <w:p w14:paraId="380C41BD">
      <w:pPr>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br w:type="page"/>
      </w:r>
    </w:p>
    <w:p w14:paraId="1D107D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snapToGrid w:val="0"/>
          <w:color w:val="auto"/>
          <w:sz w:val="28"/>
          <w:szCs w:val="21"/>
        </w:rPr>
      </w:pPr>
      <w:r>
        <w:rPr>
          <w:rFonts w:hint="eastAsia" w:eastAsia="仿宋_GB2312" w:cs="Times New Roman"/>
          <w:b/>
          <w:bCs/>
          <w:snapToGrid w:val="0"/>
          <w:color w:val="auto"/>
          <w:sz w:val="28"/>
          <w:szCs w:val="21"/>
          <w:lang w:eastAsia="zh-CN"/>
        </w:rPr>
        <w:t>赤壁市</w:t>
      </w:r>
      <w:r>
        <w:rPr>
          <w:rFonts w:hint="default" w:ascii="Times New Roman" w:hAnsi="Times New Roman" w:eastAsia="仿宋_GB2312" w:cs="Times New Roman"/>
          <w:b/>
          <w:bCs/>
          <w:snapToGrid w:val="0"/>
          <w:color w:val="auto"/>
          <w:sz w:val="28"/>
          <w:szCs w:val="21"/>
        </w:rPr>
        <w:t>禁止开垦陡坡地</w:t>
      </w:r>
      <w:r>
        <w:rPr>
          <w:rFonts w:hint="eastAsia" w:eastAsia="仿宋_GB2312" w:cs="Times New Roman"/>
          <w:b/>
          <w:bCs/>
          <w:snapToGrid w:val="0"/>
          <w:color w:val="auto"/>
          <w:sz w:val="28"/>
          <w:szCs w:val="21"/>
          <w:lang w:val="en-US" w:eastAsia="zh-CN"/>
        </w:rPr>
        <w:t>分</w:t>
      </w:r>
      <w:r>
        <w:rPr>
          <w:rFonts w:hint="default" w:ascii="Times New Roman" w:hAnsi="Times New Roman" w:eastAsia="仿宋_GB2312" w:cs="Times New Roman"/>
          <w:b/>
          <w:bCs/>
          <w:snapToGrid w:val="0"/>
          <w:color w:val="auto"/>
          <w:sz w:val="28"/>
          <w:szCs w:val="21"/>
        </w:rPr>
        <w:t>乡镇分布表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2723"/>
        <w:gridCol w:w="1227"/>
        <w:gridCol w:w="1246"/>
        <w:gridCol w:w="1176"/>
        <w:gridCol w:w="1404"/>
      </w:tblGrid>
      <w:tr w14:paraId="793C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F33F">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C7B">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乡镇名称</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AE3F">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乡镇面积（hm2）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E308">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图斑面积（hm2）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ABD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占比</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B203">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u w:val="none"/>
                <w:lang w:val="en-US" w:eastAsia="zh-CN" w:bidi="ar"/>
              </w:rPr>
            </w:pPr>
            <w:r>
              <w:rPr>
                <w:rStyle w:val="10"/>
                <w:rFonts w:hint="eastAsia" w:cs="Times New Roman"/>
                <w:color w:val="auto"/>
                <w:kern w:val="2"/>
                <w:sz w:val="24"/>
                <w:szCs w:val="24"/>
                <w:lang w:val="en-US" w:eastAsia="zh-CN" w:bidi="ar"/>
              </w:rPr>
              <w:t>坡度级别</w:t>
            </w:r>
          </w:p>
        </w:tc>
      </w:tr>
      <w:tr w14:paraId="790E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792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6E4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沧湖生态农业开发区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F15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2073.73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24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26A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E0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5662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6CF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67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茶庵岭镇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F78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9403.54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62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1401.22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B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14.90%</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9F5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EE62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F92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3E86">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车埠镇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40B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14723.08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4D9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284.03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F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FF8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5F8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84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4</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B92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赤壁镇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A45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8812.17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745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18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360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4154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D2C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5</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30EC">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赤马港办事处</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023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10051.74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EE7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564.01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05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5.61%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2E4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41D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CB88">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6</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B94C">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官塘驿林场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F3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2140.9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056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810.67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6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37.87%</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181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3D40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FCA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7</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2D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官塘驿镇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EA2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31585.05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9411">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5886.23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F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18.64%</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195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7540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D6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8</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F1AD">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黄盖湖镇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DD0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2147.3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808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C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26B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3E5C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62E1">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3E05">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柳山湖镇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03D8">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3258.49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11BF">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E5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B29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534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7E4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10</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50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陆水湖办事处</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02E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13119.91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2E6B">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3358.65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E7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25.60%</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BAE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427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60AF">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11</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310">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蒲圻办事处</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328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7273.17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AF1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214.46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9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E2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A6C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10C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12</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A8AE">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神山镇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733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18586.75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70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276.80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A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6F05">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AAC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EB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13</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14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新店镇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DEA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9939.22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FFD3">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473.20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0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4.76%</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8114">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5B90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DBB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14</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A6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羊楼洞茶场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8B15">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2140.9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0E1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B5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4B6">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107C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D58C">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15</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EA4">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余家桥乡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F80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11071.06</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07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17.50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0D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0.16%</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10E3">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29C0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F7B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16</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A1A3">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赵李桥镇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A1D">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12235.49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2E90">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5193.90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49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42.45%</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6998">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4876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E52B">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17</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0122">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中伙铺镇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9184">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15350.63</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50E">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850.92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44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5.54%</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5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u w:val="none"/>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r w14:paraId="0A03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D666">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46B4">
            <w:pPr>
              <w:keepNext w:val="0"/>
              <w:keepLines w:val="0"/>
              <w:widowControl/>
              <w:suppressLineNumbers w:val="0"/>
              <w:jc w:val="center"/>
              <w:textAlignment w:val="center"/>
              <w:rPr>
                <w:rStyle w:val="10"/>
                <w:rFonts w:hint="eastAsia" w:ascii="Times New Roman" w:hAnsi="Times New Roman" w:cs="Times New Roman"/>
                <w:color w:val="auto"/>
                <w:kern w:val="2"/>
                <w:sz w:val="24"/>
                <w:szCs w:val="24"/>
                <w:lang w:val="en-US" w:eastAsia="zh-CN" w:bidi="ar"/>
              </w:rPr>
            </w:pPr>
            <w:r>
              <w:rPr>
                <w:rStyle w:val="10"/>
                <w:rFonts w:hint="eastAsia" w:ascii="Times New Roman" w:hAnsi="Times New Roman" w:cs="Times New Roman"/>
                <w:color w:val="auto"/>
                <w:kern w:val="2"/>
                <w:sz w:val="24"/>
                <w:szCs w:val="24"/>
                <w:lang w:val="en-US" w:eastAsia="zh-CN" w:bidi="ar"/>
              </w:rPr>
              <w:t>合计</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0DA">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171772</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327">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19331.58 </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7F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11.25</w:t>
            </w:r>
            <w:r>
              <w:rPr>
                <w:rFonts w:hint="default" w:ascii="Times New Roman" w:hAnsi="Times New Roman" w:eastAsia="宋体" w:cs="Times New Roman"/>
                <w:i w:val="0"/>
                <w:iCs w:val="0"/>
                <w:color w:val="000000"/>
                <w:kern w:val="0"/>
                <w:sz w:val="24"/>
                <w:szCs w:val="24"/>
                <w:u w:val="none"/>
                <w:lang w:val="en-US" w:eastAsia="zh-CN" w:bidi="ar"/>
              </w:rPr>
              <w:t>%</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D19">
            <w:pPr>
              <w:keepNext w:val="0"/>
              <w:keepLines w:val="0"/>
              <w:widowControl/>
              <w:suppressLineNumbers w:val="0"/>
              <w:jc w:val="center"/>
              <w:textAlignment w:val="center"/>
              <w:rPr>
                <w:rStyle w:val="10"/>
                <w:rFonts w:hint="default" w:ascii="Times New Roman" w:hAnsi="Times New Roman" w:cs="Times New Roman"/>
                <w:color w:val="auto"/>
                <w:kern w:val="2"/>
                <w:sz w:val="24"/>
                <w:szCs w:val="24"/>
                <w:lang w:val="en-US" w:eastAsia="zh-CN" w:bidi="ar"/>
              </w:rPr>
            </w:pPr>
            <w:r>
              <w:rPr>
                <w:rStyle w:val="10"/>
                <w:rFonts w:hint="default" w:ascii="Times New Roman" w:hAnsi="Times New Roman" w:cs="Times New Roman"/>
                <w:color w:val="auto"/>
                <w:kern w:val="2"/>
                <w:sz w:val="24"/>
                <w:szCs w:val="24"/>
                <w:lang w:val="en-US" w:eastAsia="zh-CN" w:bidi="ar"/>
              </w:rPr>
              <w:t>大于25度</w:t>
            </w:r>
          </w:p>
        </w:tc>
      </w:tr>
    </w:tbl>
    <w:p w14:paraId="5F8DA53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仿宋_GB2312" w:cs="Times New Roman"/>
          <w:snapToGrid w:val="0"/>
          <w:color w:val="auto"/>
          <w:kern w:val="2"/>
          <w:sz w:val="28"/>
          <w:szCs w:val="21"/>
          <w:lang w:val="en-US" w:eastAsia="zh-CN" w:bidi="ar-SA"/>
        </w:rPr>
        <w:sectPr>
          <w:pgSz w:w="11906" w:h="16838"/>
          <w:pgMar w:top="1440" w:right="1800" w:bottom="1440" w:left="1800" w:header="851" w:footer="992" w:gutter="0"/>
          <w:cols w:space="425" w:num="1"/>
          <w:docGrid w:type="lines" w:linePitch="312" w:charSpace="0"/>
        </w:sectPr>
      </w:pPr>
    </w:p>
    <w:p w14:paraId="3BD411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仿宋_GB2312" w:cs="Times New Roman"/>
          <w:snapToGrid w:val="0"/>
          <w:color w:val="auto"/>
          <w:kern w:val="2"/>
          <w:sz w:val="28"/>
          <w:szCs w:val="21"/>
          <w:lang w:val="en-US" w:eastAsia="zh-CN" w:bidi="ar-SA"/>
        </w:rPr>
      </w:pPr>
      <w:r>
        <w:rPr>
          <w:rFonts w:hint="eastAsia" w:eastAsia="仿宋_GB2312" w:cs="Times New Roman"/>
          <w:snapToGrid w:val="0"/>
          <w:color w:val="auto"/>
          <w:kern w:val="2"/>
          <w:sz w:val="28"/>
          <w:szCs w:val="21"/>
          <w:lang w:val="en-US" w:eastAsia="zh-CN" w:bidi="ar-SA"/>
        </w:rPr>
        <w:drawing>
          <wp:inline distT="0" distB="0" distL="114300" distR="114300">
            <wp:extent cx="7456805" cy="5273675"/>
            <wp:effectExtent l="0" t="0" r="10795" b="3175"/>
            <wp:docPr id="1" name="图片 1" descr="赤壁市禁止开垦陡坡地图斑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赤壁市禁止开垦陡坡地图斑分布图"/>
                    <pic:cNvPicPr>
                      <a:picLocks noChangeAspect="1"/>
                    </pic:cNvPicPr>
                  </pic:nvPicPr>
                  <pic:blipFill>
                    <a:blip r:embed="rId4"/>
                    <a:stretch>
                      <a:fillRect/>
                    </a:stretch>
                  </pic:blipFill>
                  <pic:spPr>
                    <a:xfrm>
                      <a:off x="0" y="0"/>
                      <a:ext cx="7456805" cy="5273675"/>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78DE8"/>
    <w:multiLevelType w:val="singleLevel"/>
    <w:tmpl w:val="2D578D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D37A1"/>
    <w:rsid w:val="02BC4A08"/>
    <w:rsid w:val="0A871D5F"/>
    <w:rsid w:val="0B4B5B4D"/>
    <w:rsid w:val="120936F0"/>
    <w:rsid w:val="1BEA2506"/>
    <w:rsid w:val="34E900DB"/>
    <w:rsid w:val="37773D0B"/>
    <w:rsid w:val="39814AF6"/>
    <w:rsid w:val="3C630CC5"/>
    <w:rsid w:val="41780CC1"/>
    <w:rsid w:val="48515DC8"/>
    <w:rsid w:val="4B232B7B"/>
    <w:rsid w:val="5B0E7B48"/>
    <w:rsid w:val="5BB93AED"/>
    <w:rsid w:val="5FAD37A1"/>
    <w:rsid w:val="5FB05672"/>
    <w:rsid w:val="61C066A1"/>
    <w:rsid w:val="6A0340BD"/>
    <w:rsid w:val="75D048B5"/>
    <w:rsid w:val="7D9D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List Bullet 5"/>
    <w:basedOn w:val="1"/>
    <w:qFormat/>
    <w:uiPriority w:val="0"/>
    <w:pPr>
      <w:numPr>
        <w:ilvl w:val="0"/>
        <w:numId w:val="1"/>
      </w:numPr>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0"/>
    <w:pPr>
      <w:ind w:firstLine="420" w:firstLineChars="200"/>
    </w:pPr>
    <w:rPr>
      <w:rFonts w:ascii="Calibri" w:hAnsi="Calibri" w:cs="Calibri"/>
      <w:szCs w:val="21"/>
    </w:rPr>
  </w:style>
  <w:style w:type="character" w:customStyle="1" w:styleId="10">
    <w:name w:val="font41"/>
    <w:basedOn w:val="8"/>
    <w:qFormat/>
    <w:uiPriority w:val="0"/>
    <w:rPr>
      <w:rFonts w:hint="eastAsia" w:ascii="仿宋_GB2312" w:eastAsia="仿宋_GB2312" w:cs="仿宋_GB2312"/>
      <w:color w:val="000000"/>
      <w:sz w:val="20"/>
      <w:szCs w:val="20"/>
      <w:u w:val="none"/>
    </w:rPr>
  </w:style>
  <w:style w:type="character" w:customStyle="1" w:styleId="11">
    <w:name w:val="font51"/>
    <w:basedOn w:val="8"/>
    <w:qFormat/>
    <w:uiPriority w:val="0"/>
    <w:rPr>
      <w:rFonts w:hint="default" w:ascii="Times New Roman" w:hAnsi="Times New Roman" w:cs="Times New Roman"/>
      <w:color w:val="000000"/>
      <w:sz w:val="24"/>
      <w:szCs w:val="24"/>
      <w:u w:val="none"/>
    </w:rPr>
  </w:style>
  <w:style w:type="character" w:customStyle="1" w:styleId="12">
    <w:name w:val="font61"/>
    <w:basedOn w:val="8"/>
    <w:qFormat/>
    <w:uiPriority w:val="0"/>
    <w:rPr>
      <w:rFonts w:hint="default" w:ascii="Times New Roman" w:hAnsi="Times New Roman" w:cs="Times New Roman"/>
      <w:color w:val="000000"/>
      <w:sz w:val="24"/>
      <w:szCs w:val="24"/>
      <w:u w:val="none"/>
      <w:vertAlign w:val="superscript"/>
    </w:rPr>
  </w:style>
  <w:style w:type="character" w:customStyle="1" w:styleId="13">
    <w:name w:val="font2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1972</Words>
  <Characters>2304</Characters>
  <Lines>0</Lines>
  <Paragraphs>0</Paragraphs>
  <TotalTime>17</TotalTime>
  <ScaleCrop>false</ScaleCrop>
  <LinksUpToDate>false</LinksUpToDate>
  <CharactersWithSpaces>2317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2025-04-14T07:59:00Z</dcterms:created>
  <dc:creator>阿峰</dc:creator>
  <cp:lastModifiedBy>zrx</cp:lastModifiedBy>
  <dcterms:modified xsi:type="dcterms:W3CDTF">2025-08-06T02:24:12Z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6C46C6457A4A4D4EBF3478800645DE2C_11</vt:lpwstr>
  </property>
  <property fmtid="{D5CDD505-2E9C-101B-9397-08002B2CF9AE}" pid="4" name="KSOTemplateDocerSaveRecord">
    <vt:lpwstr>eyJoZGlkIjoiZjg1NzNiNjg4YjQ4ZDQ1YjI2ZDQyZTJlM2NlZTgwMzkiLCJ1c2VySWQiOiIxMTY1NjU1MjA1In0=</vt:lpwstr>
  </property>
</Properties>
</file>