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Ansi="方正小标宋简体" w:hint="eastAsia"/>
          <w:b/>
          <w:bCs/>
          <w:sz w:val="44"/>
          <w:szCs w:val="44"/>
          <w:lang w:val="en-US" w:eastAsia="zh-CN"/>
        </w:rPr>
      </w:pPr>
      <w:bookmarkStart w:id="0" w:name="_GoBack"/>
      <w:bookmarkEnd w:id="0"/>
      <w:r>
        <w:rPr>
          <w:rFonts w:ascii="方正小标宋简体" w:eastAsia="方正小标宋简体" w:cs="方正小标宋简体" w:hAnsi="方正小标宋简体" w:hint="eastAsia"/>
          <w:b/>
          <w:bCs/>
          <w:sz w:val="44"/>
          <w:szCs w:val="44"/>
        </w:rPr>
        <w:t>赤壁市</w:t>
      </w:r>
      <w:r>
        <w:rPr>
          <w:rFonts w:ascii="方正小标宋简体" w:eastAsia="方正小标宋简体" w:cs="方正小标宋简体" w:hAnsi="方正小标宋简体" w:hint="eastAsia"/>
          <w:b/>
          <w:bCs/>
          <w:sz w:val="44"/>
          <w:szCs w:val="44"/>
          <w:lang w:val="en-US" w:eastAsia="zh-CN"/>
        </w:rPr>
        <w:t>供销合作社联合社</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Ansi="方正小标宋简体" w:hint="eastAsia"/>
          <w:sz w:val="44"/>
          <w:szCs w:val="44"/>
        </w:rPr>
      </w:pPr>
      <w:r>
        <w:rPr>
          <w:rFonts w:ascii="方正小标宋简体" w:eastAsia="方正小标宋简体" w:cs="方正小标宋简体" w:hAnsi="方正小标宋简体" w:hint="eastAsia"/>
          <w:sz w:val="44"/>
          <w:szCs w:val="44"/>
          <w:lang w:eastAsia="zh-CN"/>
        </w:rPr>
        <w:t>202</w:t>
      </w:r>
      <w:r>
        <w:rPr>
          <w:rFonts w:ascii="方正小标宋简体" w:eastAsia="方正小标宋简体" w:cs="方正小标宋简体" w:hAnsi="方正小标宋简体" w:hint="eastAsia"/>
          <w:sz w:val="44"/>
          <w:szCs w:val="44"/>
          <w:lang w:val="en-US" w:eastAsia="zh-CN"/>
        </w:rPr>
        <w:t>5</w:t>
      </w:r>
      <w:r>
        <w:rPr>
          <w:rFonts w:ascii="方正小标宋简体" w:eastAsia="方正小标宋简体" w:cs="方正小标宋简体" w:hAnsi="方正小标宋简体" w:hint="eastAsia"/>
          <w:sz w:val="44"/>
          <w:szCs w:val="44"/>
          <w:lang w:eastAsia="zh-CN"/>
        </w:rPr>
        <w:t>年</w:t>
      </w:r>
      <w:r>
        <w:rPr>
          <w:rFonts w:ascii="方正小标宋简体" w:eastAsia="方正小标宋简体" w:cs="方正小标宋简体" w:hAnsi="方正小标宋简体" w:hint="eastAsia"/>
          <w:b/>
          <w:bCs/>
          <w:sz w:val="44"/>
          <w:szCs w:val="44"/>
          <w:lang w:eastAsia="zh-CN"/>
        </w:rPr>
        <w:t>度</w:t>
      </w:r>
      <w:r>
        <w:rPr>
          <w:rFonts w:ascii="方正小标宋简体" w:eastAsia="方正小标宋简体" w:cs="方正小标宋简体" w:hAnsi="方正小标宋简体" w:hint="eastAsia"/>
          <w:sz w:val="44"/>
          <w:szCs w:val="44"/>
        </w:rPr>
        <w:t>部门预算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eastAsia="黑体" w:cs="黑体" w:hAnsi="黑体" w:hint="eastAsia"/>
          <w:sz w:val="32"/>
          <w:szCs w:val="32"/>
        </w:rPr>
      </w:pPr>
      <w:r>
        <w:rPr>
          <w:rFonts w:ascii="方正小标宋简体" w:eastAsia="方正小标宋简体" w:cs="方正小标宋简体" w:hAnsi="方正小标宋简体" w:hint="eastAsia"/>
          <w:sz w:val="44"/>
          <w:szCs w:val="44"/>
          <w:lang w:val="en-US" w:eastAsia="zh-CN"/>
        </w:rPr>
        <w:t>目  录</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t>第一部分  部门概况</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（一）主要职责及机构设置</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（二）人员情况</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（三）年度主要工作任务</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（四）部门预算单位构成</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rPr>
      </w:pPr>
      <w:r>
        <w:rPr>
          <w:rFonts w:ascii="黑体" w:eastAsia="黑体" w:cs="黑体" w:hAnsi="黑体" w:hint="eastAsia"/>
          <w:b/>
          <w:bCs/>
          <w:sz w:val="32"/>
          <w:szCs w:val="32"/>
          <w:lang w:val="en-US" w:eastAsia="zh-CN"/>
        </w:rPr>
        <w:t>第二部分  2025年部门预算编制情况及说明</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（一）部门预算收支总体情况</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（二）部门预算收入情况说明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（三）部门预算支出情况说明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（四）预算收支增减变化情况</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（五）政府性基金预算支出情况说明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（六）国有资本经营预算支出情况说明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（七）“三公”经费、会议费、培训费支出预算情况说明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（八）机关运行经费安排情况说明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（九）政府采购安排情况说明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（十）国有资产占用情况说明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（十一）绩效目标设置情况说明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（十二）政府购买服务情况说明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ascii="仿宋_GB2312" w:eastAsia="仿宋_GB2312" w:cs="仿宋_GB2312" w:hAnsi="仿宋_GB2312" w:hint="eastAsia"/>
          <w:sz w:val="32"/>
          <w:szCs w:val="32"/>
          <w:lang w:val="en-US" w:eastAsia="zh-CN"/>
        </w:rPr>
        <w:t>（十三）政府债务情况说明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t>第三部分  名词解释</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t>第四部分  2025年部门预算表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br w:type="page"/>
      </w:r>
      <w:r>
        <w:rPr>
          <w:rFonts w:ascii="黑体" w:eastAsia="黑体" w:cs="黑体" w:hAnsi="黑体" w:hint="eastAsia"/>
          <w:b/>
          <w:bCs/>
          <w:sz w:val="32"/>
          <w:szCs w:val="32"/>
          <w:lang w:val="en-US" w:eastAsia="zh-CN"/>
        </w:rPr>
        <w:t>第一部分  部门概况</w:t>
      </w:r>
    </w:p>
    <w:p>
      <w:pPr>
        <w:keepNext w:val="0"/>
        <w:keepLines w:val="0"/>
        <w:pageBreakBefore w:val="0"/>
        <w:kinsoku/>
        <w:wordWrap/>
        <w:overflowPunct/>
        <w:topLinePunct w:val="0"/>
        <w:autoSpaceDE/>
        <w:autoSpaceDN/>
        <w:bidi w:val="0"/>
        <w:adjustRightInd/>
        <w:snapToGrid/>
        <w:spacing w:line="560" w:lineRule="exact"/>
        <w:ind w:left="0" w:firstLineChars="200" w:firstLine="640"/>
        <w:jc w:val="both"/>
        <w:textAlignment w:val="auto"/>
        <w:rPr>
          <w:rFonts w:ascii="黑体" w:eastAsia="黑体" w:cs="黑体" w:hAnsi="黑体" w:hint="eastAsia"/>
          <w:b/>
          <w:bCs/>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Ansi="仿宋_GB2312" w:hint="eastAsia"/>
          <w:sz w:val="32"/>
          <w:szCs w:val="32"/>
          <w:lang w:eastAsia="zh-CN"/>
        </w:rPr>
      </w:pPr>
      <w:r>
        <w:rPr>
          <w:rFonts w:ascii="黑体" w:eastAsia="黑体" w:cs="黑体" w:hAnsi="黑体" w:hint="eastAsia"/>
          <w:b/>
          <w:bCs/>
          <w:sz w:val="32"/>
          <w:szCs w:val="32"/>
          <w:lang w:eastAsia="zh-CN"/>
        </w:rPr>
        <w:t>一、主要职责及机构设置</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楷体_GB2312" w:eastAsia="楷体_GB2312" w:cs="楷体_GB2312" w:hAnsi="楷体_GB2312" w:hint="eastAsia"/>
          <w:b/>
          <w:bCs w:val="0"/>
          <w:kern w:val="2"/>
          <w:sz w:val="32"/>
          <w:szCs w:val="32"/>
          <w:lang w:val="en-US" w:eastAsia="zh-CN"/>
        </w:rPr>
      </w:pPr>
      <w:r>
        <w:rPr>
          <w:rFonts w:ascii="楷体_GB2312" w:eastAsia="楷体_GB2312" w:cs="楷体_GB2312" w:hAnsi="楷体_GB2312" w:hint="eastAsia"/>
          <w:b w:val="0"/>
          <w:bCs/>
          <w:kern w:val="2"/>
          <w:sz w:val="32"/>
          <w:szCs w:val="32"/>
          <w:lang w:val="en-US" w:eastAsia="zh-CN"/>
        </w:rPr>
        <w:t>（一）主要职责</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kern w:val="2"/>
          <w:sz w:val="32"/>
          <w:szCs w:val="32"/>
          <w:lang w:val="en-US" w:eastAsia="zh-CN"/>
        </w:rPr>
      </w:pPr>
      <w:r>
        <w:rPr>
          <w:rFonts w:ascii="仿宋" w:eastAsia="仿宋" w:cs="仿宋" w:hAnsi="仿宋" w:hint="eastAsia"/>
          <w:bCs/>
          <w:kern w:val="2"/>
          <w:sz w:val="32"/>
          <w:szCs w:val="32"/>
          <w:lang w:val="en-US" w:eastAsia="zh-CN"/>
        </w:rPr>
        <w:t>1、贯彻执行党中央、国务院及省、市有关农村经济工作的方针、政策和法规，深化综合改革，加快建设数字供销，以数字化转型提升农业农村现代化水平。具体研究制订并落实全市合作经济的发展战略和发展规划，指导全市供销社系统合作经济组织参与乡村振兴战略和改革发展。</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kern w:val="2"/>
          <w:sz w:val="32"/>
          <w:szCs w:val="32"/>
          <w:lang w:val="en-US" w:eastAsia="zh-CN"/>
        </w:rPr>
      </w:pPr>
      <w:r>
        <w:rPr>
          <w:rFonts w:ascii="仿宋" w:eastAsia="仿宋" w:cs="仿宋" w:hAnsi="仿宋" w:hint="eastAsia"/>
          <w:bCs/>
          <w:kern w:val="2"/>
          <w:sz w:val="32"/>
          <w:szCs w:val="32"/>
          <w:lang w:val="en-US" w:eastAsia="zh-CN"/>
        </w:rPr>
        <w:t>2、按照政府授权和委托，对化肥、农药、农膜等主要农业生产资料和防汛物资、再生资源、烟花爆竹等行业实行行业管理。对重要农产品的收购、调拨、储备等方面进行组织、协调和管理，对果蔬、茶叶、小龙虾等农产品生产销售进行指导。</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kern w:val="2"/>
          <w:sz w:val="32"/>
          <w:szCs w:val="32"/>
          <w:lang w:val="en-US" w:eastAsia="zh-CN"/>
        </w:rPr>
      </w:pPr>
      <w:r>
        <w:rPr>
          <w:rFonts w:ascii="仿宋" w:eastAsia="仿宋" w:cs="仿宋" w:hAnsi="仿宋" w:hint="eastAsia"/>
          <w:bCs/>
          <w:kern w:val="2"/>
          <w:sz w:val="32"/>
          <w:szCs w:val="32"/>
          <w:lang w:val="en-US" w:eastAsia="zh-CN"/>
        </w:rPr>
        <w:t>3、指导全市供销社系统各类合作经济组织的业务活动。加强业务技术培训和职业道德教育，积极参与乡村振兴建设，为农业、农村、农民提供综合服务。兴办村级综合服务社、“三农”服务中心、庄稼医院、村级基层社等服务组织，引导农民组建专业合作社，组织兴办合作经济龙头企业，参与农业社会化服务，完善体制机制，拓宽服务领域，加快成为服务农民生产生活的综合平台，成为党和政府密切联系农民群众的桥梁纽带，为推进乡村振兴贡献力量。拓展“三农”增收的渠道，推动全市供销事业和合作经济健康发展。</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kern w:val="2"/>
          <w:sz w:val="32"/>
          <w:szCs w:val="32"/>
          <w:lang w:val="en-US" w:eastAsia="zh-CN"/>
        </w:rPr>
      </w:pPr>
      <w:r>
        <w:rPr>
          <w:rFonts w:ascii="仿宋" w:eastAsia="仿宋" w:cs="仿宋" w:hAnsi="仿宋" w:hint="eastAsia"/>
          <w:bCs/>
          <w:kern w:val="2"/>
          <w:sz w:val="32"/>
          <w:szCs w:val="32"/>
          <w:lang w:val="en-US" w:eastAsia="zh-CN"/>
        </w:rPr>
        <w:t>4、协调与相关部门、社会组织的关系，充分利用好保护和扶持合作经济组织的有关政策。维护供销合作社系统内各类涉农合作经济组织的合法权益，协同有关部门组织指导供销社企业与各类合作经济组织之间的经济合作，促进合作经济的繁荣。</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kern w:val="2"/>
          <w:sz w:val="32"/>
          <w:szCs w:val="32"/>
          <w:lang w:val="en-US" w:eastAsia="zh-CN"/>
        </w:rPr>
      </w:pPr>
      <w:r>
        <w:rPr>
          <w:rFonts w:ascii="仿宋" w:eastAsia="仿宋" w:cs="仿宋" w:hAnsi="仿宋" w:hint="eastAsia"/>
          <w:bCs/>
          <w:kern w:val="2"/>
          <w:sz w:val="32"/>
          <w:szCs w:val="32"/>
          <w:lang w:val="en-US" w:eastAsia="zh-CN"/>
        </w:rPr>
        <w:t>5、会同应急、公安、市场监督、城管等部门管理全市烟花爆竹经营零售网点；负责系统内烟花爆竹的批发经营；协同做好烟花爆竹安全经营和相关地方的禁鞭管理。</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kern w:val="2"/>
          <w:sz w:val="32"/>
          <w:szCs w:val="32"/>
          <w:lang w:val="en-US" w:eastAsia="zh-CN"/>
        </w:rPr>
      </w:pPr>
      <w:r>
        <w:rPr>
          <w:rFonts w:ascii="仿宋" w:eastAsia="仿宋" w:cs="仿宋" w:hAnsi="仿宋" w:hint="eastAsia"/>
          <w:bCs/>
          <w:kern w:val="2"/>
          <w:sz w:val="32"/>
          <w:szCs w:val="32"/>
          <w:lang w:val="en-US" w:eastAsia="zh-CN"/>
        </w:rPr>
        <w:t>6、设立社有资产管理委员会，负责行使本级社社有资产出资人的职能，并按出资额依法享有资产受益、重大决策和选择管理者的权利，确保社有资产保值增值。</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kern w:val="2"/>
          <w:sz w:val="32"/>
          <w:szCs w:val="32"/>
          <w:lang w:val="en-US" w:eastAsia="zh-CN"/>
        </w:rPr>
      </w:pPr>
      <w:r>
        <w:rPr>
          <w:rFonts w:ascii="仿宋" w:eastAsia="仿宋" w:cs="仿宋" w:hAnsi="仿宋" w:hint="eastAsia"/>
          <w:bCs/>
          <w:kern w:val="2"/>
          <w:sz w:val="32"/>
          <w:szCs w:val="32"/>
          <w:lang w:val="en-US" w:eastAsia="zh-CN"/>
        </w:rPr>
        <w:t>7、设立监事会，负责监督、检查供销资产经营管理总公司、各类合作经济组织对党和国家方针、政策的执行情况和各项任务的完成情况，承担供销社及相关经济组织的审计、评价工作。</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kern w:val="2"/>
          <w:sz w:val="32"/>
          <w:szCs w:val="32"/>
          <w:lang w:val="en-US" w:eastAsia="zh-CN"/>
        </w:rPr>
      </w:pPr>
      <w:r>
        <w:rPr>
          <w:rFonts w:ascii="仿宋" w:eastAsia="仿宋" w:cs="仿宋" w:hAnsi="仿宋" w:hint="eastAsia"/>
          <w:bCs/>
          <w:kern w:val="2"/>
          <w:sz w:val="32"/>
          <w:szCs w:val="32"/>
          <w:lang w:val="en-US" w:eastAsia="zh-CN"/>
        </w:rPr>
        <w:t>8、承办政府和上级部门交办的其他事项。</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Ansi="仿宋_GB2312" w:hint="eastAsia"/>
          <w:bCs/>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Ansi="仿宋_GB2312" w:hint="eastAsia"/>
          <w:bCs/>
          <w:kern w:val="2"/>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Chars="200" w:firstLine="640"/>
        <w:textAlignment w:val="auto"/>
        <w:rPr>
          <w:rFonts w:ascii="楷体_GB2312" w:eastAsia="楷体_GB2312" w:cs="楷体_GB2312" w:hAnsi="楷体_GB2312" w:hint="eastAsia"/>
          <w:b w:val="0"/>
          <w:bCs/>
          <w:kern w:val="2"/>
          <w:sz w:val="32"/>
          <w:szCs w:val="32"/>
          <w:lang w:val="en-US" w:eastAsia="zh-CN"/>
        </w:rPr>
      </w:pPr>
      <w:r>
        <w:rPr>
          <w:rFonts w:ascii="楷体_GB2312" w:eastAsia="楷体_GB2312" w:cs="楷体_GB2312" w:hAnsi="楷体_GB2312" w:hint="eastAsia"/>
          <w:b w:val="0"/>
          <w:bCs/>
          <w:kern w:val="2"/>
          <w:sz w:val="32"/>
          <w:szCs w:val="32"/>
          <w:lang w:val="en-US" w:eastAsia="zh-CN"/>
        </w:rPr>
        <w:t>机构设置</w:t>
      </w:r>
    </w:p>
    <w:p>
      <w:pPr>
        <w:keepNext w:val="0"/>
        <w:keepLines w:val="0"/>
        <w:pageBreakBefore w:val="0"/>
        <w:numPr>
          <w:ilvl w:val="0"/>
          <w:numId w:val="2"/>
        </w:numPr>
        <w:kinsoku/>
        <w:wordWrap/>
        <w:overflowPunct/>
        <w:topLinePunct w:val="0"/>
        <w:autoSpaceDE/>
        <w:autoSpaceDN/>
        <w:bidi w:val="0"/>
        <w:adjustRightInd/>
        <w:snapToGrid/>
        <w:spacing w:line="560" w:lineRule="exact"/>
        <w:ind w:left="0" w:firstLineChars="200" w:firstLine="640"/>
        <w:textAlignment w:val="auto"/>
        <w:rPr>
          <w:rFonts w:ascii="仿宋" w:eastAsia="仿宋" w:cs="仿宋" w:hAnsi="仿宋" w:hint="eastAsia"/>
          <w:bCs/>
          <w:kern w:val="2"/>
          <w:sz w:val="32"/>
          <w:szCs w:val="32"/>
          <w:lang w:val="en-US" w:eastAsia="zh-CN"/>
        </w:rPr>
      </w:pPr>
      <w:r>
        <w:rPr>
          <w:rFonts w:ascii="仿宋" w:eastAsia="仿宋" w:cs="仿宋" w:hAnsi="仿宋" w:hint="eastAsia"/>
          <w:bCs/>
          <w:kern w:val="2"/>
          <w:sz w:val="32"/>
          <w:szCs w:val="32"/>
          <w:lang w:val="en-US" w:eastAsia="zh-CN"/>
        </w:rPr>
        <w:t>办公室</w:t>
      </w:r>
    </w:p>
    <w:p>
      <w:pPr>
        <w:keepNext w:val="0"/>
        <w:keepLines w:val="0"/>
        <w:pageBreakBefore w:val="0"/>
        <w:numPr>
          <w:ilvl w:val="0"/>
          <w:numId w:val="2"/>
        </w:numPr>
        <w:kinsoku/>
        <w:wordWrap/>
        <w:overflowPunct/>
        <w:topLinePunct w:val="0"/>
        <w:autoSpaceDE/>
        <w:autoSpaceDN/>
        <w:bidi w:val="0"/>
        <w:adjustRightInd/>
        <w:snapToGrid/>
        <w:spacing w:line="560" w:lineRule="exact"/>
        <w:ind w:left="0" w:firstLineChars="200" w:firstLine="640"/>
        <w:textAlignment w:val="auto"/>
        <w:rPr>
          <w:rFonts w:ascii="仿宋" w:eastAsia="仿宋" w:cs="仿宋" w:hAnsi="仿宋"/>
          <w:bCs/>
          <w:kern w:val="2"/>
          <w:sz w:val="32"/>
          <w:szCs w:val="32"/>
          <w:lang w:val="en-US" w:eastAsia="zh-CN"/>
        </w:rPr>
      </w:pPr>
      <w:r>
        <w:rPr>
          <w:rFonts w:ascii="仿宋" w:eastAsia="仿宋" w:cs="仿宋" w:hAnsi="仿宋" w:hint="eastAsia"/>
          <w:bCs/>
          <w:kern w:val="2"/>
          <w:sz w:val="32"/>
          <w:szCs w:val="32"/>
          <w:lang w:val="en-US" w:eastAsia="zh-CN"/>
        </w:rPr>
        <w:t>人事教育股</w:t>
      </w:r>
    </w:p>
    <w:p>
      <w:pPr>
        <w:keepNext w:val="0"/>
        <w:keepLines w:val="0"/>
        <w:pageBreakBefore w:val="0"/>
        <w:numPr>
          <w:ilvl w:val="0"/>
          <w:numId w:val="2"/>
        </w:numPr>
        <w:kinsoku/>
        <w:wordWrap/>
        <w:overflowPunct/>
        <w:topLinePunct w:val="0"/>
        <w:autoSpaceDE/>
        <w:autoSpaceDN/>
        <w:bidi w:val="0"/>
        <w:adjustRightInd/>
        <w:snapToGrid/>
        <w:spacing w:line="560" w:lineRule="exact"/>
        <w:ind w:left="0" w:firstLineChars="200" w:firstLine="640"/>
        <w:textAlignment w:val="auto"/>
        <w:rPr>
          <w:rFonts w:ascii="仿宋" w:eastAsia="仿宋" w:cs="仿宋" w:hAnsi="仿宋"/>
          <w:bCs/>
          <w:kern w:val="2"/>
          <w:sz w:val="32"/>
          <w:szCs w:val="32"/>
          <w:lang w:val="en-US" w:eastAsia="zh-CN"/>
        </w:rPr>
      </w:pPr>
      <w:r>
        <w:rPr>
          <w:rFonts w:ascii="仿宋" w:eastAsia="仿宋" w:cs="仿宋" w:hAnsi="仿宋" w:hint="eastAsia"/>
          <w:bCs/>
          <w:kern w:val="2"/>
          <w:sz w:val="32"/>
          <w:szCs w:val="32"/>
          <w:lang w:val="en-US" w:eastAsia="zh-CN"/>
        </w:rPr>
        <w:t>财务资产股</w:t>
      </w:r>
    </w:p>
    <w:p>
      <w:pPr>
        <w:keepNext w:val="0"/>
        <w:keepLines w:val="0"/>
        <w:pageBreakBefore w:val="0"/>
        <w:kinsoku/>
        <w:wordWrap/>
        <w:overflowPunct/>
        <w:topLinePunct w:val="0"/>
        <w:autoSpaceDE/>
        <w:autoSpaceDN/>
        <w:bidi w:val="0"/>
        <w:adjustRightInd/>
        <w:snapToGrid/>
        <w:spacing w:line="560" w:lineRule="exact"/>
        <w:ind w:left="0" w:firstLineChars="200" w:firstLine="640"/>
        <w:jc w:val="both"/>
        <w:textAlignment w:val="auto"/>
        <w:rPr>
          <w:rFonts w:ascii="仿宋" w:eastAsia="仿宋" w:cs="仿宋" w:hAnsi="仿宋" w:hint="eastAsia"/>
          <w:bCs/>
          <w:kern w:val="2"/>
          <w:sz w:val="32"/>
          <w:szCs w:val="32"/>
          <w:lang w:val="en-US" w:eastAsia="zh-CN"/>
        </w:rPr>
      </w:pPr>
      <w:r>
        <w:rPr>
          <w:rFonts w:ascii="仿宋" w:eastAsia="仿宋" w:cs="仿宋" w:hAnsi="仿宋" w:hint="eastAsia"/>
          <w:bCs/>
          <w:kern w:val="2"/>
          <w:sz w:val="32"/>
          <w:szCs w:val="32"/>
          <w:lang w:val="en-US" w:eastAsia="zh-CN"/>
        </w:rPr>
        <w:t>4、经济发展股</w:t>
      </w:r>
    </w:p>
    <w:p>
      <w:pPr>
        <w:keepNext w:val="0"/>
        <w:keepLines w:val="0"/>
        <w:pageBreakBefore w:val="0"/>
        <w:kinsoku/>
        <w:wordWrap/>
        <w:overflowPunct/>
        <w:topLinePunct w:val="0"/>
        <w:autoSpaceDE/>
        <w:autoSpaceDN/>
        <w:bidi w:val="0"/>
        <w:adjustRightInd/>
        <w:snapToGrid/>
        <w:spacing w:line="560" w:lineRule="exact"/>
        <w:ind w:left="0" w:firstLineChars="200" w:firstLine="640"/>
        <w:jc w:val="both"/>
        <w:textAlignment w:val="auto"/>
        <w:rPr>
          <w:rFonts w:ascii="仿宋" w:eastAsia="仿宋" w:cs="仿宋" w:hAnsi="仿宋" w:hint="eastAsia"/>
          <w:bCs/>
          <w:kern w:val="2"/>
          <w:sz w:val="32"/>
          <w:szCs w:val="32"/>
          <w:lang w:val="en-US" w:eastAsia="zh-CN"/>
        </w:rPr>
      </w:pPr>
      <w:r>
        <w:rPr>
          <w:rFonts w:ascii="仿宋" w:eastAsia="仿宋" w:cs="仿宋" w:hAnsi="仿宋" w:hint="eastAsia"/>
          <w:bCs/>
          <w:kern w:val="2"/>
          <w:sz w:val="32"/>
          <w:szCs w:val="32"/>
          <w:lang w:val="en-US" w:eastAsia="zh-CN"/>
        </w:rPr>
        <w:t>5、合作指导股</w:t>
      </w:r>
    </w:p>
    <w:p>
      <w:pPr>
        <w:keepNext w:val="0"/>
        <w:keepLines w:val="0"/>
        <w:pageBreakBefore w:val="0"/>
        <w:kinsoku/>
        <w:wordWrap/>
        <w:overflowPunct/>
        <w:topLinePunct w:val="0"/>
        <w:autoSpaceDE/>
        <w:autoSpaceDN/>
        <w:bidi w:val="0"/>
        <w:adjustRightInd/>
        <w:snapToGrid/>
        <w:spacing w:line="560" w:lineRule="exact"/>
        <w:ind w:left="0" w:firstLineChars="200" w:firstLine="640"/>
        <w:jc w:val="both"/>
        <w:textAlignment w:val="auto"/>
        <w:rPr>
          <w:rFonts w:ascii="仿宋" w:eastAsia="仿宋" w:cs="仿宋" w:hAnsi="仿宋" w:hint="eastAsia"/>
          <w:bCs/>
          <w:kern w:val="2"/>
          <w:sz w:val="32"/>
          <w:szCs w:val="32"/>
          <w:lang w:val="en-US" w:eastAsia="zh-CN"/>
        </w:rPr>
      </w:pPr>
      <w:r>
        <w:rPr>
          <w:rFonts w:ascii="仿宋" w:eastAsia="仿宋" w:cs="仿宋" w:hAnsi="仿宋" w:hint="eastAsia"/>
          <w:bCs/>
          <w:kern w:val="2"/>
          <w:sz w:val="32"/>
          <w:szCs w:val="32"/>
          <w:lang w:val="en-US" w:eastAsia="zh-CN"/>
        </w:rPr>
        <w:t>6、法制安全股</w:t>
      </w:r>
    </w:p>
    <w:p>
      <w:pPr>
        <w:keepNext w:val="0"/>
        <w:keepLines w:val="0"/>
        <w:pageBreakBefore w:val="0"/>
        <w:kinsoku/>
        <w:wordWrap/>
        <w:overflowPunct/>
        <w:topLinePunct w:val="0"/>
        <w:autoSpaceDE/>
        <w:autoSpaceDN/>
        <w:bidi w:val="0"/>
        <w:adjustRightInd/>
        <w:snapToGrid/>
        <w:spacing w:line="560" w:lineRule="exact"/>
        <w:ind w:left="0" w:firstLineChars="200" w:firstLine="640"/>
        <w:jc w:val="both"/>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t>二、人员情况</w:t>
      </w:r>
    </w:p>
    <w:p>
      <w:pPr>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黑体" w:eastAsia="黑体" w:cs="黑体" w:hAnsi="黑体" w:hint="eastAsia"/>
          <w:b/>
          <w:bCs/>
          <w:sz w:val="32"/>
          <w:szCs w:val="32"/>
          <w:lang w:eastAsia="zh-CN"/>
        </w:rPr>
      </w:pPr>
      <w:r>
        <w:rPr>
          <w:rFonts w:ascii="仿宋" w:eastAsia="仿宋" w:cs="仿宋" w:hAnsi="仿宋" w:hint="eastAsia"/>
          <w:bCs/>
          <w:color w:val="auto"/>
          <w:sz w:val="32"/>
          <w:szCs w:val="32"/>
          <w:lang w:eastAsia="zh-CN"/>
        </w:rPr>
        <w:t>赤壁市供销合作社联合社</w:t>
      </w:r>
      <w:r>
        <w:rPr>
          <w:rFonts w:ascii="仿宋" w:eastAsia="仿宋" w:cs="仿宋" w:hAnsi="仿宋" w:hint="eastAsia"/>
          <w:bCs/>
          <w:color w:val="auto"/>
          <w:sz w:val="32"/>
          <w:szCs w:val="32"/>
          <w:lang w:val="en-US" w:eastAsia="zh-CN"/>
        </w:rPr>
        <w:t>核定</w:t>
      </w:r>
      <w:r>
        <w:rPr>
          <w:rFonts w:ascii="仿宋" w:eastAsia="仿宋" w:cs="仿宋" w:hAnsi="仿宋" w:hint="eastAsia"/>
          <w:bCs/>
          <w:color w:val="auto"/>
          <w:sz w:val="32"/>
          <w:szCs w:val="32"/>
          <w:lang w:eastAsia="zh-CN"/>
        </w:rPr>
        <w:t>全额拨款事业编制21名（</w:t>
      </w:r>
      <w:r>
        <w:rPr>
          <w:rFonts w:ascii="仿宋" w:eastAsia="仿宋" w:cs="仿宋" w:hAnsi="仿宋" w:hint="eastAsia"/>
          <w:bCs/>
          <w:color w:val="auto"/>
          <w:sz w:val="32"/>
          <w:szCs w:val="32"/>
          <w:lang w:val="en-US" w:eastAsia="zh-CN"/>
        </w:rPr>
        <w:t>设</w:t>
      </w:r>
      <w:r>
        <w:rPr>
          <w:rFonts w:ascii="仿宋" w:eastAsia="仿宋" w:cs="仿宋" w:hAnsi="仿宋" w:hint="eastAsia"/>
          <w:bCs/>
          <w:color w:val="auto"/>
          <w:sz w:val="32"/>
          <w:szCs w:val="32"/>
          <w:lang w:eastAsia="zh-CN"/>
        </w:rPr>
        <w:t>主任1名，副主任3名，设社有资产管理委员会主任、监事会主任各</w:t>
      </w:r>
      <w:r>
        <w:rPr>
          <w:rFonts w:ascii="仿宋" w:eastAsia="仿宋" w:cs="仿宋" w:hAnsi="仿宋" w:hint="eastAsia"/>
          <w:bCs/>
          <w:color w:val="auto"/>
          <w:sz w:val="32"/>
          <w:szCs w:val="32"/>
          <w:lang w:val="en-US" w:eastAsia="zh-CN"/>
        </w:rPr>
        <w:t>1名（副科级）</w:t>
      </w:r>
      <w:r>
        <w:rPr>
          <w:rFonts w:ascii="仿宋" w:eastAsia="仿宋" w:cs="仿宋" w:hAnsi="仿宋" w:hint="eastAsia"/>
          <w:bCs/>
          <w:color w:val="auto"/>
          <w:sz w:val="32"/>
          <w:szCs w:val="32"/>
          <w:lang w:eastAsia="zh-CN"/>
        </w:rPr>
        <w:t>），设立赤壁市农民合作经济组织联合会服务中心，为市供销合作社联合社所属事业单位，正股级公益一类，核定事业编制5名，设主任1名</w:t>
      </w:r>
      <w:r>
        <w:rPr>
          <w:rFonts w:ascii="仿宋" w:eastAsia="仿宋" w:cs="仿宋" w:hAnsi="仿宋" w:hint="eastAsia"/>
          <w:bCs/>
          <w:color w:val="auto"/>
          <w:sz w:val="32"/>
          <w:szCs w:val="32"/>
          <w:lang w:val="en-US" w:eastAsia="zh-CN"/>
        </w:rPr>
        <w:t>。现有在岗有编人数19人，离休2人，退休人员29人，其他人员5人（“三支一扶”人员）。</w:t>
      </w:r>
    </w:p>
    <w:p>
      <w:pPr>
        <w:keepNext w:val="0"/>
        <w:keepLines w:val="0"/>
        <w:pageBreakBefore w:val="0"/>
        <w:kinsoku/>
        <w:wordWrap/>
        <w:overflowPunct/>
        <w:topLinePunct w:val="0"/>
        <w:autoSpaceDE/>
        <w:autoSpaceDN/>
        <w:bidi w:val="0"/>
        <w:adjustRightInd/>
        <w:snapToGrid/>
        <w:spacing w:line="560" w:lineRule="exact"/>
        <w:ind w:left="0" w:firstLineChars="200" w:firstLine="640"/>
        <w:jc w:val="both"/>
        <w:textAlignment w:val="auto"/>
        <w:rPr>
          <w:rFonts w:ascii="黑体" w:eastAsia="黑体" w:cs="黑体" w:hAnsi="黑体"/>
          <w:b/>
          <w:bCs/>
          <w:sz w:val="32"/>
          <w:szCs w:val="32"/>
          <w:lang w:eastAsia="zh-CN"/>
        </w:rPr>
      </w:pPr>
      <w:r>
        <w:rPr>
          <w:rFonts w:ascii="黑体" w:eastAsia="黑体" w:cs="黑体" w:hAnsi="黑体" w:hint="eastAsia"/>
          <w:b/>
          <w:bCs/>
          <w:sz w:val="32"/>
          <w:szCs w:val="32"/>
          <w:lang w:eastAsia="zh-CN"/>
        </w:rPr>
        <w:t>三</w:t>
      </w:r>
      <w:r>
        <w:rPr>
          <w:rFonts w:ascii="黑体" w:eastAsia="黑体" w:cs="黑体" w:hAnsi="黑体"/>
          <w:b/>
          <w:bCs/>
          <w:sz w:val="32"/>
          <w:szCs w:val="32"/>
          <w:lang w:eastAsia="zh-CN"/>
        </w:rPr>
        <w:t>、</w:t>
      </w:r>
      <w:r>
        <w:rPr>
          <w:rFonts w:ascii="黑体" w:eastAsia="黑体" w:cs="黑体" w:hAnsi="黑体" w:hint="eastAsia"/>
          <w:b/>
          <w:bCs/>
          <w:sz w:val="32"/>
          <w:szCs w:val="32"/>
          <w:lang w:eastAsia="zh-CN"/>
        </w:rPr>
        <w:t>年度</w:t>
      </w:r>
      <w:r>
        <w:rPr>
          <w:rFonts w:ascii="黑体" w:eastAsia="黑体" w:cs="黑体" w:hAnsi="黑体"/>
          <w:b/>
          <w:bCs/>
          <w:sz w:val="32"/>
          <w:szCs w:val="32"/>
          <w:lang w:eastAsia="zh-CN"/>
        </w:rPr>
        <w:t>主要工作任务</w:t>
      </w:r>
    </w:p>
    <w:p>
      <w:pPr>
        <w:keepNext w:val="0"/>
        <w:keepLines w:val="0"/>
        <w:pageBreakBefore w:val="0"/>
        <w:widowControl w:val="0"/>
        <w:kinsoku/>
        <w:wordWrap/>
        <w:overflowPunct/>
        <w:topLinePunct w:val="0"/>
        <w:bidi w:val="0"/>
        <w:spacing w:line="540" w:lineRule="exact"/>
        <w:ind w:firstLineChars="200" w:firstLine="640"/>
        <w:rPr>
          <w:rFonts w:ascii="仿宋_GB2312" w:eastAsia="仿宋_GB2312" w:cs="仿宋_GB2312" w:hAnsi="仿宋_GB2312" w:hint="eastAsia"/>
          <w:color w:val="000000"/>
          <w:sz w:val="32"/>
          <w:szCs w:val="32"/>
          <w:shd w:val="clear" w:color="auto" w:fill="FFFFFF"/>
        </w:rPr>
      </w:pPr>
      <w:r>
        <w:rPr>
          <w:rFonts w:ascii="仿宋_GB2312" w:eastAsia="仿宋_GB2312" w:cs="仿宋_GB2312" w:hAnsi="仿宋_GB2312" w:hint="eastAsia"/>
          <w:color w:val="000000"/>
          <w:sz w:val="32"/>
          <w:szCs w:val="32"/>
          <w:shd w:val="clear" w:color="auto" w:fill="FFFFFF"/>
        </w:rPr>
        <w:t>1、加强党的</w:t>
      </w:r>
      <w:r>
        <w:rPr>
          <w:rFonts w:ascii="仿宋_GB2312" w:eastAsia="仿宋_GB2312" w:cs="仿宋_GB2312" w:hAnsi="仿宋_GB2312" w:hint="eastAsia"/>
          <w:color w:val="000000"/>
          <w:sz w:val="32"/>
          <w:szCs w:val="32"/>
          <w:shd w:val="clear" w:color="auto" w:fill="FFFFFF"/>
          <w:lang w:val="en-US" w:eastAsia="zh-CN"/>
        </w:rPr>
        <w:t>全面</w:t>
      </w:r>
      <w:r>
        <w:rPr>
          <w:rFonts w:ascii="仿宋_GB2312" w:eastAsia="仿宋_GB2312" w:cs="仿宋_GB2312" w:hAnsi="仿宋_GB2312" w:hint="eastAsia"/>
          <w:color w:val="000000"/>
          <w:sz w:val="32"/>
          <w:szCs w:val="32"/>
          <w:shd w:val="clear" w:color="auto" w:fill="FFFFFF"/>
        </w:rPr>
        <w:t>领导。</w:t>
      </w:r>
      <w:r>
        <w:rPr>
          <w:rFonts w:ascii="仿宋_GB2312" w:eastAsia="仿宋_GB2312" w:cs="仿宋_GB2312" w:hAnsi="仿宋_GB2312" w:hint="eastAsia"/>
          <w:color w:val="000000"/>
          <w:sz w:val="32"/>
          <w:szCs w:val="32"/>
          <w:shd w:val="clear" w:color="auto" w:fill="FFFFFF"/>
          <w:lang w:val="en-US" w:eastAsia="zh-CN"/>
        </w:rPr>
        <w:t>突出政治引领，强化思想理论武装，固本强基推动党建提质增效。</w:t>
      </w:r>
      <w:r>
        <w:rPr>
          <w:rFonts w:ascii="仿宋_GB2312" w:eastAsia="仿宋_GB2312" w:cs="仿宋_GB2312" w:hAnsi="仿宋_GB2312" w:hint="eastAsia"/>
          <w:color w:val="000000"/>
          <w:sz w:val="32"/>
          <w:szCs w:val="32"/>
          <w:shd w:val="clear" w:color="auto" w:fill="FFFFFF"/>
        </w:rPr>
        <w:t>持续巩固</w:t>
      </w:r>
      <w:r>
        <w:rPr>
          <w:rFonts w:ascii="仿宋_GB2312" w:eastAsia="仿宋_GB2312" w:cs="仿宋_GB2312" w:hAnsi="仿宋_GB2312" w:hint="eastAsia"/>
          <w:color w:val="000000"/>
          <w:sz w:val="32"/>
          <w:szCs w:val="32"/>
          <w:shd w:val="clear" w:color="auto" w:fill="FFFFFF"/>
          <w:lang w:val="en-US" w:eastAsia="zh-CN"/>
        </w:rPr>
        <w:t>深化</w:t>
      </w:r>
      <w:r>
        <w:rPr>
          <w:rFonts w:ascii="仿宋_GB2312" w:eastAsia="仿宋_GB2312" w:cs="仿宋_GB2312" w:hAnsi="仿宋_GB2312" w:hint="eastAsia"/>
          <w:color w:val="000000"/>
          <w:sz w:val="32"/>
          <w:szCs w:val="32"/>
          <w:shd w:val="clear" w:color="auto" w:fill="FFFFFF"/>
        </w:rPr>
        <w:t>党纪学习教育成果，压紧压实全面从严治党主体责任，推进清廉机关建设。</w:t>
      </w:r>
    </w:p>
    <w:p>
      <w:pPr>
        <w:keepNext w:val="0"/>
        <w:keepLines w:val="0"/>
        <w:pageBreakBefore w:val="0"/>
        <w:widowControl w:val="0"/>
        <w:kinsoku/>
        <w:wordWrap/>
        <w:overflowPunct/>
        <w:topLinePunct w:val="0"/>
        <w:bidi w:val="0"/>
        <w:spacing w:line="540" w:lineRule="exact"/>
        <w:ind w:firstLineChars="200" w:firstLine="640"/>
        <w:rPr>
          <w:rFonts w:ascii="仿宋_GB2312" w:eastAsia="仿宋_GB2312" w:cs="仿宋_GB2312" w:hAnsi="仿宋_GB2312" w:hint="eastAsia"/>
          <w:color w:val="000000"/>
          <w:sz w:val="32"/>
          <w:szCs w:val="32"/>
          <w:shd w:val="clear" w:color="auto" w:fill="FFFFFF"/>
          <w:lang w:val="en-US" w:eastAsia="zh-CN"/>
        </w:rPr>
      </w:pPr>
      <w:r>
        <w:rPr>
          <w:rFonts w:ascii="仿宋_GB2312" w:eastAsia="仿宋_GB2312" w:cs="仿宋_GB2312" w:hAnsi="仿宋_GB2312" w:hint="eastAsia"/>
          <w:color w:val="000000"/>
          <w:sz w:val="32"/>
          <w:szCs w:val="32"/>
          <w:shd w:val="clear" w:color="auto" w:fill="FFFFFF"/>
          <w:lang w:val="en-US" w:eastAsia="zh-CN"/>
        </w:rPr>
        <w:t>2、争取2025年在全省奋勇争先，保持前列。全市供销社系统力争实现商品购销总额同比增长8%左右，农副产品销售额同比增长10%左右。</w:t>
      </w:r>
    </w:p>
    <w:p>
      <w:pPr>
        <w:keepNext w:val="0"/>
        <w:keepLines w:val="0"/>
        <w:pageBreakBefore w:val="0"/>
        <w:widowControl w:val="0"/>
        <w:kinsoku/>
        <w:wordWrap/>
        <w:overflowPunct/>
        <w:topLinePunct w:val="0"/>
        <w:bidi w:val="0"/>
        <w:spacing w:line="540" w:lineRule="exact"/>
        <w:ind w:firstLineChars="200" w:firstLine="640"/>
        <w:rPr>
          <w:rFonts w:ascii="仿宋_GB2312" w:eastAsia="仿宋_GB2312" w:cs="仿宋_GB2312" w:hAnsi="仿宋_GB2312" w:hint="eastAsia"/>
          <w:color w:val="000000"/>
          <w:lang w:val="en-US" w:eastAsia="zh-CN"/>
        </w:rPr>
      </w:pPr>
      <w:r>
        <w:rPr>
          <w:rFonts w:ascii="仿宋_GB2312" w:eastAsia="仿宋_GB2312" w:cs="仿宋_GB2312" w:hAnsi="仿宋_GB2312" w:hint="eastAsia"/>
          <w:color w:val="000000"/>
          <w:sz w:val="32"/>
          <w:szCs w:val="32"/>
          <w:shd w:val="clear" w:color="auto" w:fill="FFFFFF"/>
          <w:lang w:val="en-US" w:eastAsia="zh-CN"/>
        </w:rPr>
        <w:t>3</w:t>
      </w:r>
      <w:r>
        <w:rPr>
          <w:rFonts w:ascii="仿宋_GB2312" w:eastAsia="仿宋_GB2312" w:cs="仿宋_GB2312" w:hAnsi="仿宋_GB2312" w:hint="eastAsia"/>
          <w:color w:val="000000"/>
          <w:sz w:val="32"/>
          <w:szCs w:val="32"/>
          <w:shd w:val="clear" w:color="auto" w:fill="FFFFFF"/>
        </w:rPr>
        <w:t>、</w:t>
      </w:r>
      <w:r>
        <w:rPr>
          <w:rFonts w:ascii="仿宋_GB2312" w:eastAsia="仿宋_GB2312" w:cs="仿宋_GB2312" w:hAnsi="仿宋_GB2312" w:hint="eastAsia"/>
          <w:color w:val="000000"/>
          <w:sz w:val="32"/>
          <w:szCs w:val="32"/>
          <w:shd w:val="clear" w:color="auto" w:fill="FFFFFF"/>
          <w:lang w:val="en-US" w:eastAsia="zh-CN"/>
        </w:rPr>
        <w:t>推进供应链体系建设。高质高效建设并融入上级城乡供应链平台、再生资源链平台，推动构建高质量供应链体系。</w:t>
      </w:r>
      <w:r>
        <w:rPr>
          <w:rFonts w:ascii="仿宋_GB2312" w:eastAsia="仿宋_GB2312" w:cs="仿宋_GB2312" w:hAnsi="仿宋_GB2312" w:hint="eastAsia"/>
          <w:color w:val="000000"/>
          <w:sz w:val="32"/>
          <w:szCs w:val="32"/>
          <w:shd w:val="clear" w:color="auto" w:fill="FFFFFF"/>
        </w:rPr>
        <w:t>加强基层组织建设。</w:t>
      </w:r>
      <w:r>
        <w:rPr>
          <w:rFonts w:ascii="仿宋_GB2312" w:eastAsia="仿宋_GB2312" w:cs="仿宋_GB2312" w:hAnsi="仿宋_GB2312" w:hint="eastAsia"/>
          <w:color w:val="000000"/>
          <w:sz w:val="32"/>
          <w:szCs w:val="32"/>
          <w:shd w:val="clear" w:color="auto" w:fill="FFFFFF"/>
          <w:lang w:val="en-US" w:eastAsia="zh-CN"/>
        </w:rPr>
        <w:t>打造</w:t>
      </w:r>
      <w:r>
        <w:rPr>
          <w:rFonts w:ascii="仿宋_GB2312" w:eastAsia="仿宋_GB2312" w:cs="仿宋_GB2312" w:hAnsi="仿宋_GB2312" w:hint="eastAsia"/>
          <w:color w:val="000000"/>
          <w:sz w:val="32"/>
          <w:szCs w:val="32"/>
          <w:shd w:val="clear" w:color="auto" w:fill="FFFFFF"/>
        </w:rPr>
        <w:t>乡镇基层社示范社1家，领办、创办农民专业合作社</w:t>
      </w:r>
      <w:r>
        <w:rPr>
          <w:rFonts w:ascii="仿宋_GB2312" w:eastAsia="仿宋_GB2312" w:cs="仿宋_GB2312" w:hAnsi="仿宋_GB2312" w:hint="eastAsia"/>
          <w:color w:val="000000"/>
          <w:sz w:val="32"/>
          <w:szCs w:val="32"/>
          <w:shd w:val="clear" w:color="auto" w:fill="FFFFFF"/>
          <w:lang w:val="en-US" w:eastAsia="zh-CN"/>
        </w:rPr>
        <w:t>8</w:t>
      </w:r>
      <w:r>
        <w:rPr>
          <w:rFonts w:ascii="仿宋_GB2312" w:eastAsia="仿宋_GB2312" w:cs="仿宋_GB2312" w:hAnsi="仿宋_GB2312" w:hint="eastAsia"/>
          <w:color w:val="000000"/>
          <w:sz w:val="32"/>
          <w:szCs w:val="32"/>
          <w:shd w:val="clear" w:color="auto" w:fill="FFFFFF"/>
        </w:rPr>
        <w:t>家，提挡升级村级</w:t>
      </w:r>
      <w:r>
        <w:rPr>
          <w:rFonts w:ascii="仿宋_GB2312" w:eastAsia="仿宋_GB2312" w:cs="仿宋_GB2312" w:hAnsi="仿宋_GB2312" w:hint="eastAsia"/>
          <w:color w:val="000000"/>
          <w:sz w:val="32"/>
          <w:szCs w:val="32"/>
          <w:shd w:val="clear" w:color="auto" w:fill="FFFFFF"/>
          <w:lang w:val="en-US" w:eastAsia="zh-CN"/>
        </w:rPr>
        <w:t>综合服务</w:t>
      </w:r>
      <w:r>
        <w:rPr>
          <w:rFonts w:ascii="仿宋_GB2312" w:eastAsia="仿宋_GB2312" w:cs="仿宋_GB2312" w:hAnsi="仿宋_GB2312" w:hint="eastAsia"/>
          <w:color w:val="000000"/>
          <w:sz w:val="32"/>
          <w:szCs w:val="32"/>
          <w:shd w:val="clear" w:color="auto" w:fill="FFFFFF"/>
        </w:rPr>
        <w:t>社</w:t>
      </w:r>
      <w:r>
        <w:rPr>
          <w:rFonts w:ascii="仿宋_GB2312" w:eastAsia="仿宋_GB2312" w:cs="仿宋_GB2312" w:hAnsi="仿宋_GB2312" w:hint="eastAsia"/>
          <w:color w:val="000000"/>
          <w:sz w:val="32"/>
          <w:szCs w:val="32"/>
          <w:shd w:val="clear" w:color="auto" w:fill="FFFFFF"/>
          <w:lang w:val="en-US" w:eastAsia="zh-CN"/>
        </w:rPr>
        <w:t>6</w:t>
      </w:r>
      <w:r>
        <w:rPr>
          <w:rFonts w:ascii="仿宋_GB2312" w:eastAsia="仿宋_GB2312" w:cs="仿宋_GB2312" w:hAnsi="仿宋_GB2312" w:hint="eastAsia"/>
          <w:color w:val="000000"/>
          <w:sz w:val="32"/>
          <w:szCs w:val="32"/>
          <w:shd w:val="clear" w:color="auto" w:fill="FFFFFF"/>
        </w:rPr>
        <w:t>家。</w:t>
      </w:r>
    </w:p>
    <w:p>
      <w:pPr>
        <w:keepNext w:val="0"/>
        <w:keepLines w:val="0"/>
        <w:pageBreakBefore w:val="0"/>
        <w:widowControl w:val="0"/>
        <w:kinsoku/>
        <w:wordWrap/>
        <w:overflowPunct/>
        <w:topLinePunct w:val="0"/>
        <w:bidi w:val="0"/>
        <w:spacing w:line="540" w:lineRule="exact"/>
        <w:ind w:firstLineChars="200" w:firstLine="640"/>
        <w:rPr>
          <w:rFonts w:ascii="仿宋_GB2312" w:eastAsia="仿宋_GB2312" w:cs="仿宋_GB2312" w:hAnsi="仿宋_GB2312" w:hint="eastAsia"/>
          <w:color w:val="000000"/>
          <w:sz w:val="32"/>
          <w:szCs w:val="32"/>
          <w:shd w:val="clear" w:color="auto" w:fill="FFFFFF"/>
        </w:rPr>
      </w:pPr>
      <w:r>
        <w:rPr>
          <w:rFonts w:ascii="仿宋_GB2312" w:eastAsia="仿宋_GB2312" w:cs="仿宋_GB2312" w:hAnsi="仿宋_GB2312" w:hint="eastAsia"/>
          <w:color w:val="000000"/>
          <w:sz w:val="32"/>
          <w:szCs w:val="32"/>
          <w:shd w:val="clear" w:color="auto" w:fill="FFFFFF"/>
          <w:lang w:val="en-US" w:eastAsia="zh-CN"/>
        </w:rPr>
        <w:t>4</w:t>
      </w:r>
      <w:r>
        <w:rPr>
          <w:rFonts w:ascii="仿宋_GB2312" w:eastAsia="仿宋_GB2312" w:cs="仿宋_GB2312" w:hAnsi="仿宋_GB2312" w:hint="eastAsia"/>
          <w:color w:val="000000"/>
          <w:sz w:val="32"/>
          <w:szCs w:val="32"/>
          <w:shd w:val="clear" w:color="auto" w:fill="FFFFFF"/>
        </w:rPr>
        <w:t>、</w:t>
      </w:r>
      <w:r>
        <w:rPr>
          <w:rFonts w:ascii="仿宋_GB2312" w:eastAsia="仿宋_GB2312" w:cs="仿宋_GB2312" w:hAnsi="仿宋_GB2312" w:hint="eastAsia"/>
          <w:color w:val="000000"/>
          <w:sz w:val="32"/>
          <w:szCs w:val="32"/>
          <w:shd w:val="clear" w:color="auto" w:fill="FFFFFF"/>
          <w:lang w:val="en-US" w:eastAsia="zh-CN"/>
        </w:rPr>
        <w:t>落实</w:t>
      </w:r>
      <w:r>
        <w:rPr>
          <w:rFonts w:ascii="仿宋_GB2312" w:eastAsia="仿宋_GB2312" w:cs="仿宋_GB2312" w:hAnsi="仿宋_GB2312" w:hint="eastAsia"/>
          <w:color w:val="000000"/>
          <w:sz w:val="32"/>
          <w:szCs w:val="32"/>
          <w:shd w:val="clear" w:color="auto" w:fill="FFFFFF"/>
        </w:rPr>
        <w:t>农资</w:t>
      </w:r>
      <w:r>
        <w:rPr>
          <w:rFonts w:ascii="仿宋_GB2312" w:eastAsia="仿宋_GB2312" w:cs="仿宋_GB2312" w:hAnsi="仿宋_GB2312" w:hint="eastAsia"/>
          <w:color w:val="000000"/>
          <w:sz w:val="32"/>
          <w:szCs w:val="32"/>
          <w:shd w:val="clear" w:color="auto" w:fill="FFFFFF"/>
          <w:lang w:val="en-US" w:eastAsia="zh-CN"/>
        </w:rPr>
        <w:t>保供</w:t>
      </w:r>
      <w:r>
        <w:rPr>
          <w:rFonts w:ascii="仿宋_GB2312" w:eastAsia="仿宋_GB2312" w:cs="仿宋_GB2312" w:hAnsi="仿宋_GB2312" w:hint="eastAsia"/>
          <w:color w:val="000000"/>
          <w:sz w:val="32"/>
          <w:szCs w:val="32"/>
          <w:shd w:val="clear" w:color="auto" w:fill="FFFFFF"/>
        </w:rPr>
        <w:t>。培育壮大楚丰三国农业服务有限公司，落实供销社农资基本保障职能，</w:t>
      </w:r>
      <w:r>
        <w:rPr>
          <w:rFonts w:ascii="仿宋_GB2312" w:eastAsia="仿宋_GB2312" w:cs="仿宋_GB2312" w:hAnsi="仿宋_GB2312" w:hint="eastAsia"/>
          <w:color w:val="000000"/>
          <w:sz w:val="32"/>
          <w:szCs w:val="32"/>
          <w:shd w:val="clear" w:color="auto" w:fill="FFFFFF"/>
          <w:lang w:val="en-US" w:eastAsia="zh-CN"/>
        </w:rPr>
        <w:t>完成</w:t>
      </w:r>
      <w:r>
        <w:rPr>
          <w:rFonts w:ascii="仿宋_GB2312" w:eastAsia="仿宋_GB2312" w:cs="仿宋_GB2312" w:hAnsi="仿宋_GB2312" w:hint="eastAsia"/>
          <w:color w:val="000000"/>
          <w:sz w:val="32"/>
          <w:szCs w:val="32"/>
          <w:shd w:val="clear" w:color="auto" w:fill="FFFFFF"/>
        </w:rPr>
        <w:t>市级</w:t>
      </w:r>
      <w:r>
        <w:rPr>
          <w:rFonts w:ascii="仿宋_GB2312" w:eastAsia="仿宋_GB2312" w:cs="仿宋_GB2312" w:hAnsi="仿宋_GB2312" w:hint="eastAsia"/>
          <w:color w:val="000000"/>
          <w:sz w:val="32"/>
          <w:szCs w:val="32"/>
          <w:shd w:val="clear" w:color="auto" w:fill="FFFFFF"/>
          <w:lang w:val="en-US" w:eastAsia="zh-CN"/>
        </w:rPr>
        <w:t>淡季化肥</w:t>
      </w:r>
      <w:r>
        <w:rPr>
          <w:rFonts w:ascii="仿宋_GB2312" w:eastAsia="仿宋_GB2312" w:cs="仿宋_GB2312" w:hAnsi="仿宋_GB2312" w:hint="eastAsia"/>
          <w:color w:val="000000"/>
          <w:sz w:val="32"/>
          <w:szCs w:val="32"/>
          <w:shd w:val="clear" w:color="auto" w:fill="FFFFFF"/>
        </w:rPr>
        <w:t>储备任务</w:t>
      </w:r>
      <w:r>
        <w:rPr>
          <w:rFonts w:ascii="仿宋_GB2312" w:eastAsia="仿宋_GB2312" w:cs="仿宋_GB2312" w:hAnsi="仿宋_GB2312" w:hint="eastAsia"/>
          <w:color w:val="000000"/>
          <w:sz w:val="32"/>
          <w:szCs w:val="32"/>
          <w:shd w:val="clear" w:color="auto" w:fill="FFFFFF"/>
          <w:lang w:val="en-US" w:eastAsia="zh-CN"/>
        </w:rPr>
        <w:t>不低于</w:t>
      </w:r>
      <w:r>
        <w:rPr>
          <w:rFonts w:ascii="仿宋_GB2312" w:eastAsia="仿宋_GB2312" w:cs="仿宋_GB2312" w:hAnsi="仿宋_GB2312" w:hint="eastAsia"/>
          <w:color w:val="000000"/>
          <w:sz w:val="32"/>
          <w:szCs w:val="32"/>
          <w:shd w:val="clear" w:color="auto" w:fill="FFFFFF"/>
        </w:rPr>
        <w:t>2000吨，提档升级农资网点</w:t>
      </w:r>
      <w:r>
        <w:rPr>
          <w:rFonts w:ascii="仿宋_GB2312" w:eastAsia="仿宋_GB2312" w:cs="仿宋_GB2312" w:hAnsi="仿宋_GB2312" w:hint="eastAsia"/>
          <w:color w:val="000000"/>
          <w:sz w:val="32"/>
          <w:szCs w:val="32"/>
          <w:shd w:val="clear" w:color="auto" w:fill="FFFFFF"/>
          <w:lang w:val="en-US" w:eastAsia="zh-CN"/>
        </w:rPr>
        <w:t>2</w:t>
      </w:r>
      <w:r>
        <w:rPr>
          <w:rFonts w:ascii="仿宋_GB2312" w:eastAsia="仿宋_GB2312" w:cs="仿宋_GB2312" w:hAnsi="仿宋_GB2312" w:hint="eastAsia"/>
          <w:color w:val="000000"/>
          <w:sz w:val="32"/>
          <w:szCs w:val="32"/>
          <w:shd w:val="clear" w:color="auto" w:fill="FFFFFF"/>
        </w:rPr>
        <w:t>家。</w:t>
      </w:r>
    </w:p>
    <w:p>
      <w:pPr>
        <w:keepNext w:val="0"/>
        <w:keepLines w:val="0"/>
        <w:pageBreakBefore w:val="0"/>
        <w:widowControl w:val="0"/>
        <w:kinsoku/>
        <w:wordWrap/>
        <w:overflowPunct/>
        <w:topLinePunct w:val="0"/>
        <w:bidi w:val="0"/>
        <w:spacing w:line="540" w:lineRule="exact"/>
        <w:ind w:firstLineChars="200" w:firstLine="640"/>
        <w:rPr>
          <w:rFonts w:ascii="仿宋_GB2312" w:eastAsia="仿宋_GB2312" w:cs="仿宋_GB2312" w:hAnsi="仿宋_GB2312" w:hint="eastAsia"/>
          <w:color w:val="000000"/>
          <w:sz w:val="32"/>
          <w:szCs w:val="32"/>
          <w:shd w:val="clear" w:color="auto" w:fill="FFFFFF"/>
          <w:lang w:eastAsia="zh-CN"/>
        </w:rPr>
      </w:pPr>
      <w:r>
        <w:rPr>
          <w:rFonts w:ascii="仿宋_GB2312" w:eastAsia="仿宋_GB2312" w:cs="仿宋_GB2312" w:hAnsi="仿宋_GB2312" w:hint="eastAsia"/>
          <w:color w:val="000000"/>
          <w:sz w:val="32"/>
          <w:szCs w:val="32"/>
          <w:shd w:val="clear" w:color="auto" w:fill="FFFFFF"/>
          <w:lang w:val="en-US" w:eastAsia="zh-CN"/>
        </w:rPr>
        <w:t>5、强化</w:t>
      </w:r>
      <w:r>
        <w:rPr>
          <w:rFonts w:ascii="仿宋_GB2312" w:eastAsia="仿宋_GB2312" w:cs="仿宋_GB2312" w:hAnsi="仿宋_GB2312" w:hint="eastAsia"/>
          <w:color w:val="000000"/>
          <w:sz w:val="32"/>
          <w:szCs w:val="32"/>
          <w:shd w:val="clear" w:color="auto" w:fill="FFFFFF"/>
        </w:rPr>
        <w:t>农业社会化服务。</w:t>
      </w:r>
      <w:r>
        <w:rPr>
          <w:rFonts w:ascii="仿宋_GB2312" w:eastAsia="仿宋_GB2312" w:cs="仿宋_GB2312" w:hAnsi="仿宋_GB2312" w:hint="eastAsia"/>
          <w:color w:val="000000"/>
          <w:sz w:val="32"/>
          <w:szCs w:val="32"/>
          <w:shd w:val="clear" w:color="auto" w:fill="FFFFFF"/>
          <w:lang w:val="en-US" w:eastAsia="zh-CN"/>
        </w:rPr>
        <w:t>以社有企业</w:t>
      </w:r>
      <w:r>
        <w:rPr>
          <w:rFonts w:ascii="仿宋_GB2312" w:eastAsia="仿宋_GB2312" w:cs="仿宋_GB2312" w:hAnsi="仿宋_GB2312" w:hint="eastAsia"/>
          <w:color w:val="000000"/>
          <w:sz w:val="32"/>
          <w:szCs w:val="32"/>
          <w:shd w:val="clear" w:color="auto" w:fill="FFFFFF"/>
        </w:rPr>
        <w:t>楚丰三国农业服务有限公司、鑫毕农农产品有限公司</w:t>
      </w:r>
      <w:r>
        <w:rPr>
          <w:rFonts w:ascii="仿宋_GB2312" w:eastAsia="仿宋_GB2312" w:cs="仿宋_GB2312" w:hAnsi="仿宋_GB2312" w:hint="eastAsia"/>
          <w:color w:val="000000"/>
          <w:sz w:val="32"/>
          <w:szCs w:val="32"/>
          <w:shd w:val="clear" w:color="auto" w:fill="FFFFFF"/>
          <w:lang w:val="en-US" w:eastAsia="zh-CN"/>
        </w:rPr>
        <w:t>等</w:t>
      </w:r>
      <w:r>
        <w:rPr>
          <w:rFonts w:ascii="仿宋_GB2312" w:eastAsia="仿宋_GB2312" w:cs="仿宋_GB2312" w:hAnsi="仿宋_GB2312" w:hint="eastAsia"/>
          <w:color w:val="000000"/>
          <w:sz w:val="32"/>
          <w:szCs w:val="32"/>
          <w:shd w:val="clear" w:color="auto" w:fill="FFFFFF"/>
        </w:rPr>
        <w:t>为</w:t>
      </w:r>
      <w:r>
        <w:rPr>
          <w:rFonts w:ascii="仿宋_GB2312" w:eastAsia="仿宋_GB2312" w:cs="仿宋_GB2312" w:hAnsi="仿宋_GB2312" w:hint="eastAsia"/>
          <w:color w:val="000000"/>
          <w:sz w:val="32"/>
          <w:szCs w:val="32"/>
          <w:shd w:val="clear" w:color="auto" w:fill="FFFFFF"/>
          <w:lang w:val="en-US" w:eastAsia="zh-CN"/>
        </w:rPr>
        <w:t>依托</w:t>
      </w:r>
      <w:r>
        <w:rPr>
          <w:rFonts w:ascii="仿宋_GB2312" w:eastAsia="仿宋_GB2312" w:cs="仿宋_GB2312" w:hAnsi="仿宋_GB2312" w:hint="eastAsia"/>
          <w:color w:val="000000"/>
          <w:sz w:val="32"/>
          <w:szCs w:val="32"/>
          <w:shd w:val="clear" w:color="auto" w:fill="FFFFFF"/>
        </w:rPr>
        <w:t>，</w:t>
      </w:r>
      <w:r>
        <w:rPr>
          <w:rFonts w:ascii="仿宋_GB2312" w:eastAsia="仿宋_GB2312" w:cs="仿宋_GB2312" w:hAnsi="仿宋_GB2312" w:hint="eastAsia"/>
          <w:color w:val="000000"/>
          <w:sz w:val="32"/>
          <w:szCs w:val="32"/>
          <w:shd w:val="clear" w:color="auto" w:fill="FFFFFF"/>
          <w:lang w:val="en-US" w:eastAsia="zh-CN"/>
        </w:rPr>
        <w:t>着力开展产前、产中、产后全程托管农业社会化服务，探索</w:t>
      </w:r>
      <w:r>
        <w:rPr>
          <w:rFonts w:ascii="仿宋_GB2312" w:eastAsia="仿宋_GB2312" w:cs="仿宋_GB2312" w:hAnsi="仿宋_GB2312" w:hint="eastAsia"/>
          <w:color w:val="000000"/>
          <w:sz w:val="32"/>
          <w:szCs w:val="32"/>
          <w:shd w:val="clear" w:color="auto" w:fill="FFFFFF"/>
        </w:rPr>
        <w:t>粮油</w:t>
      </w:r>
      <w:r>
        <w:rPr>
          <w:rFonts w:ascii="仿宋_GB2312" w:eastAsia="仿宋_GB2312" w:cs="仿宋_GB2312" w:hAnsi="仿宋_GB2312" w:hint="eastAsia"/>
          <w:color w:val="000000"/>
          <w:sz w:val="32"/>
          <w:szCs w:val="32"/>
          <w:shd w:val="clear" w:color="auto" w:fill="FFFFFF"/>
          <w:lang w:val="en-US" w:eastAsia="zh-CN"/>
        </w:rPr>
        <w:t>全</w:t>
      </w:r>
      <w:r>
        <w:rPr>
          <w:rFonts w:ascii="仿宋_GB2312" w:eastAsia="仿宋_GB2312" w:cs="仿宋_GB2312" w:hAnsi="仿宋_GB2312" w:hint="eastAsia"/>
          <w:color w:val="000000"/>
          <w:sz w:val="32"/>
          <w:szCs w:val="32"/>
          <w:shd w:val="clear" w:color="auto" w:fill="FFFFFF"/>
        </w:rPr>
        <w:t>产业链服务新模式。</w:t>
      </w:r>
    </w:p>
    <w:p>
      <w:pPr>
        <w:keepNext w:val="0"/>
        <w:keepLines w:val="0"/>
        <w:pageBreakBefore w:val="0"/>
        <w:widowControl w:val="0"/>
        <w:kinsoku/>
        <w:wordWrap/>
        <w:overflowPunct/>
        <w:topLinePunct w:val="0"/>
        <w:bidi w:val="0"/>
        <w:spacing w:line="540" w:lineRule="exact"/>
        <w:ind w:firstLineChars="200" w:firstLine="640"/>
        <w:rPr>
          <w:rFonts w:ascii="仿宋_GB2312" w:eastAsia="仿宋_GB2312" w:cs="仿宋_GB2312" w:hAnsi="仿宋_GB2312" w:hint="eastAsia"/>
          <w:color w:val="000000"/>
          <w:sz w:val="32"/>
          <w:szCs w:val="32"/>
          <w:shd w:val="clear" w:color="auto" w:fill="FFFFFF"/>
          <w:lang w:val="en-US" w:eastAsia="zh-CN"/>
        </w:rPr>
      </w:pPr>
      <w:r>
        <w:rPr>
          <w:rFonts w:ascii="仿宋_GB2312" w:eastAsia="仿宋_GB2312" w:cs="仿宋_GB2312" w:hAnsi="仿宋_GB2312" w:hint="eastAsia"/>
          <w:color w:val="000000"/>
          <w:sz w:val="32"/>
          <w:szCs w:val="32"/>
          <w:shd w:val="clear" w:color="auto" w:fill="FFFFFF"/>
          <w:lang w:val="en-US" w:eastAsia="zh-CN"/>
        </w:rPr>
        <w:t>6、做优农产品流通。深化“三位一体”农合联建设，以湖北农政供销联合社为抓手，整合各乡镇（街道）农合联会员单位，做优农产品流通服务，助力农产品上行，推动联农带农强农。</w:t>
      </w:r>
    </w:p>
    <w:p>
      <w:pPr>
        <w:keepNext w:val="0"/>
        <w:keepLines w:val="0"/>
        <w:pageBreakBefore w:val="0"/>
        <w:widowControl w:val="0"/>
        <w:kinsoku/>
        <w:wordWrap/>
        <w:overflowPunct/>
        <w:topLinePunct w:val="0"/>
        <w:autoSpaceDE/>
        <w:autoSpaceDN/>
        <w:bidi w:val="0"/>
        <w:adjustRightInd/>
        <w:snapToGrid/>
        <w:spacing w:line="540" w:lineRule="exact"/>
        <w:ind w:firstLineChars="200" w:firstLine="640"/>
        <w:textAlignment w:val="auto"/>
        <w:rPr>
          <w:rFonts w:ascii="仿宋_GB2312" w:eastAsia="仿宋_GB2312" w:cs="仿宋_GB2312" w:hAnsi="仿宋_GB2312" w:hint="eastAsia"/>
          <w:color w:val="000000"/>
          <w:sz w:val="32"/>
          <w:szCs w:val="32"/>
          <w:lang w:val="en-US" w:eastAsia="zh-CN"/>
        </w:rPr>
      </w:pPr>
      <w:r>
        <w:rPr>
          <w:rFonts w:ascii="仿宋_GB2312" w:eastAsia="仿宋_GB2312" w:cs="仿宋_GB2312" w:hAnsi="仿宋_GB2312" w:hint="eastAsia"/>
          <w:color w:val="000000"/>
          <w:sz w:val="32"/>
          <w:szCs w:val="32"/>
          <w:shd w:val="clear" w:color="auto" w:fill="FFFFFF"/>
          <w:lang w:val="en-US" w:eastAsia="zh-CN"/>
        </w:rPr>
        <w:t>7、推进再生资源回收体系建设。做大做强金新再生资源有限公司，巩</w:t>
      </w:r>
      <w:r>
        <w:rPr>
          <w:rFonts w:ascii="仿宋_GB2312" w:eastAsia="仿宋_GB2312" w:cs="仿宋_GB2312" w:hAnsi="仿宋_GB2312" w:hint="eastAsia"/>
          <w:color w:val="000000"/>
          <w:sz w:val="32"/>
          <w:szCs w:val="32"/>
          <w:lang w:val="en-US" w:eastAsia="zh-CN"/>
        </w:rPr>
        <w:t>固34家再生资源回收网点，健全规章制度，不断优化服务，夯实再生资源业务高质量发展基础。</w:t>
      </w:r>
    </w:p>
    <w:p>
      <w:pPr>
        <w:keepNext w:val="0"/>
        <w:keepLines w:val="0"/>
        <w:pageBreakBefore w:val="0"/>
        <w:widowControl w:val="0"/>
        <w:kinsoku/>
        <w:wordWrap/>
        <w:overflowPunct/>
        <w:topLinePunct w:val="0"/>
        <w:bidi w:val="0"/>
        <w:spacing w:line="540" w:lineRule="exact"/>
        <w:ind w:left="0" w:firstLineChars="200" w:firstLine="640"/>
        <w:rPr>
          <w:rFonts w:ascii="仿宋_GB2312" w:eastAsia="仿宋_GB2312" w:cs="仿宋_GB2312" w:hAnsi="仿宋_GB2312" w:hint="eastAsia"/>
          <w:color w:val="000000"/>
          <w:lang w:eastAsia="zh-CN"/>
        </w:rPr>
      </w:pPr>
      <w:r>
        <w:rPr>
          <w:rFonts w:ascii="仿宋_GB2312" w:eastAsia="仿宋_GB2312" w:cs="仿宋_GB2312" w:hAnsi="仿宋_GB2312" w:hint="eastAsia"/>
          <w:color w:val="000000"/>
          <w:sz w:val="32"/>
          <w:szCs w:val="32"/>
          <w:shd w:val="clear" w:color="auto" w:fill="FFFFFF"/>
          <w:lang w:val="en-US" w:eastAsia="zh-CN"/>
        </w:rPr>
        <w:t>8、</w:t>
      </w:r>
      <w:r>
        <w:rPr>
          <w:rFonts w:ascii="仿宋_GB2312" w:eastAsia="仿宋_GB2312" w:cs="仿宋_GB2312" w:hAnsi="仿宋_GB2312" w:hint="eastAsia"/>
          <w:color w:val="000000"/>
          <w:sz w:val="32"/>
          <w:szCs w:val="32"/>
          <w:lang w:val="en-US" w:eastAsia="zh-CN"/>
        </w:rPr>
        <w:t>深化社企改革。建设“大社资”，培育壮大社有企业，完善现代企业制度，深化“劳动、人事、分配”三项制度改革，优化经营业绩考核机制，做强以社有企业为支撑的经营服务体系，增强社有企业发展活力和为农服务实力。</w:t>
      </w:r>
    </w:p>
    <w:p>
      <w:pPr>
        <w:keepNext w:val="0"/>
        <w:keepLines w:val="0"/>
        <w:pageBreakBefore w:val="0"/>
        <w:widowControl w:val="0"/>
        <w:kinsoku/>
        <w:wordWrap/>
        <w:overflowPunct/>
        <w:topLinePunct w:val="0"/>
        <w:bidi w:val="0"/>
        <w:spacing w:line="540" w:lineRule="exact"/>
        <w:ind w:firstLineChars="200" w:firstLine="640"/>
        <w:rPr>
          <w:rFonts w:ascii="仿宋_GB2312" w:eastAsia="仿宋_GB2312" w:cs="仿宋_GB2312" w:hAnsi="仿宋_GB2312" w:hint="eastAsia"/>
          <w:color w:val="000000"/>
          <w:sz w:val="32"/>
          <w:szCs w:val="32"/>
          <w:shd w:val="clear" w:color="auto" w:fill="FFFFFF"/>
        </w:rPr>
      </w:pPr>
      <w:r>
        <w:rPr>
          <w:rFonts w:ascii="仿宋_GB2312" w:eastAsia="仿宋_GB2312" w:cs="仿宋_GB2312" w:hAnsi="仿宋_GB2312" w:hint="eastAsia"/>
          <w:color w:val="000000"/>
          <w:sz w:val="32"/>
          <w:szCs w:val="32"/>
          <w:lang w:val="en-US" w:eastAsia="zh-CN"/>
        </w:rPr>
        <w:t>9、</w:t>
      </w:r>
      <w:r>
        <w:rPr>
          <w:rFonts w:ascii="仿宋_GB2312" w:eastAsia="仿宋_GB2312" w:cs="仿宋_GB2312" w:hAnsi="仿宋_GB2312" w:hint="eastAsia"/>
          <w:color w:val="000000"/>
          <w:sz w:val="32"/>
          <w:szCs w:val="32"/>
          <w:shd w:val="clear" w:color="auto" w:fill="FFFFFF"/>
          <w:lang w:val="en-US" w:eastAsia="zh-CN"/>
        </w:rPr>
        <w:t>抓好</w:t>
      </w:r>
      <w:r>
        <w:rPr>
          <w:rFonts w:ascii="仿宋_GB2312" w:eastAsia="仿宋_GB2312" w:cs="仿宋_GB2312" w:hAnsi="仿宋_GB2312" w:hint="eastAsia"/>
          <w:color w:val="000000"/>
          <w:sz w:val="32"/>
          <w:szCs w:val="32"/>
          <w:shd w:val="clear" w:color="auto" w:fill="FFFFFF"/>
        </w:rPr>
        <w:t>招商引资和项目建设。</w:t>
      </w:r>
      <w:r>
        <w:rPr>
          <w:rFonts w:ascii="仿宋_GB2312" w:eastAsia="仿宋_GB2312" w:cs="仿宋_GB2312" w:hAnsi="仿宋_GB2312" w:hint="eastAsia"/>
          <w:color w:val="000000"/>
          <w:sz w:val="32"/>
          <w:szCs w:val="32"/>
          <w:shd w:val="clear" w:color="auto" w:fill="FFFFFF"/>
          <w:lang w:eastAsia="zh-CN"/>
        </w:rPr>
        <w:t>及时捕捉大型</w:t>
      </w:r>
      <w:r>
        <w:rPr>
          <w:rFonts w:ascii="仿宋_GB2312" w:eastAsia="仿宋_GB2312" w:cs="仿宋_GB2312" w:hAnsi="仿宋_GB2312" w:hint="eastAsia"/>
          <w:color w:val="000000"/>
          <w:sz w:val="32"/>
          <w:szCs w:val="32"/>
          <w:shd w:val="clear" w:color="auto" w:fill="FFFFFF"/>
          <w:lang w:val="en-US" w:eastAsia="zh-CN"/>
        </w:rPr>
        <w:t>企业</w:t>
      </w:r>
      <w:r>
        <w:rPr>
          <w:rFonts w:ascii="仿宋_GB2312" w:eastAsia="仿宋_GB2312" w:cs="仿宋_GB2312" w:hAnsi="仿宋_GB2312" w:hint="eastAsia"/>
          <w:color w:val="000000"/>
          <w:sz w:val="32"/>
          <w:szCs w:val="32"/>
          <w:shd w:val="clear" w:color="auto" w:fill="FFFFFF"/>
          <w:lang w:eastAsia="zh-CN"/>
        </w:rPr>
        <w:t>投资动向，充分利用系统内资源广泛开展招商引资洽谈。根据国家政策、投资导向和市场变化，及时对项目库进行调整、完善和更新</w:t>
      </w:r>
      <w:r>
        <w:rPr>
          <w:rFonts w:ascii="仿宋_GB2312" w:eastAsia="仿宋_GB2312" w:cs="仿宋_GB2312" w:hAnsi="仿宋_GB2312" w:hint="eastAsia"/>
          <w:color w:val="000000"/>
          <w:sz w:val="32"/>
          <w:szCs w:val="32"/>
          <w:shd w:val="clear" w:color="auto" w:fill="FFFFFF"/>
        </w:rPr>
        <w:t>。</w:t>
      </w:r>
    </w:p>
    <w:p>
      <w:pPr>
        <w:keepNext w:val="0"/>
        <w:keepLines w:val="0"/>
        <w:pageBreakBefore w:val="0"/>
        <w:widowControl w:val="0"/>
        <w:kinsoku/>
        <w:wordWrap/>
        <w:overflowPunct/>
        <w:topLinePunct w:val="0"/>
        <w:bidi w:val="0"/>
        <w:spacing w:line="540" w:lineRule="exact"/>
        <w:ind w:firstLineChars="200" w:firstLine="640"/>
        <w:rPr>
          <w:rFonts w:ascii="仿宋_GB2312" w:eastAsia="仿宋_GB2312" w:cs="仿宋_GB2312" w:hAnsi="仿宋_GB2312" w:hint="eastAsia"/>
          <w:color w:val="000000"/>
          <w:sz w:val="32"/>
          <w:szCs w:val="32"/>
          <w:shd w:val="clear" w:color="auto" w:fill="FFFFFF"/>
          <w:lang w:eastAsia="zh-CN"/>
        </w:rPr>
      </w:pPr>
      <w:r>
        <w:rPr>
          <w:rFonts w:ascii="仿宋_GB2312" w:eastAsia="仿宋_GB2312" w:cs="仿宋_GB2312" w:hAnsi="仿宋_GB2312" w:hint="eastAsia"/>
          <w:color w:val="000000"/>
          <w:sz w:val="32"/>
          <w:szCs w:val="32"/>
          <w:shd w:val="clear" w:color="auto" w:fill="FFFFFF"/>
          <w:lang w:val="en-US" w:eastAsia="zh-CN"/>
        </w:rPr>
        <w:t>10</w:t>
      </w:r>
      <w:r>
        <w:rPr>
          <w:rFonts w:ascii="仿宋_GB2312" w:eastAsia="仿宋_GB2312" w:cs="仿宋_GB2312" w:hAnsi="仿宋_GB2312" w:hint="eastAsia"/>
          <w:color w:val="000000"/>
          <w:sz w:val="32"/>
          <w:szCs w:val="32"/>
          <w:shd w:val="clear" w:color="auto" w:fill="FFFFFF"/>
        </w:rPr>
        <w:t>、</w:t>
      </w:r>
      <w:r>
        <w:rPr>
          <w:rFonts w:ascii="仿宋_GB2312" w:eastAsia="仿宋_GB2312" w:cs="仿宋_GB2312" w:hAnsi="仿宋_GB2312" w:hint="eastAsia"/>
          <w:color w:val="000000"/>
          <w:sz w:val="32"/>
          <w:szCs w:val="32"/>
          <w:shd w:val="clear" w:color="auto" w:fill="FFFFFF"/>
          <w:lang w:eastAsia="zh-CN"/>
        </w:rPr>
        <w:t>高质量</w:t>
      </w:r>
      <w:r>
        <w:rPr>
          <w:rFonts w:ascii="仿宋_GB2312" w:eastAsia="仿宋_GB2312" w:cs="仿宋_GB2312" w:hAnsi="仿宋_GB2312" w:hint="eastAsia"/>
          <w:color w:val="000000"/>
          <w:sz w:val="32"/>
          <w:szCs w:val="32"/>
          <w:shd w:val="clear" w:color="auto" w:fill="FFFFFF"/>
        </w:rPr>
        <w:t>完成市委、市政府和上级社交办的中心工作。做好文明创建、意识形态、精神文明建设、</w:t>
      </w:r>
      <w:r>
        <w:rPr>
          <w:rFonts w:ascii="仿宋_GB2312" w:eastAsia="仿宋_GB2312" w:cs="仿宋_GB2312" w:hAnsi="仿宋_GB2312" w:hint="eastAsia"/>
          <w:color w:val="000000"/>
          <w:sz w:val="32"/>
          <w:szCs w:val="32"/>
          <w:shd w:val="clear" w:color="auto" w:fill="FFFFFF"/>
          <w:lang w:val="en-US" w:eastAsia="zh-CN"/>
        </w:rPr>
        <w:t>保密、档案、政务公开、</w:t>
      </w:r>
      <w:r>
        <w:rPr>
          <w:rFonts w:ascii="仿宋_GB2312" w:eastAsia="仿宋_GB2312" w:cs="仿宋_GB2312" w:hAnsi="仿宋_GB2312" w:hint="eastAsia"/>
          <w:color w:val="000000"/>
          <w:sz w:val="32"/>
          <w:szCs w:val="32"/>
          <w:shd w:val="clear" w:color="auto" w:fill="FFFFFF"/>
        </w:rPr>
        <w:t>统一战线、</w:t>
      </w:r>
      <w:r>
        <w:rPr>
          <w:rFonts w:ascii="仿宋_GB2312" w:eastAsia="仿宋_GB2312" w:cs="仿宋_GB2312" w:hAnsi="仿宋_GB2312" w:hint="eastAsia"/>
          <w:color w:val="000000"/>
          <w:sz w:val="32"/>
          <w:szCs w:val="32"/>
          <w:shd w:val="clear" w:color="auto" w:fill="FFFFFF"/>
          <w:lang w:val="en-US" w:eastAsia="zh-CN"/>
        </w:rPr>
        <w:t>工青妇、老龄、巩固拓展脱贫攻坚成果同</w:t>
      </w:r>
      <w:r>
        <w:rPr>
          <w:rFonts w:ascii="仿宋_GB2312" w:eastAsia="仿宋_GB2312" w:cs="仿宋_GB2312" w:hAnsi="仿宋_GB2312" w:hint="eastAsia"/>
          <w:color w:val="000000"/>
          <w:sz w:val="32"/>
          <w:szCs w:val="32"/>
          <w:shd w:val="clear" w:color="auto" w:fill="FFFFFF"/>
        </w:rPr>
        <w:t>乡村振兴</w:t>
      </w:r>
      <w:r>
        <w:rPr>
          <w:rFonts w:ascii="仿宋_GB2312" w:eastAsia="仿宋_GB2312" w:cs="仿宋_GB2312" w:hAnsi="仿宋_GB2312" w:hint="eastAsia"/>
          <w:color w:val="000000"/>
          <w:sz w:val="32"/>
          <w:szCs w:val="32"/>
          <w:shd w:val="clear" w:color="auto" w:fill="FFFFFF"/>
          <w:lang w:val="en-US" w:eastAsia="zh-CN"/>
        </w:rPr>
        <w:t>有效衔接</w:t>
      </w:r>
      <w:r>
        <w:rPr>
          <w:rFonts w:ascii="仿宋_GB2312" w:eastAsia="仿宋_GB2312" w:cs="仿宋_GB2312" w:hAnsi="仿宋_GB2312" w:hint="eastAsia"/>
          <w:color w:val="000000"/>
          <w:sz w:val="32"/>
          <w:szCs w:val="32"/>
          <w:shd w:val="clear" w:color="auto" w:fill="FFFFFF"/>
        </w:rPr>
        <w:t>、安全生产、全面依法治市，平安建设（综合治理）</w:t>
      </w:r>
      <w:r>
        <w:rPr>
          <w:rFonts w:ascii="仿宋_GB2312" w:eastAsia="仿宋_GB2312" w:cs="仿宋_GB2312" w:hAnsi="仿宋_GB2312" w:hint="eastAsia"/>
          <w:color w:val="000000"/>
          <w:sz w:val="32"/>
          <w:szCs w:val="32"/>
          <w:shd w:val="clear" w:color="auto" w:fill="FFFFFF"/>
          <w:lang w:eastAsia="zh-CN"/>
        </w:rPr>
        <w:t>、</w:t>
      </w:r>
      <w:r>
        <w:rPr>
          <w:rFonts w:ascii="仿宋_GB2312" w:eastAsia="仿宋_GB2312" w:cs="仿宋_GB2312" w:hAnsi="仿宋_GB2312" w:hint="eastAsia"/>
          <w:color w:val="000000"/>
          <w:sz w:val="32"/>
          <w:szCs w:val="32"/>
          <w:shd w:val="clear" w:color="auto" w:fill="FFFFFF"/>
        </w:rPr>
        <w:t>食品药品安全，生态文明及环境保护等工作</w:t>
      </w:r>
      <w:r>
        <w:rPr>
          <w:rFonts w:ascii="仿宋_GB2312" w:eastAsia="仿宋_GB2312" w:cs="仿宋_GB2312" w:hAnsi="仿宋_GB2312" w:hint="eastAsia"/>
          <w:color w:val="000000"/>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Ansi="仿宋_GB2312" w:hint="eastAsia"/>
          <w:bCs/>
          <w:sz w:val="32"/>
          <w:szCs w:val="32"/>
          <w:lang w:val="en-US" w:eastAsia="zh-CN"/>
        </w:rPr>
      </w:pPr>
      <w:r>
        <w:rPr>
          <w:rFonts w:ascii="黑体" w:eastAsia="黑体" w:cs="黑体" w:hAnsi="黑体" w:hint="eastAsia"/>
          <w:b/>
          <w:bCs/>
          <w:sz w:val="32"/>
          <w:szCs w:val="32"/>
          <w:lang w:val="en-US" w:eastAsia="zh-CN"/>
        </w:rPr>
        <w:t>四、部门预算单位构成</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赤壁市供销合作社联合社预算单位由赤壁市供销合作社联合社本级构成无二级预算单位</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t>第二部分  2025年部门预算编制情况及说明</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楷体_GB2312" w:eastAsia="楷体_GB2312" w:cs="楷体_GB2312" w:hAnsi="楷体_GB2312" w:hint="eastAsia"/>
          <w:b/>
          <w:bCs w:val="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楷体_GB2312" w:eastAsia="楷体_GB2312" w:cs="楷体_GB2312" w:hAnsi="楷体_GB2312" w:hint="eastAsia"/>
          <w:b/>
          <w:bCs w:val="0"/>
          <w:kern w:val="2"/>
          <w:sz w:val="32"/>
          <w:szCs w:val="32"/>
          <w:lang w:val="en-US" w:eastAsia="zh-CN"/>
        </w:rPr>
      </w:pPr>
      <w:r>
        <w:rPr>
          <w:rFonts w:ascii="黑体" w:eastAsia="黑体" w:cs="黑体" w:hAnsi="黑体" w:hint="eastAsia"/>
          <w:b/>
          <w:bCs/>
          <w:sz w:val="32"/>
          <w:szCs w:val="32"/>
          <w:lang w:val="en-US" w:eastAsia="zh-CN"/>
        </w:rPr>
        <w:t>一、部门预算收支总体情况</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bCs/>
          <w:sz w:val="32"/>
          <w:szCs w:val="32"/>
          <w:lang w:val="en-US" w:eastAsia="zh-CN"/>
        </w:rPr>
      </w:pPr>
      <w:r>
        <w:rPr>
          <w:rFonts w:ascii="仿宋" w:eastAsia="仿宋" w:cs="仿宋" w:hAnsi="仿宋"/>
          <w:bCs/>
          <w:sz w:val="32"/>
          <w:szCs w:val="32"/>
          <w:lang w:val="en-US" w:eastAsia="zh-CN"/>
        </w:rPr>
        <w:t>按照预算管理规定，赤壁市</w:t>
      </w:r>
      <w:r>
        <w:rPr>
          <w:rFonts w:ascii="仿宋" w:eastAsia="仿宋" w:cs="仿宋" w:hAnsi="仿宋" w:hint="eastAsia"/>
          <w:bCs/>
          <w:sz w:val="32"/>
          <w:szCs w:val="32"/>
          <w:lang w:val="en-US" w:eastAsia="zh-CN"/>
        </w:rPr>
        <w:t>供销合作社联合社2025年</w:t>
      </w:r>
      <w:r>
        <w:rPr>
          <w:rFonts w:ascii="仿宋" w:eastAsia="仿宋" w:cs="仿宋" w:hAnsi="仿宋"/>
          <w:bCs/>
          <w:sz w:val="32"/>
          <w:szCs w:val="32"/>
          <w:lang w:val="en-US" w:eastAsia="zh-CN"/>
        </w:rPr>
        <w:t>部门预算的编制实行综合预算制度，所有收入和支出均纳入部门预算管理。收入包括：</w:t>
      </w:r>
      <w:r>
        <w:rPr>
          <w:rFonts w:ascii="仿宋" w:eastAsia="仿宋" w:cs="仿宋" w:hAnsi="仿宋" w:hint="eastAsia"/>
          <w:bCs/>
          <w:sz w:val="32"/>
          <w:szCs w:val="32"/>
          <w:lang w:val="en-US" w:eastAsia="zh-CN"/>
        </w:rPr>
        <w:t>一般公共预算财政拨款收入</w:t>
      </w:r>
      <w:r>
        <w:rPr>
          <w:rFonts w:ascii="仿宋" w:eastAsia="仿宋" w:cs="仿宋" w:hAnsi="仿宋"/>
          <w:bCs/>
          <w:sz w:val="32"/>
          <w:szCs w:val="32"/>
          <w:lang w:val="en-US" w:eastAsia="zh-CN"/>
        </w:rPr>
        <w:t>、</w:t>
      </w:r>
      <w:r>
        <w:rPr>
          <w:rFonts w:ascii="仿宋" w:eastAsia="仿宋" w:cs="仿宋" w:hAnsi="仿宋" w:hint="eastAsia"/>
          <w:bCs/>
          <w:sz w:val="32"/>
          <w:szCs w:val="32"/>
          <w:lang w:val="en-US" w:eastAsia="zh-CN"/>
        </w:rPr>
        <w:t>政府性基金预算收入、专户管理的事业收入、其他资金、上年结转资金</w:t>
      </w:r>
      <w:r>
        <w:rPr>
          <w:rFonts w:ascii="仿宋" w:eastAsia="仿宋" w:cs="仿宋" w:hAnsi="仿宋"/>
          <w:bCs/>
          <w:sz w:val="32"/>
          <w:szCs w:val="32"/>
          <w:lang w:val="en-US" w:eastAsia="zh-CN"/>
        </w:rPr>
        <w:t>；支出包括：社会保障和就业支出、</w:t>
      </w:r>
      <w:r>
        <w:rPr>
          <w:rFonts w:ascii="仿宋" w:eastAsia="仿宋" w:cs="仿宋" w:hAnsi="仿宋" w:hint="eastAsia"/>
          <w:bCs/>
          <w:sz w:val="32"/>
          <w:szCs w:val="32"/>
          <w:lang w:val="en-US" w:eastAsia="zh-CN"/>
        </w:rPr>
        <w:t>卫生健康</w:t>
      </w:r>
      <w:r>
        <w:rPr>
          <w:rFonts w:ascii="仿宋" w:eastAsia="仿宋" w:cs="仿宋" w:hAnsi="仿宋"/>
          <w:bCs/>
          <w:sz w:val="32"/>
          <w:szCs w:val="32"/>
          <w:lang w:val="en-US" w:eastAsia="zh-CN"/>
        </w:rPr>
        <w:t>支出</w:t>
      </w:r>
      <w:r>
        <w:rPr>
          <w:rFonts w:ascii="仿宋" w:eastAsia="仿宋" w:cs="仿宋" w:hAnsi="仿宋" w:hint="eastAsia"/>
          <w:bCs/>
          <w:sz w:val="32"/>
          <w:szCs w:val="32"/>
          <w:lang w:val="en-US" w:eastAsia="zh-CN"/>
        </w:rPr>
        <w:t>、商业服务业等支出、住房保障支出</w:t>
      </w:r>
      <w:r>
        <w:rPr>
          <w:rFonts w:ascii="仿宋" w:eastAsia="仿宋" w:cs="仿宋" w:hAnsi="仿宋"/>
          <w:bCs/>
          <w:sz w:val="32"/>
          <w:szCs w:val="32"/>
          <w:lang w:val="en-US" w:eastAsia="zh-CN"/>
        </w:rPr>
        <w:t>。赤壁市</w:t>
      </w:r>
      <w:r>
        <w:rPr>
          <w:rFonts w:ascii="仿宋" w:eastAsia="仿宋" w:cs="仿宋" w:hAnsi="仿宋" w:hint="eastAsia"/>
          <w:bCs/>
          <w:sz w:val="32"/>
          <w:szCs w:val="32"/>
          <w:lang w:val="en-US" w:eastAsia="zh-CN"/>
        </w:rPr>
        <w:t>供销合作社联合社2025年</w:t>
      </w:r>
      <w:r>
        <w:rPr>
          <w:rFonts w:ascii="仿宋" w:eastAsia="仿宋" w:cs="仿宋" w:hAnsi="仿宋"/>
          <w:bCs/>
          <w:sz w:val="32"/>
          <w:szCs w:val="32"/>
          <w:lang w:val="en-US" w:eastAsia="zh-CN"/>
        </w:rPr>
        <w:t>收支总预算</w:t>
      </w:r>
      <w:r>
        <w:rPr>
          <w:rFonts w:ascii="仿宋" w:eastAsia="仿宋" w:cs="仿宋" w:hAnsi="仿宋" w:hint="eastAsia"/>
          <w:bCs/>
          <w:sz w:val="32"/>
          <w:szCs w:val="32"/>
          <w:lang w:val="en-US" w:eastAsia="zh-CN"/>
        </w:rPr>
        <w:t>444.06</w:t>
      </w:r>
      <w:r>
        <w:rPr>
          <w:rFonts w:ascii="仿宋" w:eastAsia="仿宋" w:cs="仿宋" w:hAnsi="仿宋"/>
          <w:bCs/>
          <w:sz w:val="32"/>
          <w:szCs w:val="32"/>
          <w:lang w:val="en-US" w:eastAsia="zh-CN"/>
        </w:rPr>
        <w:t>万元。</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t>二、部门预算收入情况说明</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Ansi="仿宋_GB2312" w:hint="eastAsia"/>
          <w:bCs/>
          <w:sz w:val="32"/>
          <w:szCs w:val="32"/>
          <w:lang w:val="en-US" w:eastAsia="zh-CN"/>
        </w:rPr>
      </w:pPr>
      <w:r>
        <w:rPr>
          <w:rFonts w:ascii="仿宋" w:eastAsia="仿宋" w:cs="仿宋" w:hAnsi="仿宋" w:hint="eastAsia"/>
          <w:bCs/>
          <w:sz w:val="32"/>
          <w:szCs w:val="32"/>
          <w:lang w:val="en-US" w:eastAsia="zh-CN"/>
        </w:rPr>
        <w:t>赤壁市供销合作社联合社2025年收入预算444.06万元，其中:财政拨款收入444.06万元（含非税收入15万元），占100%；政府性基金预算收入0.00万元，占0%；</w:t>
      </w:r>
      <w:r>
        <w:rPr>
          <w:rFonts w:ascii="仿宋" w:eastAsia="仿宋" w:cs="仿宋" w:hAnsi="仿宋" w:hint="eastAsia"/>
          <w:bCs/>
          <w:sz w:val="32"/>
          <w:szCs w:val="32"/>
        </w:rPr>
        <w:t>专户管理的事业收入</w:t>
      </w:r>
      <w:r>
        <w:rPr>
          <w:rFonts w:ascii="仿宋" w:eastAsia="仿宋" w:cs="仿宋" w:hAnsi="仿宋" w:hint="eastAsia"/>
          <w:bCs/>
          <w:sz w:val="32"/>
          <w:szCs w:val="32"/>
          <w:lang w:val="en-US" w:eastAsia="zh-CN"/>
        </w:rPr>
        <w:t>0.00</w:t>
      </w:r>
      <w:r>
        <w:rPr>
          <w:rFonts w:ascii="仿宋" w:eastAsia="仿宋" w:cs="仿宋" w:hAnsi="仿宋" w:hint="eastAsia"/>
          <w:bCs/>
          <w:sz w:val="32"/>
          <w:szCs w:val="32"/>
        </w:rPr>
        <w:t>万元</w:t>
      </w:r>
      <w:r>
        <w:rPr>
          <w:rFonts w:ascii="仿宋" w:eastAsia="仿宋" w:cs="仿宋" w:hAnsi="仿宋" w:hint="eastAsia"/>
          <w:bCs/>
          <w:sz w:val="32"/>
          <w:szCs w:val="32"/>
          <w:lang w:eastAsia="zh-CN"/>
        </w:rPr>
        <w:t>，</w:t>
      </w:r>
      <w:r>
        <w:rPr>
          <w:rFonts w:ascii="仿宋" w:eastAsia="仿宋" w:cs="仿宋" w:hAnsi="仿宋" w:hint="eastAsia"/>
          <w:bCs/>
          <w:sz w:val="32"/>
          <w:szCs w:val="32"/>
          <w:lang w:val="en-US" w:eastAsia="zh-CN"/>
        </w:rPr>
        <w:t>占0%；其他资金0.00万元，占0%；上年结转0.00万元，占0%。</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t>三、部门预算支出情况说明</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赤壁市供销合作社联合社2025年支出预算444.06万元，其中:基本支出399.06万元，占89.87%；项目支出45.00万元，占10.13%。</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t>四、预算收支增减变化情况</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赤壁市供销合作社联合社2025年收入预算总额为444.06万元，比上年</w:t>
      </w:r>
      <w:r>
        <w:rPr>
          <w:rFonts w:ascii="仿宋" w:eastAsia="仿宋" w:cs="仿宋" w:hAnsi="仿宋" w:hint="eastAsia"/>
          <w:bCs/>
          <w:sz w:val="32"/>
          <w:szCs w:val="32"/>
          <w:lang w:eastAsia="zh-CN"/>
        </w:rPr>
        <w:t>增加</w:t>
      </w:r>
      <w:r>
        <w:rPr>
          <w:rFonts w:ascii="仿宋" w:eastAsia="仿宋" w:cs="仿宋" w:hAnsi="仿宋" w:hint="eastAsia"/>
          <w:bCs/>
          <w:sz w:val="32"/>
          <w:szCs w:val="32"/>
          <w:lang w:val="en-US" w:eastAsia="zh-CN"/>
        </w:rPr>
        <w:t>79.22万元,</w:t>
      </w:r>
      <w:r>
        <w:rPr>
          <w:rFonts w:ascii="仿宋" w:eastAsia="仿宋" w:cs="仿宋" w:hAnsi="仿宋" w:hint="eastAsia"/>
          <w:bCs/>
          <w:sz w:val="32"/>
          <w:szCs w:val="32"/>
          <w:lang w:eastAsia="zh-CN"/>
        </w:rPr>
        <w:t>增加</w:t>
      </w:r>
      <w:r>
        <w:rPr>
          <w:rFonts w:ascii="仿宋" w:eastAsia="仿宋" w:cs="仿宋" w:hAnsi="仿宋" w:hint="eastAsia"/>
          <w:bCs/>
          <w:sz w:val="32"/>
          <w:szCs w:val="32"/>
          <w:lang w:val="en-US" w:eastAsia="zh-CN"/>
        </w:rPr>
        <w:t>21.71%，其中：财政拨款收入444.06万元（含非税收入15万元），政府性基金预算收入0.00万元，专户管理的事业收入0.00万元，其他资金0.00万元，上年结转0.00万元。</w:t>
      </w:r>
      <w:r>
        <w:rPr>
          <w:rFonts w:ascii="仿宋" w:eastAsia="仿宋" w:cs="仿宋" w:hAnsi="仿宋" w:hint="eastAsia"/>
          <w:bCs/>
          <w:sz w:val="32"/>
          <w:szCs w:val="32"/>
          <w:lang w:eastAsia="zh-CN"/>
        </w:rPr>
        <w:t>增加</w:t>
      </w:r>
      <w:r>
        <w:rPr>
          <w:rFonts w:ascii="仿宋" w:eastAsia="仿宋" w:cs="仿宋" w:hAnsi="仿宋" w:hint="eastAsia"/>
          <w:bCs/>
          <w:sz w:val="32"/>
          <w:szCs w:val="32"/>
          <w:lang w:val="en-US" w:eastAsia="zh-CN"/>
        </w:rPr>
        <w:t>主要原因：新增了三名公务员和四名事业编人员。</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赤壁市供销合作社联合社2025年支出预算总额为444.06万元，比上年</w:t>
      </w:r>
      <w:r>
        <w:rPr>
          <w:rFonts w:ascii="仿宋" w:eastAsia="仿宋" w:cs="仿宋" w:hAnsi="仿宋" w:hint="eastAsia"/>
          <w:bCs/>
          <w:sz w:val="32"/>
          <w:szCs w:val="32"/>
          <w:lang w:eastAsia="zh-CN"/>
        </w:rPr>
        <w:t>增加</w:t>
      </w:r>
      <w:r>
        <w:rPr>
          <w:rFonts w:ascii="仿宋" w:eastAsia="仿宋" w:cs="仿宋" w:hAnsi="仿宋" w:hint="eastAsia"/>
          <w:bCs/>
          <w:sz w:val="32"/>
          <w:szCs w:val="32"/>
          <w:lang w:val="en-US" w:eastAsia="zh-CN"/>
        </w:rPr>
        <w:t>79.22万元,</w:t>
      </w:r>
      <w:r>
        <w:rPr>
          <w:rFonts w:ascii="仿宋" w:eastAsia="仿宋" w:cs="仿宋" w:hAnsi="仿宋" w:hint="eastAsia"/>
          <w:bCs/>
          <w:sz w:val="32"/>
          <w:szCs w:val="32"/>
          <w:lang w:eastAsia="zh-CN"/>
        </w:rPr>
        <w:t>增加</w:t>
      </w:r>
      <w:r>
        <w:rPr>
          <w:rFonts w:ascii="仿宋" w:eastAsia="仿宋" w:cs="仿宋" w:hAnsi="仿宋" w:hint="eastAsia"/>
          <w:bCs/>
          <w:sz w:val="32"/>
          <w:szCs w:val="32"/>
          <w:lang w:val="en-US" w:eastAsia="zh-CN"/>
        </w:rPr>
        <w:t>21.71%，其中：基本支出399.06万元；项目支出45.00万元。</w:t>
      </w:r>
      <w:r>
        <w:rPr>
          <w:rFonts w:ascii="仿宋" w:eastAsia="仿宋" w:cs="仿宋" w:hAnsi="仿宋" w:hint="eastAsia"/>
          <w:bCs/>
          <w:sz w:val="32"/>
          <w:szCs w:val="32"/>
          <w:lang w:eastAsia="zh-CN"/>
        </w:rPr>
        <w:t>增加</w:t>
      </w:r>
      <w:r>
        <w:rPr>
          <w:rFonts w:ascii="仿宋" w:eastAsia="仿宋" w:cs="仿宋" w:hAnsi="仿宋" w:hint="eastAsia"/>
          <w:bCs/>
          <w:sz w:val="32"/>
          <w:szCs w:val="32"/>
          <w:lang w:val="en-US" w:eastAsia="zh-CN"/>
        </w:rPr>
        <w:t>主要原因：新增了三名公务员和四名事业编人员。</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t>五、政府性基金预算支出情况说明</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赤壁市供销合作社联合社2025年无政府性基金预算支出。</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t>六、国有资本经营预算支出情况说明</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赤壁市供销合作社联合社2025年无国有资本经营预算支出。</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黑体" w:eastAsia="黑体" w:cs="黑体" w:hAnsi="黑体" w:hint="eastAsia"/>
          <w:b/>
          <w:bCs/>
          <w:sz w:val="32"/>
          <w:szCs w:val="32"/>
          <w:lang w:val="en-US" w:eastAsia="zh-CN"/>
        </w:rPr>
      </w:pPr>
      <w:r>
        <w:rPr>
          <w:rFonts w:ascii="黑体" w:eastAsia="黑体" w:cs="黑体" w:hAnsi="黑体" w:hint="eastAsia"/>
          <w:b/>
          <w:bCs/>
          <w:sz w:val="32"/>
          <w:szCs w:val="32"/>
          <w:lang w:val="en-US" w:eastAsia="zh-CN"/>
        </w:rPr>
        <w:t>七、“三公”经费、会议费、培训费支出预算情况说明</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本预算反映部门年度“三公”经费预算情况。赤壁市供销合作社联合社本年“三公”经费预算支出中，因公出国（境）费支出0万元，占“三公”经费的0%；公务用车购置及运行维护费支出0万元，占“三公”经费的0%；公务接待费支出  2.42万元，占“三公”经费的100%。具体情况如下：</w:t>
      </w:r>
    </w:p>
    <w:p>
      <w:pPr>
        <w:keepNext w:val="0"/>
        <w:keepLines w:val="0"/>
        <w:pageBreakBefore w:val="0"/>
        <w:numPr>
          <w:ilvl w:val="0"/>
          <w:numId w:val="3"/>
        </w:numPr>
        <w:kinsoku/>
        <w:wordWrap/>
        <w:overflowPunct/>
        <w:topLinePunct w:val="0"/>
        <w:autoSpaceDE/>
        <w:autoSpaceDN/>
        <w:bidi w:val="0"/>
        <w:adjustRightInd/>
        <w:snapToGrid/>
        <w:spacing w:line="560" w:lineRule="exact"/>
        <w:ind w:left="0" w:firstLineChars="200" w:firstLine="640"/>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因公出国（境）费预算支出0万元，比上年预算增加（减少）0万元，主要原因是我单位无因公出国（境）需要。</w:t>
      </w:r>
    </w:p>
    <w:p>
      <w:pPr>
        <w:keepNext w:val="0"/>
        <w:keepLines w:val="0"/>
        <w:pageBreakBefore w:val="0"/>
        <w:numPr>
          <w:ilvl w:val="0"/>
          <w:numId w:val="3"/>
        </w:numPr>
        <w:kinsoku/>
        <w:wordWrap/>
        <w:overflowPunct/>
        <w:topLinePunct w:val="0"/>
        <w:autoSpaceDE/>
        <w:autoSpaceDN/>
        <w:bidi w:val="0"/>
        <w:adjustRightInd/>
        <w:snapToGrid/>
        <w:spacing w:line="560" w:lineRule="exact"/>
        <w:ind w:left="0" w:firstLineChars="200" w:firstLine="640"/>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公务用车购置及运行维护费预算支出0万元，比上年预算增加（减少）0万元。其中：</w:t>
      </w:r>
    </w:p>
    <w:p>
      <w:pPr>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（1）公务用车购置费预算支出0万元，比上年预算增加（减少）0万元，主要原因是我单位无公务车辆。</w:t>
      </w:r>
    </w:p>
    <w:p>
      <w:pPr>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（2）公务用车运行维护费预算支出0万元，与上年度增加（减少）0万元。</w:t>
      </w:r>
    </w:p>
    <w:p>
      <w:pPr>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3．公务接待费预算支出2.42万元，与上年度持平。</w:t>
      </w:r>
    </w:p>
    <w:p>
      <w:pPr>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 w:eastAsia="仿宋" w:cs="仿宋" w:hAnsi="仿宋"/>
          <w:bCs/>
          <w:sz w:val="32"/>
          <w:szCs w:val="32"/>
          <w:lang w:val="en-US" w:eastAsia="zh-CN"/>
        </w:rPr>
      </w:pPr>
      <w:r>
        <w:rPr>
          <w:rFonts w:ascii="仿宋" w:eastAsia="仿宋" w:cs="仿宋" w:hAnsi="仿宋" w:hint="eastAsia"/>
          <w:bCs/>
          <w:sz w:val="32"/>
          <w:szCs w:val="32"/>
          <w:lang w:val="en-US" w:eastAsia="zh-CN"/>
        </w:rPr>
        <w:t>赤壁市供销合作社联合社2025年度一般公共预算拨款安排的会议费预算支出0.20万元，比上年预算减少0.16万元，主要原因是：精简会议流程，节约会议成本。</w:t>
      </w:r>
    </w:p>
    <w:p>
      <w:pPr>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 w:eastAsia="仿宋" w:cs="仿宋" w:hAnsi="仿宋"/>
          <w:bCs/>
          <w:sz w:val="32"/>
          <w:szCs w:val="32"/>
          <w:lang w:val="en-US" w:eastAsia="zh-CN"/>
        </w:rPr>
      </w:pPr>
      <w:r>
        <w:rPr>
          <w:rFonts w:ascii="仿宋" w:eastAsia="仿宋" w:cs="仿宋" w:hAnsi="仿宋" w:hint="eastAsia"/>
          <w:bCs/>
          <w:sz w:val="32"/>
          <w:szCs w:val="32"/>
          <w:lang w:val="en-US" w:eastAsia="zh-CN"/>
        </w:rPr>
        <w:t>赤壁市供销合作社联合社2025年度一般公共预算拨款安排的培训费预算支出0.2万元，比上年预算减少0.19万元，主要原因是：简化会议安排，节约会议成本。</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黑体" w:eastAsia="黑体" w:cs="黑体" w:hAnsi="黑体" w:hint="eastAsia"/>
          <w:bCs/>
          <w:color w:val="auto"/>
          <w:szCs w:val="32"/>
        </w:rPr>
      </w:pPr>
      <w:r>
        <w:rPr>
          <w:rFonts w:ascii="黑体" w:eastAsia="黑体" w:cs="黑体" w:hAnsi="黑体" w:hint="eastAsia"/>
          <w:b/>
          <w:bCs w:val="0"/>
          <w:kern w:val="2"/>
          <w:sz w:val="32"/>
          <w:szCs w:val="32"/>
          <w:lang w:val="en-US" w:eastAsia="zh-CN"/>
        </w:rPr>
        <w:t>八、机关运行经费安排情况说明</w:t>
      </w:r>
    </w:p>
    <w:p>
      <w:pPr>
        <w:pStyle w:val="15"/>
        <w:keepNext w:val="0"/>
        <w:keepLines w:val="0"/>
        <w:pageBreakBefore w:val="0"/>
        <w:kinsoku/>
        <w:wordWrap/>
        <w:overflowPunct/>
        <w:topLinePunct w:val="0"/>
        <w:autoSpaceDE/>
        <w:autoSpaceDN/>
        <w:bidi w:val="0"/>
        <w:adjustRightInd/>
        <w:snapToGrid/>
        <w:spacing w:line="560" w:lineRule="exact"/>
        <w:textAlignment w:val="auto"/>
        <w:rPr>
          <w:rFonts w:ascii="仿宋" w:eastAsia="仿宋" w:cs="仿宋" w:hAnsi="仿宋"/>
          <w:bCs/>
          <w:sz w:val="32"/>
          <w:szCs w:val="32"/>
          <w:lang w:val="en-US" w:eastAsia="zh-CN"/>
        </w:rPr>
      </w:pPr>
      <w:r>
        <w:rPr>
          <w:rFonts w:ascii="仿宋" w:eastAsia="仿宋" w:cs="仿宋" w:hAnsi="仿宋" w:hint="eastAsia"/>
          <w:bCs/>
          <w:sz w:val="32"/>
          <w:szCs w:val="32"/>
          <w:lang w:val="en-US" w:eastAsia="zh-CN"/>
        </w:rPr>
        <w:t>赤壁市供销合作社联合社2025年机关运行经费预算   36.43万元，其中：办公费2.59万元、印刷费0.13万元、水电费1.42万元、邮电费2.68万元、差旅费2.00万元、因公出国(境)费用0.00万元、维修(护)费0.28万元、会议费0.20万元、培训费0.20万元、公务接待费0.20万元、劳务费0.10万元、委托业务费1.00万元、工会会费4.03万元、福利费3.62万元、公务用车运行维护费0.00万元、其他交通费用16.69万元、其他商品和服务支出1.30万元、办公设备购置费0万元。占预算总额的8.20%，比上年增加11.44万元,增加45.79%。增加原因：新增了三名公务员和四名事业编人员。</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黑体" w:eastAsia="黑体" w:cs="黑体" w:hAnsi="黑体" w:hint="eastAsia"/>
          <w:b/>
          <w:bCs w:val="0"/>
          <w:kern w:val="2"/>
          <w:sz w:val="32"/>
          <w:szCs w:val="32"/>
          <w:lang w:val="en-US" w:eastAsia="zh-CN"/>
        </w:rPr>
      </w:pPr>
      <w:r>
        <w:rPr>
          <w:rFonts w:ascii="黑体" w:eastAsia="黑体" w:cs="黑体" w:hAnsi="黑体" w:hint="eastAsia"/>
          <w:b/>
          <w:bCs w:val="0"/>
          <w:kern w:val="2"/>
          <w:sz w:val="32"/>
          <w:szCs w:val="32"/>
          <w:lang w:val="en-US" w:eastAsia="zh-CN"/>
        </w:rPr>
        <w:t>九、政府采购安排情况说明</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 w:eastAsia="仿宋" w:cs="仿宋" w:hAnsi="仿宋" w:hint="eastAsia"/>
          <w:bCs/>
          <w:sz w:val="32"/>
          <w:szCs w:val="32"/>
          <w:lang w:eastAsia="zh-CN"/>
        </w:rPr>
      </w:pPr>
      <w:r>
        <w:rPr>
          <w:rFonts w:ascii="仿宋" w:eastAsia="仿宋" w:cs="仿宋" w:hAnsi="仿宋" w:hint="eastAsia"/>
          <w:bCs/>
          <w:sz w:val="32"/>
          <w:szCs w:val="32"/>
          <w:lang w:val="en-US" w:eastAsia="zh-CN"/>
        </w:rPr>
        <w:t>赤壁市供销合作社联合社</w:t>
      </w:r>
      <w:r>
        <w:rPr>
          <w:rFonts w:ascii="仿宋" w:eastAsia="仿宋" w:cs="仿宋" w:hAnsi="仿宋" w:hint="eastAsia"/>
          <w:bCs/>
          <w:sz w:val="32"/>
          <w:szCs w:val="32"/>
          <w:lang w:eastAsia="zh-CN"/>
        </w:rPr>
        <w:t>202</w:t>
      </w:r>
      <w:r>
        <w:rPr>
          <w:rFonts w:ascii="仿宋" w:eastAsia="仿宋" w:cs="仿宋" w:hAnsi="仿宋" w:hint="eastAsia"/>
          <w:bCs/>
          <w:sz w:val="32"/>
          <w:szCs w:val="32"/>
          <w:lang w:val="en-US" w:eastAsia="zh-CN"/>
        </w:rPr>
        <w:t>5</w:t>
      </w:r>
      <w:r>
        <w:rPr>
          <w:rFonts w:ascii="仿宋" w:eastAsia="仿宋" w:cs="仿宋" w:hAnsi="仿宋" w:hint="eastAsia"/>
          <w:bCs/>
          <w:sz w:val="32"/>
          <w:szCs w:val="32"/>
          <w:lang w:eastAsia="zh-CN"/>
        </w:rPr>
        <w:t>年政府采购预算</w:t>
      </w:r>
      <w:r>
        <w:rPr>
          <w:rFonts w:ascii="仿宋" w:eastAsia="仿宋" w:cs="仿宋" w:hAnsi="仿宋" w:hint="eastAsia"/>
          <w:bCs/>
          <w:sz w:val="32"/>
          <w:szCs w:val="32"/>
          <w:lang w:val="en-US" w:eastAsia="zh-CN"/>
        </w:rPr>
        <w:t>3.00</w:t>
      </w:r>
      <w:r>
        <w:rPr>
          <w:rFonts w:ascii="仿宋" w:eastAsia="仿宋" w:cs="仿宋" w:hAnsi="仿宋" w:hint="eastAsia"/>
          <w:bCs/>
          <w:sz w:val="32"/>
          <w:szCs w:val="32"/>
          <w:lang w:eastAsia="zh-CN"/>
        </w:rPr>
        <w:t>万元，其中货物类采购预算</w:t>
      </w:r>
      <w:r>
        <w:rPr>
          <w:rFonts w:ascii="仿宋" w:eastAsia="仿宋" w:cs="仿宋" w:hAnsi="仿宋" w:hint="eastAsia"/>
          <w:bCs/>
          <w:sz w:val="32"/>
          <w:szCs w:val="32"/>
          <w:lang w:val="en-US" w:eastAsia="zh-CN"/>
        </w:rPr>
        <w:t>3.00</w:t>
      </w:r>
      <w:r>
        <w:rPr>
          <w:rFonts w:ascii="仿宋" w:eastAsia="仿宋" w:cs="仿宋" w:hAnsi="仿宋" w:hint="eastAsia"/>
          <w:bCs/>
          <w:sz w:val="32"/>
          <w:szCs w:val="32"/>
          <w:lang w:eastAsia="zh-CN"/>
        </w:rPr>
        <w:t>万元，工程类采购预算</w:t>
      </w:r>
      <w:r>
        <w:rPr>
          <w:rFonts w:ascii="仿宋" w:eastAsia="仿宋" w:cs="仿宋" w:hAnsi="仿宋" w:hint="eastAsia"/>
          <w:bCs/>
          <w:sz w:val="32"/>
          <w:szCs w:val="32"/>
          <w:lang w:val="en-US" w:eastAsia="zh-CN"/>
        </w:rPr>
        <w:t>0</w:t>
      </w:r>
      <w:r>
        <w:rPr>
          <w:rFonts w:ascii="仿宋" w:eastAsia="仿宋" w:cs="仿宋" w:hAnsi="仿宋" w:hint="eastAsia"/>
          <w:bCs/>
          <w:sz w:val="32"/>
          <w:szCs w:val="32"/>
          <w:lang w:eastAsia="zh-CN"/>
        </w:rPr>
        <w:t>万元，服务类采购预算</w:t>
      </w:r>
      <w:r>
        <w:rPr>
          <w:rFonts w:ascii="仿宋" w:eastAsia="仿宋" w:cs="仿宋" w:hAnsi="仿宋" w:hint="eastAsia"/>
          <w:bCs/>
          <w:sz w:val="32"/>
          <w:szCs w:val="32"/>
          <w:lang w:val="en-US" w:eastAsia="zh-CN"/>
        </w:rPr>
        <w:t>0</w:t>
      </w:r>
      <w:r>
        <w:rPr>
          <w:rFonts w:ascii="仿宋" w:eastAsia="仿宋" w:cs="仿宋" w:hAnsi="仿宋" w:hint="eastAsia"/>
          <w:bCs/>
          <w:sz w:val="32"/>
          <w:szCs w:val="32"/>
          <w:lang w:eastAsia="zh-CN"/>
        </w:rPr>
        <w:t>万元。比上年</w:t>
      </w:r>
      <w:r>
        <w:rPr>
          <w:rFonts w:ascii="仿宋" w:eastAsia="仿宋" w:cs="仿宋" w:hAnsi="仿宋" w:hint="eastAsia"/>
          <w:bCs/>
          <w:sz w:val="32"/>
          <w:szCs w:val="32"/>
          <w:lang w:val="en-US" w:eastAsia="zh-CN"/>
        </w:rPr>
        <w:t>减少0.65</w:t>
      </w:r>
      <w:r>
        <w:rPr>
          <w:rFonts w:ascii="仿宋" w:eastAsia="仿宋" w:cs="仿宋" w:hAnsi="仿宋" w:hint="eastAsia"/>
          <w:bCs/>
          <w:sz w:val="32"/>
          <w:szCs w:val="32"/>
          <w:lang w:eastAsia="zh-CN"/>
        </w:rPr>
        <w:t>万元,</w:t>
      </w:r>
      <w:r>
        <w:rPr>
          <w:rFonts w:ascii="仿宋" w:eastAsia="仿宋" w:cs="仿宋" w:hAnsi="仿宋" w:hint="eastAsia"/>
          <w:bCs/>
          <w:sz w:val="32"/>
          <w:szCs w:val="32"/>
          <w:lang w:val="en-US" w:eastAsia="zh-CN"/>
        </w:rPr>
        <w:t>减少17.80</w:t>
      </w:r>
      <w:r>
        <w:rPr>
          <w:rFonts w:ascii="仿宋" w:eastAsia="仿宋" w:cs="仿宋" w:hAnsi="仿宋" w:hint="eastAsia"/>
          <w:bCs/>
          <w:sz w:val="32"/>
          <w:szCs w:val="32"/>
          <w:lang w:eastAsia="zh-CN"/>
        </w:rPr>
        <w:t>%。</w:t>
      </w:r>
      <w:r>
        <w:rPr>
          <w:rFonts w:ascii="仿宋" w:eastAsia="仿宋" w:cs="仿宋" w:hAnsi="仿宋" w:hint="eastAsia"/>
          <w:bCs/>
          <w:sz w:val="32"/>
          <w:szCs w:val="32"/>
          <w:lang w:val="en-US" w:eastAsia="zh-CN"/>
        </w:rPr>
        <w:t>减少</w:t>
      </w:r>
      <w:r>
        <w:rPr>
          <w:rFonts w:ascii="仿宋" w:eastAsia="仿宋" w:cs="仿宋" w:hAnsi="仿宋" w:hint="eastAsia"/>
          <w:bCs/>
          <w:sz w:val="32"/>
          <w:szCs w:val="32"/>
          <w:lang w:eastAsia="zh-CN"/>
        </w:rPr>
        <w:t>原因：本着</w:t>
      </w:r>
      <w:r>
        <w:rPr>
          <w:rFonts w:ascii="仿宋" w:eastAsia="仿宋" w:cs="仿宋" w:hAnsi="仿宋" w:hint="eastAsia"/>
          <w:bCs/>
          <w:sz w:val="32"/>
          <w:szCs w:val="32"/>
          <w:lang w:val="en-US" w:eastAsia="zh-CN"/>
        </w:rPr>
        <w:t>过紧日子</w:t>
      </w:r>
      <w:r>
        <w:rPr>
          <w:rFonts w:ascii="仿宋" w:eastAsia="仿宋" w:cs="仿宋" w:hAnsi="仿宋" w:hint="eastAsia"/>
          <w:bCs/>
          <w:sz w:val="32"/>
          <w:szCs w:val="32"/>
          <w:lang w:eastAsia="zh-CN"/>
        </w:rPr>
        <w:t>的原则，能不购买的尽量不购买。</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黑体" w:eastAsia="黑体" w:cs="黑体" w:hAnsi="黑体" w:hint="eastAsia"/>
          <w:b/>
          <w:bCs w:val="0"/>
          <w:kern w:val="2"/>
          <w:sz w:val="32"/>
          <w:szCs w:val="32"/>
          <w:lang w:val="en-US" w:eastAsia="zh-CN"/>
        </w:rPr>
      </w:pPr>
      <w:r>
        <w:rPr>
          <w:rFonts w:ascii="黑体" w:eastAsia="黑体" w:cs="黑体" w:hAnsi="黑体" w:hint="eastAsia"/>
          <w:b/>
          <w:bCs w:val="0"/>
          <w:kern w:val="2"/>
          <w:sz w:val="32"/>
          <w:szCs w:val="32"/>
          <w:lang w:val="en-US" w:eastAsia="zh-CN"/>
        </w:rPr>
        <w:t>十、国有资产占用情况说明</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_GB2312" w:cs="仿宋_GB2312" w:hAnsi="仿宋_GB2312" w:hint="eastAsia"/>
          <w:color w:val="auto"/>
          <w:szCs w:val="32"/>
          <w:lang w:eastAsia="zh-CN"/>
        </w:rPr>
      </w:pPr>
      <w:r>
        <w:rPr>
          <w:rFonts w:ascii="仿宋" w:eastAsia="仿宋" w:cs="仿宋" w:hAnsi="仿宋" w:hint="eastAsia"/>
          <w:bCs/>
          <w:sz w:val="32"/>
          <w:szCs w:val="32"/>
          <w:lang w:val="en-US" w:eastAsia="zh-CN"/>
        </w:rPr>
        <w:t>赤壁市供销合作社联合社2025年管理、维护、使用房屋建筑面积合计300平方米，其中：办公用房300平方米，专用房屋0平方米。部门机动车辆（实有数）0辆，其中：保留公务用车0辆，执法执勤用车0辆，特种专业技术用车0辆。单位价值50万元以上通用设备0台（套），单价100万元以上专用设备0台（套）。增减变化情况：无</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黑体" w:eastAsia="黑体" w:cs="黑体" w:hAnsi="黑体" w:hint="eastAsia"/>
          <w:b/>
          <w:bCs w:val="0"/>
          <w:kern w:val="2"/>
          <w:sz w:val="32"/>
          <w:szCs w:val="32"/>
          <w:lang w:val="en-US" w:eastAsia="zh-CN"/>
        </w:rPr>
      </w:pPr>
      <w:r>
        <w:rPr>
          <w:rFonts w:ascii="黑体" w:eastAsia="黑体" w:cs="黑体" w:hAnsi="黑体" w:hint="eastAsia"/>
          <w:b/>
          <w:bCs w:val="0"/>
          <w:kern w:val="2"/>
          <w:sz w:val="32"/>
          <w:szCs w:val="32"/>
          <w:lang w:val="en-US" w:eastAsia="zh-CN"/>
        </w:rPr>
        <w:t>十一、绩效目标设置情况说明</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赤壁市供销合作社联合社2025年共3个项目实行绩效目标管理，涉及财政性资金合计45万元。</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部门预算绩效开展情况：根据预算绩效管理要求，我单位对本年度本部门整体支出、事业发展费、办公设备购置、为农服务工作经费开展了绩效评价。</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_GB2312" w:cs="仿宋_GB2312" w:hAnsi="仿宋_GB2312" w:hint="eastAsia"/>
          <w:color w:val="auto"/>
          <w:kern w:val="2"/>
          <w:sz w:val="32"/>
          <w:szCs w:val="32"/>
          <w:lang w:val="en-US" w:eastAsia="zh-CN"/>
        </w:rPr>
      </w:pPr>
      <w:r>
        <w:rPr>
          <w:rFonts w:ascii="仿宋" w:eastAsia="仿宋" w:cs="仿宋" w:hAnsi="仿宋" w:hint="eastAsia"/>
          <w:bCs/>
          <w:sz w:val="32"/>
          <w:szCs w:val="32"/>
          <w:lang w:val="en-US" w:eastAsia="zh-CN"/>
        </w:rPr>
        <w:t>重点项目预算的绩效目标: 事业发展费30.00万元，其中：三社一院建设经费10万元、化肥储备补助20万元。主要原因：一是用于对三社一院的建设和升级改造；二是用于化肥储备资金补贴。</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黑体" w:eastAsia="黑体" w:cs="黑体" w:hAnsi="黑体" w:hint="eastAsia"/>
          <w:b/>
          <w:bCs w:val="0"/>
          <w:kern w:val="2"/>
          <w:sz w:val="32"/>
          <w:szCs w:val="32"/>
          <w:lang w:val="en-US" w:eastAsia="zh-CN"/>
        </w:rPr>
      </w:pPr>
      <w:r>
        <w:rPr>
          <w:rFonts w:ascii="黑体" w:eastAsia="黑体" w:cs="黑体" w:hAnsi="黑体" w:hint="eastAsia"/>
          <w:b/>
          <w:bCs w:val="0"/>
          <w:kern w:val="2"/>
          <w:sz w:val="32"/>
          <w:szCs w:val="32"/>
          <w:lang w:val="en-US" w:eastAsia="zh-CN"/>
        </w:rPr>
        <w:t>十二、政府购买服务情况说明</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 w:eastAsia="仿宋" w:cs="仿宋" w:hAnsi="仿宋" w:hint="eastAsia"/>
          <w:color w:val="auto"/>
          <w:szCs w:val="32"/>
          <w:lang w:eastAsia="zh-CN"/>
        </w:rPr>
      </w:pPr>
      <w:r>
        <w:rPr>
          <w:rFonts w:ascii="仿宋" w:eastAsia="仿宋" w:cs="仿宋" w:hAnsi="仿宋" w:hint="eastAsia"/>
          <w:color w:val="auto"/>
          <w:szCs w:val="32"/>
        </w:rPr>
        <w:t>根据现行政府购买服务指导目录，</w:t>
      </w:r>
      <w:r>
        <w:rPr>
          <w:rFonts w:ascii="仿宋" w:eastAsia="仿宋" w:cs="仿宋" w:hAnsi="仿宋" w:hint="eastAsia"/>
          <w:bCs/>
          <w:sz w:val="32"/>
          <w:szCs w:val="32"/>
          <w:lang w:val="en-US" w:eastAsia="zh-CN"/>
        </w:rPr>
        <w:t>赤壁市供销合作社联合社2025年</w:t>
      </w:r>
      <w:r>
        <w:rPr>
          <w:rFonts w:ascii="仿宋" w:eastAsia="仿宋" w:cs="仿宋" w:hAnsi="仿宋" w:hint="eastAsia"/>
          <w:color w:val="auto"/>
          <w:szCs w:val="32"/>
        </w:rPr>
        <w:t>政府购买服务支出合计</w:t>
      </w:r>
      <w:r>
        <w:rPr>
          <w:rFonts w:ascii="仿宋" w:eastAsia="仿宋" w:cs="仿宋" w:hAnsi="仿宋" w:hint="eastAsia"/>
          <w:color w:val="auto"/>
          <w:szCs w:val="32"/>
          <w:lang w:val="en-US" w:eastAsia="zh-CN"/>
        </w:rPr>
        <w:t>0.00</w:t>
      </w:r>
      <w:r>
        <w:rPr>
          <w:rFonts w:ascii="仿宋" w:eastAsia="仿宋" w:cs="仿宋" w:hAnsi="仿宋" w:hint="eastAsia"/>
          <w:color w:val="auto"/>
          <w:szCs w:val="32"/>
        </w:rPr>
        <w:t>万元，购买的服务内容主要有：</w:t>
      </w:r>
      <w:r>
        <w:rPr>
          <w:rFonts w:ascii="仿宋" w:eastAsia="仿宋" w:cs="仿宋" w:hAnsi="仿宋" w:hint="eastAsia"/>
          <w:color w:val="auto"/>
          <w:szCs w:val="32"/>
          <w:lang w:eastAsia="zh-CN"/>
        </w:rPr>
        <w:t>无</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黑体" w:eastAsia="黑体" w:cs="黑体" w:hAnsi="黑体" w:hint="eastAsia"/>
          <w:b/>
          <w:bCs w:val="0"/>
          <w:kern w:val="2"/>
          <w:sz w:val="32"/>
          <w:szCs w:val="32"/>
          <w:lang w:val="en-US" w:eastAsia="zh-CN"/>
        </w:rPr>
      </w:pPr>
      <w:r>
        <w:rPr>
          <w:rFonts w:ascii="黑体" w:eastAsia="黑体" w:cs="黑体" w:hAnsi="黑体" w:hint="eastAsia"/>
          <w:b/>
          <w:bCs w:val="0"/>
          <w:kern w:val="2"/>
          <w:sz w:val="32"/>
          <w:szCs w:val="32"/>
          <w:lang w:val="en-US" w:eastAsia="zh-CN"/>
        </w:rPr>
        <w:t>十三、政府债务情况说明</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_GB2312" w:cs="仿宋_GB2312" w:hAnsi="仿宋_GB2312" w:hint="eastAsia"/>
          <w:color w:val="auto"/>
          <w:szCs w:val="32"/>
          <w:lang w:eastAsia="zh-CN"/>
        </w:rPr>
      </w:pPr>
      <w:r>
        <w:rPr>
          <w:rFonts w:ascii="仿宋" w:eastAsia="仿宋" w:cs="仿宋" w:hAnsi="仿宋" w:hint="eastAsia"/>
          <w:bCs/>
          <w:sz w:val="32"/>
          <w:szCs w:val="32"/>
          <w:lang w:val="en-US" w:eastAsia="zh-CN"/>
        </w:rPr>
        <w:t>赤壁市供销合作社联合社2025年无新增</w:t>
      </w:r>
      <w:r>
        <w:rPr>
          <w:rFonts w:ascii="仿宋" w:eastAsia="仿宋" w:cs="仿宋" w:hAnsi="仿宋" w:hint="eastAsia"/>
          <w:color w:val="auto"/>
          <w:szCs w:val="32"/>
        </w:rPr>
        <w:t>政府债务情况</w:t>
      </w:r>
      <w:r>
        <w:rPr>
          <w:rFonts w:ascii="仿宋" w:eastAsia="仿宋" w:cs="仿宋" w:hAnsi="仿宋" w:hint="eastAsia"/>
          <w:color w:val="auto"/>
          <w:szCs w:val="32"/>
          <w:lang w:eastAsia="zh-CN"/>
        </w:rPr>
        <w:t>。</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_GB2312" w:cs="仿宋_GB2312" w:hAnsi="仿宋_GB2312" w:hint="eastAsia"/>
          <w:color w:val="auto"/>
          <w:szCs w:val="32"/>
          <w:lang w:eastAsia="zh-CN"/>
        </w:rPr>
      </w:pPr>
    </w:p>
    <w:p>
      <w:pPr>
        <w:pStyle w:val="15"/>
        <w:keepNext w:val="0"/>
        <w:keepLines w:val="0"/>
        <w:pageBreakBefore w:val="0"/>
        <w:tabs>
          <w:tab w:val="left" w:pos="7920"/>
        </w:tabs>
        <w:kinsoku/>
        <w:wordWrap/>
        <w:overflowPunct/>
        <w:topLinePunct w:val="0"/>
        <w:autoSpaceDE/>
        <w:autoSpaceDN/>
        <w:bidi w:val="0"/>
        <w:adjustRightInd/>
        <w:snapToGrid/>
        <w:spacing w:line="560" w:lineRule="exact"/>
        <w:ind w:left="0" w:firstLine="0"/>
        <w:jc w:val="center"/>
        <w:textAlignment w:val="auto"/>
        <w:rPr>
          <w:rFonts w:ascii="黑体" w:eastAsia="黑体" w:cs="黑体" w:hAnsi="黑体" w:hint="eastAsia"/>
          <w:b/>
          <w:bCs/>
          <w:szCs w:val="32"/>
          <w:lang w:eastAsia="zh-CN"/>
        </w:rPr>
      </w:pPr>
      <w:r>
        <w:rPr>
          <w:rFonts w:ascii="黑体" w:eastAsia="黑体" w:cs="黑体" w:hAnsi="黑体" w:hint="eastAsia"/>
          <w:b/>
          <w:bCs/>
          <w:szCs w:val="32"/>
          <w:lang w:eastAsia="zh-CN"/>
        </w:rPr>
        <w:t>第三部分</w:t>
      </w:r>
      <w:r>
        <w:rPr>
          <w:rFonts w:ascii="黑体" w:eastAsia="黑体" w:cs="黑体" w:hAnsi="黑体" w:hint="eastAsia"/>
          <w:b/>
          <w:bCs/>
          <w:szCs w:val="32"/>
          <w:lang w:val="en-US" w:eastAsia="zh-CN"/>
        </w:rPr>
        <w:t xml:space="preserve">  </w:t>
      </w:r>
      <w:r>
        <w:rPr>
          <w:rFonts w:ascii="黑体" w:eastAsia="黑体" w:cs="黑体" w:hAnsi="黑体" w:hint="eastAsia"/>
          <w:b/>
          <w:bCs/>
          <w:szCs w:val="32"/>
          <w:lang w:eastAsia="zh-CN"/>
        </w:rPr>
        <w:t>名词解释</w:t>
      </w:r>
    </w:p>
    <w:p>
      <w:pPr>
        <w:pStyle w:val="15"/>
        <w:keepNext w:val="0"/>
        <w:keepLines w:val="0"/>
        <w:pageBreakBefore w:val="0"/>
        <w:kinsoku/>
        <w:wordWrap/>
        <w:overflowPunct/>
        <w:topLinePunct w:val="0"/>
        <w:autoSpaceDE/>
        <w:autoSpaceDN/>
        <w:bidi w:val="0"/>
        <w:adjustRightInd/>
        <w:snapToGrid/>
        <w:spacing w:line="560" w:lineRule="exact"/>
        <w:textAlignment w:val="auto"/>
        <w:rPr>
          <w:rFonts w:ascii="楷体_GB2312" w:eastAsia="楷体_GB2312" w:cs="楷体_GB2312" w:hAnsi="楷体_GB2312" w:hint="eastAsia"/>
          <w:b/>
          <w:bCs/>
          <w:szCs w:val="32"/>
          <w:lang w:eastAsia="zh-CN"/>
        </w:rPr>
      </w:pPr>
    </w:p>
    <w:p>
      <w:pPr>
        <w:pStyle w:val="15"/>
        <w:keepNext w:val="0"/>
        <w:keepLines w:val="0"/>
        <w:pageBreakBefore w:val="0"/>
        <w:kinsoku/>
        <w:wordWrap/>
        <w:overflowPunct/>
        <w:topLinePunct w:val="0"/>
        <w:autoSpaceDE/>
        <w:autoSpaceDN/>
        <w:bidi w:val="0"/>
        <w:adjustRightInd/>
        <w:snapToGrid/>
        <w:spacing w:line="560" w:lineRule="exact"/>
        <w:textAlignment w:val="auto"/>
        <w:rPr>
          <w:rFonts w:ascii="仿宋_GB2312" w:cs="仿宋_GB2312" w:hAnsi="仿宋_GB2312" w:hint="eastAsia"/>
          <w:szCs w:val="32"/>
          <w:lang w:eastAsia="zh-CN"/>
        </w:rPr>
      </w:pPr>
      <w:r>
        <w:rPr>
          <w:rFonts w:ascii="楷体_GB2312" w:eastAsia="楷体_GB2312" w:cs="楷体_GB2312" w:hAnsi="楷体_GB2312" w:hint="eastAsia"/>
          <w:b/>
          <w:bCs/>
          <w:szCs w:val="32"/>
          <w:lang w:eastAsia="zh-CN"/>
        </w:rPr>
        <w:t>（一）财政拨款收入：</w:t>
      </w:r>
      <w:r>
        <w:rPr>
          <w:rFonts w:ascii="仿宋_GB2312" w:cs="仿宋_GB2312" w:hAnsi="仿宋_GB2312" w:hint="eastAsia"/>
          <w:szCs w:val="32"/>
          <w:lang w:eastAsia="zh-CN"/>
        </w:rPr>
        <w:t>指市本级财政当年拨付的资金。</w:t>
      </w:r>
    </w:p>
    <w:p>
      <w:pPr>
        <w:pStyle w:val="15"/>
        <w:keepNext w:val="0"/>
        <w:keepLines w:val="0"/>
        <w:pageBreakBefore w:val="0"/>
        <w:kinsoku/>
        <w:wordWrap/>
        <w:overflowPunct/>
        <w:topLinePunct w:val="0"/>
        <w:autoSpaceDE/>
        <w:autoSpaceDN/>
        <w:bidi w:val="0"/>
        <w:adjustRightInd/>
        <w:snapToGrid/>
        <w:spacing w:line="560" w:lineRule="exact"/>
        <w:textAlignment w:val="auto"/>
        <w:rPr>
          <w:rFonts w:ascii="仿宋_GB2312" w:cs="仿宋_GB2312" w:hAnsi="仿宋_GB2312" w:hint="eastAsia"/>
          <w:szCs w:val="32"/>
          <w:lang w:eastAsia="zh-CN"/>
        </w:rPr>
      </w:pPr>
      <w:r>
        <w:rPr>
          <w:rFonts w:ascii="楷体_GB2312" w:eastAsia="楷体_GB2312" w:cs="楷体_GB2312" w:hAnsi="楷体_GB2312" w:hint="eastAsia"/>
          <w:b/>
          <w:bCs/>
          <w:szCs w:val="32"/>
          <w:lang w:eastAsia="zh-CN"/>
        </w:rPr>
        <w:t>（二）上级补助收入：</w:t>
      </w:r>
      <w:r>
        <w:rPr>
          <w:rFonts w:ascii="仿宋_GB2312" w:cs="仿宋_GB2312" w:hAnsi="仿宋_GB2312" w:hint="eastAsia"/>
          <w:szCs w:val="32"/>
          <w:lang w:eastAsia="zh-CN"/>
        </w:rPr>
        <w:t>指除上述“财政拨款收入”等以外的上级财政部门交办任务相应安排的资金。</w:t>
      </w:r>
    </w:p>
    <w:p>
      <w:pPr>
        <w:pStyle w:val="15"/>
        <w:keepNext w:val="0"/>
        <w:keepLines w:val="0"/>
        <w:pageBreakBefore w:val="0"/>
        <w:kinsoku/>
        <w:wordWrap/>
        <w:overflowPunct/>
        <w:topLinePunct w:val="0"/>
        <w:autoSpaceDE/>
        <w:autoSpaceDN/>
        <w:bidi w:val="0"/>
        <w:adjustRightInd/>
        <w:snapToGrid/>
        <w:spacing w:line="560" w:lineRule="exact"/>
        <w:textAlignment w:val="auto"/>
        <w:rPr>
          <w:rFonts w:ascii="仿宋_GB2312" w:cs="仿宋_GB2312" w:hAnsi="仿宋_GB2312" w:hint="eastAsia"/>
          <w:szCs w:val="32"/>
          <w:lang w:eastAsia="zh-CN"/>
        </w:rPr>
      </w:pPr>
      <w:r>
        <w:rPr>
          <w:rFonts w:ascii="楷体_GB2312" w:eastAsia="楷体_GB2312" w:cs="楷体_GB2312" w:hAnsi="楷体_GB2312" w:hint="eastAsia"/>
          <w:b/>
          <w:bCs/>
          <w:szCs w:val="32"/>
          <w:lang w:eastAsia="zh-CN"/>
        </w:rPr>
        <w:t>（三）基本支出：</w:t>
      </w:r>
      <w:r>
        <w:rPr>
          <w:rFonts w:ascii="仿宋_GB2312" w:cs="仿宋_GB2312" w:hAnsi="仿宋_GB2312" w:hint="eastAsia"/>
          <w:szCs w:val="32"/>
          <w:lang w:eastAsia="zh-CN"/>
        </w:rPr>
        <w:t>指为保障机构正常运转、完成日常工作任务而发生的人员支出（包括基本工资、津贴补贴等）和公用支出（包括办公费、水电费、邮电费、交通费、会议费、差旅费等）。</w:t>
      </w:r>
    </w:p>
    <w:p>
      <w:pPr>
        <w:pStyle w:val="15"/>
        <w:keepNext w:val="0"/>
        <w:keepLines w:val="0"/>
        <w:pageBreakBefore w:val="0"/>
        <w:kinsoku/>
        <w:wordWrap/>
        <w:overflowPunct/>
        <w:topLinePunct w:val="0"/>
        <w:autoSpaceDE/>
        <w:autoSpaceDN/>
        <w:bidi w:val="0"/>
        <w:adjustRightInd/>
        <w:snapToGrid/>
        <w:spacing w:line="560" w:lineRule="exact"/>
        <w:textAlignment w:val="auto"/>
        <w:rPr>
          <w:rFonts w:ascii="仿宋_GB2312" w:cs="仿宋_GB2312" w:hAnsi="仿宋_GB2312" w:hint="eastAsia"/>
          <w:szCs w:val="32"/>
          <w:lang w:eastAsia="zh-CN"/>
        </w:rPr>
      </w:pPr>
      <w:r>
        <w:rPr>
          <w:rFonts w:ascii="楷体_GB2312" w:eastAsia="楷体_GB2312" w:cs="楷体_GB2312" w:hAnsi="楷体_GB2312" w:hint="eastAsia"/>
          <w:b/>
          <w:bCs/>
          <w:szCs w:val="32"/>
          <w:lang w:eastAsia="zh-CN"/>
        </w:rPr>
        <w:t>（四）项目支出：</w:t>
      </w:r>
      <w:r>
        <w:rPr>
          <w:rFonts w:ascii="仿宋_GB2312" w:cs="仿宋_GB2312" w:hAnsi="仿宋_GB2312" w:hint="eastAsia"/>
          <w:szCs w:val="32"/>
          <w:lang w:eastAsia="zh-CN"/>
        </w:rPr>
        <w:t>指在基本支出之外为完成特定行政任务和事业发展目标所发生的支出。</w:t>
      </w:r>
    </w:p>
    <w:p>
      <w:pPr>
        <w:pStyle w:val="15"/>
        <w:keepNext w:val="0"/>
        <w:keepLines w:val="0"/>
        <w:pageBreakBefore w:val="0"/>
        <w:kinsoku/>
        <w:wordWrap/>
        <w:overflowPunct/>
        <w:topLinePunct w:val="0"/>
        <w:autoSpaceDE/>
        <w:autoSpaceDN/>
        <w:bidi w:val="0"/>
        <w:adjustRightInd/>
        <w:snapToGrid/>
        <w:spacing w:line="560" w:lineRule="exact"/>
        <w:textAlignment w:val="auto"/>
        <w:rPr>
          <w:rFonts w:ascii="仿宋_GB2312" w:cs="仿宋_GB2312" w:hAnsi="仿宋_GB2312" w:hint="eastAsia"/>
          <w:szCs w:val="32"/>
          <w:lang w:eastAsia="zh-CN"/>
        </w:rPr>
      </w:pPr>
      <w:r>
        <w:rPr>
          <w:rFonts w:ascii="楷体_GB2312" w:eastAsia="楷体_GB2312" w:cs="楷体_GB2312" w:hAnsi="楷体_GB2312" w:hint="eastAsia"/>
          <w:b/>
          <w:bCs/>
          <w:szCs w:val="32"/>
          <w:lang w:eastAsia="zh-CN"/>
        </w:rPr>
        <w:t>（五）“三公”经费：</w:t>
      </w:r>
      <w:r>
        <w:rPr>
          <w:rFonts w:ascii="仿宋_GB2312" w:cs="仿宋_GB2312" w:hAnsi="仿宋_GB2312" w:hint="eastAsia"/>
          <w:szCs w:val="32"/>
          <w:lang w:eastAsia="zh-CN"/>
        </w:rPr>
        <w:t>按照有关规定，“三公”经费包括因公出国（境）费用、公务接待费、公务用车购置费及运行费。</w:t>
      </w:r>
    </w:p>
    <w:p>
      <w:pPr>
        <w:pStyle w:val="15"/>
        <w:keepNext w:val="0"/>
        <w:keepLines w:val="0"/>
        <w:pageBreakBefore w:val="0"/>
        <w:kinsoku/>
        <w:wordWrap/>
        <w:overflowPunct/>
        <w:topLinePunct w:val="0"/>
        <w:autoSpaceDE/>
        <w:autoSpaceDN/>
        <w:bidi w:val="0"/>
        <w:adjustRightInd/>
        <w:snapToGrid/>
        <w:spacing w:line="560" w:lineRule="exact"/>
        <w:textAlignment w:val="auto"/>
        <w:rPr>
          <w:rFonts w:ascii="仿宋_GB2312" w:cs="仿宋_GB2312" w:hAnsi="仿宋_GB2312" w:hint="eastAsia"/>
          <w:szCs w:val="32"/>
          <w:lang w:eastAsia="zh-CN"/>
        </w:rPr>
      </w:pPr>
      <w:r>
        <w:rPr>
          <w:rFonts w:ascii="仿宋_GB2312" w:cs="仿宋_GB2312" w:hAnsi="仿宋_GB2312" w:hint="eastAsia"/>
          <w:szCs w:val="32"/>
          <w:lang w:val="en-US" w:eastAsia="zh-CN"/>
        </w:rPr>
        <w:t>1.</w:t>
      </w:r>
      <w:r>
        <w:rPr>
          <w:rFonts w:ascii="仿宋_GB2312" w:cs="仿宋_GB2312" w:hAnsi="仿宋_GB2312" w:hint="eastAsia"/>
          <w:szCs w:val="32"/>
          <w:lang w:eastAsia="zh-CN"/>
        </w:rPr>
        <w:t>因公出国(境)费：反映公务出国（境）的住宿费、旅费、伙食补助费、杂费、培训费等支出。</w:t>
      </w:r>
    </w:p>
    <w:p>
      <w:pPr>
        <w:pStyle w:val="15"/>
        <w:keepNext w:val="0"/>
        <w:keepLines w:val="0"/>
        <w:pageBreakBefore w:val="0"/>
        <w:kinsoku/>
        <w:wordWrap/>
        <w:overflowPunct/>
        <w:topLinePunct w:val="0"/>
        <w:autoSpaceDE/>
        <w:autoSpaceDN/>
        <w:bidi w:val="0"/>
        <w:adjustRightInd/>
        <w:snapToGrid/>
        <w:spacing w:line="560" w:lineRule="exact"/>
        <w:textAlignment w:val="auto"/>
        <w:rPr>
          <w:rFonts w:ascii="仿宋_GB2312" w:cs="仿宋_GB2312" w:hAnsi="仿宋_GB2312" w:hint="eastAsia"/>
          <w:szCs w:val="32"/>
          <w:lang w:eastAsia="zh-CN"/>
        </w:rPr>
      </w:pPr>
      <w:r>
        <w:rPr>
          <w:rFonts w:ascii="仿宋_GB2312" w:cs="仿宋_GB2312" w:hAnsi="仿宋_GB2312" w:hint="eastAsia"/>
          <w:szCs w:val="32"/>
          <w:lang w:val="en-US" w:eastAsia="zh-CN"/>
        </w:rPr>
        <w:t>2.</w:t>
      </w:r>
      <w:r>
        <w:rPr>
          <w:rFonts w:ascii="仿宋_GB2312" w:cs="仿宋_GB2312" w:hAnsi="仿宋_GB2312" w:hint="eastAsia"/>
          <w:szCs w:val="32"/>
          <w:lang w:eastAsia="zh-CN"/>
        </w:rPr>
        <w:t>公务用车购置费及运行费：反映公务用车购置费及租用费、燃料费、维修费、过路过桥费、保险费等支出。</w:t>
      </w:r>
    </w:p>
    <w:p>
      <w:pPr>
        <w:pStyle w:val="15"/>
        <w:keepNext w:val="0"/>
        <w:keepLines w:val="0"/>
        <w:pageBreakBefore w:val="0"/>
        <w:kinsoku/>
        <w:wordWrap/>
        <w:overflowPunct/>
        <w:topLinePunct w:val="0"/>
        <w:autoSpaceDE/>
        <w:autoSpaceDN/>
        <w:bidi w:val="0"/>
        <w:adjustRightInd/>
        <w:snapToGrid/>
        <w:spacing w:line="560" w:lineRule="exact"/>
        <w:textAlignment w:val="auto"/>
        <w:rPr>
          <w:rFonts w:ascii="仿宋_GB2312" w:cs="仿宋_GB2312" w:hAnsi="仿宋_GB2312" w:hint="eastAsia"/>
          <w:szCs w:val="32"/>
          <w:lang w:eastAsia="zh-CN"/>
        </w:rPr>
      </w:pPr>
      <w:r>
        <w:rPr>
          <w:rFonts w:ascii="仿宋_GB2312" w:cs="仿宋_GB2312" w:hAnsi="仿宋_GB2312" w:hint="eastAsia"/>
          <w:szCs w:val="32"/>
          <w:lang w:val="en-US" w:eastAsia="zh-CN"/>
        </w:rPr>
        <w:t>3.</w:t>
      </w:r>
      <w:r>
        <w:rPr>
          <w:rFonts w:ascii="仿宋_GB2312" w:cs="仿宋_GB2312" w:hAnsi="仿宋_GB2312" w:hint="eastAsia"/>
          <w:szCs w:val="32"/>
          <w:lang w:eastAsia="zh-CN"/>
        </w:rPr>
        <w:t>公务接待费：反映按规定开支的各类公务接待支出。</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_GB2312" w:cs="仿宋_GB2312" w:hAnsi="仿宋_GB2312" w:hint="eastAsia"/>
          <w:szCs w:val="32"/>
          <w:lang w:eastAsia="zh-CN"/>
        </w:rPr>
      </w:pPr>
      <w:r>
        <w:rPr>
          <w:rFonts w:ascii="楷体_GB2312" w:eastAsia="楷体_GB2312" w:cs="楷体_GB2312" w:hAnsi="楷体_GB2312" w:hint="eastAsia"/>
          <w:b/>
          <w:bCs/>
          <w:szCs w:val="32"/>
          <w:lang w:eastAsia="zh-CN"/>
        </w:rPr>
        <w:t>（六）公务用车：</w:t>
      </w:r>
      <w:r>
        <w:rPr>
          <w:rFonts w:ascii="仿宋_GB2312" w:cs="仿宋_GB2312" w:hAnsi="仿宋_GB2312" w:hint="eastAsia"/>
          <w:szCs w:val="32"/>
          <w:lang w:eastAsia="zh-CN"/>
        </w:rPr>
        <w:t>指单位用于履行公务的车辆，包括领导干部专车、一般公务用车和执法执勤用车。</w:t>
      </w:r>
    </w:p>
    <w:p>
      <w:pPr>
        <w:pStyle w:val="15"/>
        <w:keepNext w:val="0"/>
        <w:keepLines w:val="0"/>
        <w:pageBreakBefore w:val="0"/>
        <w:kinsoku/>
        <w:wordWrap/>
        <w:overflowPunct/>
        <w:topLinePunct w:val="0"/>
        <w:autoSpaceDE/>
        <w:autoSpaceDN/>
        <w:bidi w:val="0"/>
        <w:adjustRightInd/>
        <w:snapToGrid/>
        <w:spacing w:line="560" w:lineRule="exact"/>
        <w:ind w:left="0" w:firstLineChars="200" w:firstLine="640"/>
        <w:textAlignment w:val="auto"/>
        <w:rPr>
          <w:rFonts w:ascii="仿宋_GB2312" w:cs="仿宋_GB2312" w:hAnsi="仿宋_GB2312" w:hint="eastAsia"/>
          <w:szCs w:val="32"/>
          <w:lang w:eastAsia="zh-CN"/>
        </w:rPr>
      </w:pPr>
      <w:r>
        <w:rPr>
          <w:rFonts w:ascii="楷体_GB2312" w:eastAsia="楷体_GB2312" w:cs="楷体_GB2312" w:hAnsi="楷体_GB2312" w:hint="eastAsia"/>
          <w:b/>
          <w:bCs/>
          <w:szCs w:val="32"/>
          <w:lang w:eastAsia="zh-CN"/>
        </w:rPr>
        <w:t>（七）机关运行经费：</w:t>
      </w:r>
      <w:r>
        <w:rPr>
          <w:rFonts w:ascii="仿宋_GB2312" w:cs="仿宋_GB2312" w:hAnsi="仿宋_GB2312" w:hint="eastAsia"/>
          <w:szCs w:val="32"/>
          <w:lang w:eastAsia="zh-CN"/>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5"/>
        <w:keepNext w:val="0"/>
        <w:keepLines w:val="0"/>
        <w:pageBreakBefore w:val="0"/>
        <w:tabs>
          <w:tab w:val="left" w:pos="7920"/>
        </w:tabs>
        <w:kinsoku/>
        <w:wordWrap/>
        <w:overflowPunct/>
        <w:topLinePunct w:val="0"/>
        <w:autoSpaceDE/>
        <w:autoSpaceDN/>
        <w:bidi w:val="0"/>
        <w:adjustRightInd/>
        <w:snapToGrid/>
        <w:spacing w:line="560" w:lineRule="exact"/>
        <w:ind w:left="0" w:firstLine="0"/>
        <w:jc w:val="both"/>
        <w:textAlignment w:val="auto"/>
        <w:rPr>
          <w:rFonts w:ascii="黑体" w:eastAsia="黑体" w:cs="黑体" w:hAnsi="黑体" w:hint="eastAsia"/>
          <w:b/>
          <w:bCs/>
          <w:szCs w:val="32"/>
          <w:lang w:eastAsia="zh-CN"/>
        </w:rPr>
      </w:pPr>
    </w:p>
    <w:p>
      <w:pPr>
        <w:pStyle w:val="15"/>
        <w:keepNext w:val="0"/>
        <w:keepLines w:val="0"/>
        <w:pageBreakBefore w:val="0"/>
        <w:tabs>
          <w:tab w:val="left" w:pos="7920"/>
        </w:tabs>
        <w:kinsoku/>
        <w:wordWrap/>
        <w:overflowPunct/>
        <w:topLinePunct w:val="0"/>
        <w:autoSpaceDE/>
        <w:autoSpaceDN/>
        <w:bidi w:val="0"/>
        <w:adjustRightInd/>
        <w:snapToGrid/>
        <w:spacing w:line="560" w:lineRule="exact"/>
        <w:ind w:left="0" w:firstLine="0"/>
        <w:jc w:val="center"/>
        <w:textAlignment w:val="auto"/>
        <w:rPr>
          <w:rFonts w:ascii="黑体" w:eastAsia="黑体" w:cs="黑体" w:hAnsi="黑体" w:hint="eastAsia"/>
          <w:b/>
          <w:bCs/>
          <w:szCs w:val="32"/>
        </w:rPr>
      </w:pPr>
      <w:r>
        <w:rPr>
          <w:rFonts w:ascii="黑体" w:eastAsia="黑体" w:cs="黑体" w:hAnsi="黑体" w:hint="eastAsia"/>
          <w:b/>
          <w:bCs/>
          <w:szCs w:val="32"/>
          <w:lang w:eastAsia="zh-CN"/>
        </w:rPr>
        <w:t>第四部分</w:t>
      </w:r>
      <w:r>
        <w:rPr>
          <w:rFonts w:ascii="黑体" w:eastAsia="黑体" w:cs="黑体" w:hAnsi="黑体" w:hint="eastAsia"/>
          <w:b/>
          <w:bCs/>
          <w:szCs w:val="32"/>
          <w:lang w:val="en-US" w:eastAsia="zh-CN"/>
        </w:rPr>
        <w:t xml:space="preserve">  2025年部门预算表</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eastAsia="仿宋_GB2312" w:cs="仿宋_GB2312" w:hAnsi="仿宋_GB2312" w:hint="eastAsia"/>
          <w:sz w:val="32"/>
          <w:szCs w:val="32"/>
          <w:lang w:val="en-US" w:eastAsia="zh-CN"/>
        </w:rPr>
      </w:pPr>
    </w:p>
    <w:p>
      <w:pPr>
        <w:rPr>
          <w:rFonts w:eastAsia="宋体" w:hint="eastAsia"/>
          <w:lang w:eastAsia="zh-CN"/>
        </w:rPr>
      </w:pPr>
      <w:r>
        <w:rPr>
          <w:rFonts w:eastAsia="宋体" w:hint="eastAsia"/>
          <w:lang w:eastAsia="zh-CN"/>
        </w:rPr>
        <w:drawing>
          <wp:inline distT="0" distB="0" distL="85725" distR="85725">
            <wp:extent cx="5274437" cy="4520565"/>
            <wp:effectExtent l="0" t="0" r="0" b="0"/>
            <wp:docPr id="2" name="图片 1" descr="01.2025年部门收支总体情况表"/>
            <wp:cNvGraphicFramePr>
              <a:graphicFrameLocks noChangeAspect="1"/>
            </wp:cNvGraphicFramePr>
            <a:graphic>
              <a:graphicData uri="http://schemas.openxmlformats.org/drawingml/2006/picture">
                <pic:pic>
                  <pic:nvPicPr>
                    <pic:cNvPr id="2" name="图片 2"/>
                    <pic:cNvPicPr/>
                  </pic:nvPicPr>
                  <pic:blipFill>
                    <a:blip r:embed="rId2"/>
                    <a:stretch>
                      <a:fillRect/>
                    </a:stretch>
                  </pic:blipFill>
                  <pic:spPr>
                    <a:xfrm rot="0">
                      <a:off x="0" y="0"/>
                      <a:ext cx="5274437" cy="4520565"/>
                    </a:xfrm>
                    <a:prstGeom prst="rect"/>
                    <a:noFill/>
                    <a:ln w="9525" cmpd="sng" cap="flat">
                      <a:noFill/>
                      <a:prstDash val="solid"/>
                      <a:miter/>
                    </a:ln>
                  </pic:spPr>
                </pic:pic>
              </a:graphicData>
            </a:graphic>
          </wp:inline>
        </w:drawing>
      </w:r>
    </w:p>
    <w:p>
      <w:pPr>
        <w:pStyle w:val="3"/>
        <w:rPr>
          <w:rFonts w:hint="eastAsia"/>
          <w:lang w:eastAsia="zh-CN"/>
        </w:rPr>
      </w:pPr>
      <w:r>
        <w:rPr>
          <w:rFonts w:hint="eastAsia"/>
          <w:lang w:eastAsia="zh-CN"/>
        </w:rPr>
        <w:drawing>
          <wp:inline distT="0" distB="0" distL="85725" distR="85725">
            <wp:extent cx="5267934" cy="2726207"/>
            <wp:effectExtent l="0" t="0" r="0" b="0"/>
            <wp:docPr id="3" name="图片 2" descr="02.部门收入预算总表"/>
            <wp:cNvGraphicFramePr>
              <a:graphicFrameLocks noChangeAspect="1"/>
            </wp:cNvGraphicFramePr>
            <a:graphic>
              <a:graphicData uri="http://schemas.openxmlformats.org/drawingml/2006/picture">
                <pic:pic>
                  <pic:nvPicPr>
                    <pic:cNvPr id="4" name="图片 4"/>
                    <pic:cNvPicPr/>
                  </pic:nvPicPr>
                  <pic:blipFill>
                    <a:blip r:embed="rId3"/>
                    <a:stretch>
                      <a:fillRect/>
                    </a:stretch>
                  </pic:blipFill>
                  <pic:spPr>
                    <a:xfrm rot="0">
                      <a:off x="0" y="0"/>
                      <a:ext cx="5267934" cy="2726207"/>
                    </a:xfrm>
                    <a:prstGeom prst="rect"/>
                    <a:noFill/>
                    <a:ln w="9525" cmpd="sng" cap="flat">
                      <a:noFill/>
                      <a:prstDash val="solid"/>
                      <a:miter/>
                    </a:ln>
                  </pic:spPr>
                </pic:pic>
              </a:graphicData>
            </a:graphic>
          </wp:inline>
        </w:drawing>
      </w:r>
      <w:r>
        <w:rPr>
          <w:rFonts w:hint="eastAsia"/>
          <w:lang w:eastAsia="zh-CN"/>
        </w:rPr>
        <w:drawing>
          <wp:inline distT="0" distB="0" distL="85725" distR="85725">
            <wp:extent cx="5269120" cy="3738128"/>
            <wp:effectExtent l="0" t="0" r="0" b="0"/>
            <wp:docPr id="4" name="图片 3" descr="03.部门支出预算总表(按功能科目到项级)"/>
            <wp:cNvGraphicFramePr>
              <a:graphicFrameLocks noChangeAspect="1"/>
            </wp:cNvGraphicFramePr>
            <a:graphic>
              <a:graphicData uri="http://schemas.openxmlformats.org/drawingml/2006/picture">
                <pic:pic>
                  <pic:nvPicPr>
                    <pic:cNvPr id="6" name="图片 6"/>
                    <pic:cNvPicPr/>
                  </pic:nvPicPr>
                  <pic:blipFill>
                    <a:blip r:embed="rId4"/>
                    <a:stretch>
                      <a:fillRect/>
                    </a:stretch>
                  </pic:blipFill>
                  <pic:spPr>
                    <a:xfrm rot="0">
                      <a:off x="0" y="0"/>
                      <a:ext cx="5269120" cy="3738128"/>
                    </a:xfrm>
                    <a:prstGeom prst="rect"/>
                    <a:noFill/>
                    <a:ln w="9525" cmpd="sng" cap="flat">
                      <a:noFill/>
                      <a:prstDash val="solid"/>
                      <a:miter/>
                    </a:ln>
                  </pic:spPr>
                </pic:pic>
              </a:graphicData>
            </a:graphic>
          </wp:inline>
        </w:drawing>
      </w:r>
      <w:r>
        <w:rPr>
          <w:rFonts w:hint="eastAsia"/>
          <w:lang w:eastAsia="zh-CN"/>
        </w:rPr>
        <w:drawing>
          <wp:inline distT="0" distB="0" distL="85725" distR="85725">
            <wp:extent cx="5268449" cy="4580972"/>
            <wp:effectExtent l="0" t="0" r="0" b="0"/>
            <wp:docPr id="5" name="图片 4" descr="04.2025年财政拨款收支预算总表"/>
            <wp:cNvGraphicFramePr>
              <a:graphicFrameLocks noChangeAspect="1"/>
            </wp:cNvGraphicFramePr>
            <a:graphic>
              <a:graphicData uri="http://schemas.openxmlformats.org/drawingml/2006/picture">
                <pic:pic>
                  <pic:nvPicPr>
                    <pic:cNvPr id="8" name="图片 8"/>
                    <pic:cNvPicPr/>
                  </pic:nvPicPr>
                  <pic:blipFill>
                    <a:blip r:embed="rId5"/>
                    <a:stretch>
                      <a:fillRect/>
                    </a:stretch>
                  </pic:blipFill>
                  <pic:spPr>
                    <a:xfrm rot="0">
                      <a:off x="0" y="0"/>
                      <a:ext cx="5268449" cy="4580972"/>
                    </a:xfrm>
                    <a:prstGeom prst="rect"/>
                    <a:noFill/>
                    <a:ln w="9525" cmpd="sng" cap="flat">
                      <a:noFill/>
                      <a:prstDash val="solid"/>
                      <a:miter/>
                    </a:ln>
                  </pic:spPr>
                </pic:pic>
              </a:graphicData>
            </a:graphic>
          </wp:inline>
        </w:drawing>
      </w:r>
      <w:r>
        <w:rPr>
          <w:rFonts w:hint="eastAsia"/>
          <w:lang w:eastAsia="zh-CN"/>
        </w:rPr>
        <w:drawing>
          <wp:inline distT="0" distB="0" distL="85725" distR="85725">
            <wp:extent cx="5268666" cy="3396538"/>
            <wp:effectExtent l="0" t="0" r="0" b="0"/>
            <wp:docPr id="6" name="图片 5" descr="05.一般公共预算支出表(按功能科目到项级)"/>
            <wp:cNvGraphicFramePr>
              <a:graphicFrameLocks noChangeAspect="1"/>
            </wp:cNvGraphicFramePr>
            <a:graphic>
              <a:graphicData uri="http://schemas.openxmlformats.org/drawingml/2006/picture">
                <pic:pic>
                  <pic:nvPicPr>
                    <pic:cNvPr id="10" name="图片 10"/>
                    <pic:cNvPicPr/>
                  </pic:nvPicPr>
                  <pic:blipFill>
                    <a:blip r:embed="rId6"/>
                    <a:stretch>
                      <a:fillRect/>
                    </a:stretch>
                  </pic:blipFill>
                  <pic:spPr>
                    <a:xfrm rot="0">
                      <a:off x="0" y="0"/>
                      <a:ext cx="5268666" cy="3396538"/>
                    </a:xfrm>
                    <a:prstGeom prst="rect"/>
                    <a:noFill/>
                    <a:ln w="9525" cmpd="sng" cap="flat">
                      <a:noFill/>
                      <a:prstDash val="solid"/>
                      <a:miter/>
                    </a:ln>
                  </pic:spPr>
                </pic:pic>
              </a:graphicData>
            </a:graphic>
          </wp:inline>
        </w:drawing>
      </w:r>
      <w:r>
        <w:rPr>
          <w:rFonts w:hint="eastAsia"/>
          <w:lang w:eastAsia="zh-CN"/>
        </w:rPr>
        <w:drawing>
          <wp:inline distT="0" distB="0" distL="85725" distR="85725">
            <wp:extent cx="5273393" cy="6441138"/>
            <wp:effectExtent l="0" t="0" r="0" b="0"/>
            <wp:docPr id="7" name="图片 6" descr="06.一般公共预算基本支出表(按经济科目到款级)"/>
            <wp:cNvGraphicFramePr>
              <a:graphicFrameLocks noChangeAspect="1"/>
            </wp:cNvGraphicFramePr>
            <a:graphic>
              <a:graphicData uri="http://schemas.openxmlformats.org/drawingml/2006/picture">
                <pic:pic>
                  <pic:nvPicPr>
                    <pic:cNvPr id="12" name="图片 12"/>
                    <pic:cNvPicPr/>
                  </pic:nvPicPr>
                  <pic:blipFill>
                    <a:blip r:embed="rId7"/>
                    <a:stretch>
                      <a:fillRect/>
                    </a:stretch>
                  </pic:blipFill>
                  <pic:spPr>
                    <a:xfrm rot="0">
                      <a:off x="0" y="0"/>
                      <a:ext cx="5273393" cy="6441138"/>
                    </a:xfrm>
                    <a:prstGeom prst="rect"/>
                    <a:noFill/>
                    <a:ln w="9525" cmpd="sng" cap="flat">
                      <a:noFill/>
                      <a:prstDash val="solid"/>
                      <a:miter/>
                    </a:ln>
                  </pic:spPr>
                </pic:pic>
              </a:graphicData>
            </a:graphic>
          </wp:inline>
        </w:drawing>
      </w:r>
      <w:r>
        <w:rPr>
          <w:rFonts w:hint="eastAsia"/>
          <w:lang w:eastAsia="zh-CN"/>
        </w:rPr>
        <w:drawing>
          <wp:inline distT="0" distB="0" distL="85725" distR="85725">
            <wp:extent cx="5272459" cy="2685859"/>
            <wp:effectExtent l="0" t="0" r="0" b="0"/>
            <wp:docPr id="8" name="图片 7" descr="07.一般公共预算“三公”经费支出表"/>
            <wp:cNvGraphicFramePr>
              <a:graphicFrameLocks noChangeAspect="1"/>
            </wp:cNvGraphicFramePr>
            <a:graphic>
              <a:graphicData uri="http://schemas.openxmlformats.org/drawingml/2006/picture">
                <pic:pic>
                  <pic:nvPicPr>
                    <pic:cNvPr id="14" name="图片 14"/>
                    <pic:cNvPicPr/>
                  </pic:nvPicPr>
                  <pic:blipFill>
                    <a:blip r:embed="rId8"/>
                    <a:stretch>
                      <a:fillRect/>
                    </a:stretch>
                  </pic:blipFill>
                  <pic:spPr>
                    <a:xfrm rot="0">
                      <a:off x="0" y="0"/>
                      <a:ext cx="5272459" cy="2685859"/>
                    </a:xfrm>
                    <a:prstGeom prst="rect"/>
                    <a:noFill/>
                    <a:ln w="9525" cmpd="sng" cap="flat">
                      <a:noFill/>
                      <a:prstDash val="solid"/>
                      <a:miter/>
                    </a:ln>
                  </pic:spPr>
                </pic:pic>
              </a:graphicData>
            </a:graphic>
          </wp:inline>
        </w:drawing>
      </w:r>
      <w:r>
        <w:rPr>
          <w:rFonts w:hint="eastAsia"/>
          <w:lang w:eastAsia="zh-CN"/>
        </w:rPr>
        <w:drawing>
          <wp:inline distT="0" distB="0" distL="85725" distR="85725">
            <wp:extent cx="5268666" cy="1992706"/>
            <wp:effectExtent l="0" t="0" r="0" b="0"/>
            <wp:docPr id="9" name="图片 8" descr="08.政府性基金预算支出表(按功能科目到项级)"/>
            <wp:cNvGraphicFramePr>
              <a:graphicFrameLocks noChangeAspect="1"/>
            </wp:cNvGraphicFramePr>
            <a:graphic>
              <a:graphicData uri="http://schemas.openxmlformats.org/drawingml/2006/picture">
                <pic:pic>
                  <pic:nvPicPr>
                    <pic:cNvPr id="16" name="图片 16"/>
                    <pic:cNvPicPr/>
                  </pic:nvPicPr>
                  <pic:blipFill>
                    <a:blip r:embed="rId9"/>
                    <a:stretch>
                      <a:fillRect/>
                    </a:stretch>
                  </pic:blipFill>
                  <pic:spPr>
                    <a:xfrm rot="0">
                      <a:off x="0" y="0"/>
                      <a:ext cx="5268666" cy="1992706"/>
                    </a:xfrm>
                    <a:prstGeom prst="rect"/>
                    <a:noFill/>
                    <a:ln w="9525" cmpd="sng" cap="flat">
                      <a:noFill/>
                      <a:prstDash val="solid"/>
                      <a:miter/>
                    </a:ln>
                  </pic:spPr>
                </pic:pic>
              </a:graphicData>
            </a:graphic>
          </wp:inline>
        </w:drawing>
      </w:r>
      <w:r>
        <w:rPr>
          <w:rFonts w:hint="eastAsia"/>
          <w:lang w:eastAsia="zh-CN"/>
        </w:rPr>
        <w:drawing>
          <wp:inline distT="0" distB="0" distL="85725" distR="85725">
            <wp:extent cx="5266578" cy="2123602"/>
            <wp:effectExtent l="0" t="0" r="0" b="0"/>
            <wp:docPr id="10" name="图片 9" descr="09.国有资本经营预算支出表(按功能科目到项级）"/>
            <wp:cNvGraphicFramePr>
              <a:graphicFrameLocks noChangeAspect="1"/>
            </wp:cNvGraphicFramePr>
            <a:graphic>
              <a:graphicData uri="http://schemas.openxmlformats.org/drawingml/2006/picture">
                <pic:pic>
                  <pic:nvPicPr>
                    <pic:cNvPr id="18" name="图片 18"/>
                    <pic:cNvPicPr/>
                  </pic:nvPicPr>
                  <pic:blipFill>
                    <a:blip r:embed="rId10"/>
                    <a:stretch>
                      <a:fillRect/>
                    </a:stretch>
                  </pic:blipFill>
                  <pic:spPr>
                    <a:xfrm rot="0">
                      <a:off x="0" y="0"/>
                      <a:ext cx="5266578" cy="2123602"/>
                    </a:xfrm>
                    <a:prstGeom prst="rect"/>
                    <a:noFill/>
                    <a:ln w="9525" cmpd="sng" cap="flat">
                      <a:noFill/>
                      <a:prstDash val="solid"/>
                      <a:miter/>
                    </a:ln>
                  </pic:spPr>
                </pic:pic>
              </a:graphicData>
            </a:graphic>
          </wp:inline>
        </w:drawing>
      </w:r>
      <w:r>
        <w:rPr>
          <w:rFonts w:hint="eastAsia"/>
          <w:lang w:eastAsia="zh-CN"/>
        </w:rPr>
        <w:drawing>
          <wp:inline distT="0" distB="0" distL="85725" distR="85725">
            <wp:extent cx="5270344" cy="2435702"/>
            <wp:effectExtent l="0" t="0" r="0" b="0"/>
            <wp:docPr id="11" name="图片 10" descr="10.政府采购预算表"/>
            <wp:cNvGraphicFramePr>
              <a:graphicFrameLocks noChangeAspect="1"/>
            </wp:cNvGraphicFramePr>
            <a:graphic>
              <a:graphicData uri="http://schemas.openxmlformats.org/drawingml/2006/picture">
                <pic:pic>
                  <pic:nvPicPr>
                    <pic:cNvPr id="20" name="图片 20"/>
                    <pic:cNvPicPr/>
                  </pic:nvPicPr>
                  <pic:blipFill>
                    <a:blip r:embed="rId11"/>
                    <a:stretch>
                      <a:fillRect/>
                    </a:stretch>
                  </pic:blipFill>
                  <pic:spPr>
                    <a:xfrm rot="0">
                      <a:off x="0" y="0"/>
                      <a:ext cx="5270344" cy="2435702"/>
                    </a:xfrm>
                    <a:prstGeom prst="rect"/>
                    <a:noFill/>
                    <a:ln w="9525" cmpd="sng" cap="flat">
                      <a:noFill/>
                      <a:prstDash val="solid"/>
                      <a:miter/>
                    </a:ln>
                  </pic:spPr>
                </pic:pic>
              </a:graphicData>
            </a:graphic>
          </wp:inline>
        </w:drawing>
      </w:r>
      <w:r>
        <w:rPr>
          <w:rFonts w:hint="eastAsia"/>
          <w:lang w:eastAsia="zh-CN"/>
        </w:rPr>
        <w:drawing>
          <wp:inline distT="0" distB="0" distL="85725" distR="85725">
            <wp:extent cx="4748688" cy="9849549"/>
            <wp:effectExtent l="0" t="0" r="0" b="0"/>
            <wp:docPr id="12" name="图片 11" descr="1742368754254"/>
            <wp:cNvGraphicFramePr>
              <a:graphicFrameLocks noChangeAspect="1"/>
            </wp:cNvGraphicFramePr>
            <a:graphic>
              <a:graphicData uri="http://schemas.openxmlformats.org/drawingml/2006/picture">
                <pic:pic>
                  <pic:nvPicPr>
                    <pic:cNvPr id="22" name="图片 22"/>
                    <pic:cNvPicPr/>
                  </pic:nvPicPr>
                  <pic:blipFill>
                    <a:blip r:embed="rId12"/>
                    <a:stretch>
                      <a:fillRect/>
                    </a:stretch>
                  </pic:blipFill>
                  <pic:spPr>
                    <a:xfrm rot="0">
                      <a:off x="0" y="0"/>
                      <a:ext cx="4748688" cy="9849549"/>
                    </a:xfrm>
                    <a:prstGeom prst="rect"/>
                    <a:noFill/>
                    <a:ln w="9525" cmpd="sng" cap="flat">
                      <a:noFill/>
                      <a:prstDash val="solid"/>
                      <a:miter/>
                    </a:ln>
                  </pic:spPr>
                </pic:pic>
              </a:graphicData>
            </a:graphic>
          </wp:inline>
        </w:drawing>
      </w:r>
    </w:p>
    <w:sectPr>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黑体"/>
    <w:panose1 w:val="03000509000000000000"/>
    <w:charset w:val="86"/>
    <w:family w:val="auto"/>
    <w:pitch w:val="variable"/>
    <w:sig w:usb0="00000001" w:usb1="080E0000" w:usb2="00000000" w:usb3="00000000" w:csb0="00040000" w:csb1="00000000"/>
  </w:font>
  <w:font w:name="黑体">
    <w:panose1 w:val="02010600030101010101"/>
    <w:charset w:val="86"/>
    <w:family w:val="auto"/>
    <w:pitch w:val="variable"/>
    <w:sig w:usb0="00000001" w:usb1="080E0000" w:usb2="00000000" w:usb3="00000000" w:csb0="00040000" w:csb1="00000000"/>
  </w:font>
  <w:font w:name="仿宋_GB2312">
    <w:altName w:val="仿宋"/>
    <w:panose1 w:val="02010609030101010101"/>
    <w:charset w:val="86"/>
    <w:family w:val="auto"/>
    <w:pitch w:val="variable"/>
    <w:sig w:usb0="00000001" w:usb1="080E0000" w:usb2="00000000" w:usb3="00000000" w:csb0="00040000" w:csb1="00000000"/>
  </w:font>
  <w:font w:name="楷体_GB2312">
    <w:altName w:val="楷体"/>
    <w:panose1 w:val="02010609030101010101"/>
    <w:charset w:val="86"/>
    <w:family w:val="auto"/>
    <w:pitch w:val="variable"/>
    <w:sig w:usb0="00000000" w:usb1="00000000" w:usb2="00000000" w:usb3="00000000" w:csb0="00040000" w:csb1="00000000"/>
  </w:font>
  <w:font w:name="仿宋">
    <w:panose1 w:val="02010609060101010101"/>
    <w:charset w:val="86"/>
    <w:family w:val="auto"/>
    <w:pitch w:val="variable"/>
    <w:sig w:usb0="800002BF" w:usb1="38CF7CFA" w:usb2="00000016" w:usb3="00000000" w:csb0="00040001" w:csb1="00000000"/>
  </w:font>
  <w:font w:name="宋体">
    <w:altName w:val="仿宋"/>
    <w:panose1 w:val="02010600030101010101"/>
    <w:charset w:val="86"/>
    <w:family w:val="auto"/>
    <w:pitch w:val="variable"/>
    <w:sig w:usb0="00000003" w:usb1="288F0000" w:usb2="00000006" w:usb3="00000000" w:csb0="00040001" w:csb1="00000000"/>
  </w:font>
  <w:font w:name="Times New Roman">
    <w:altName w:val="DejaVu Sans"/>
    <w:panose1 w:val="02020603050405020304"/>
    <w:charset w:val="00"/>
    <w:family w:val="auto"/>
    <w:pitch w:val="variable"/>
    <w:sig w:usb0="E0002AFF" w:usb1="C0007841" w:usb2="00000009" w:usb3="00000000" w:csb0="400001FF" w:csb1="FFFF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00002FF" w:usb1="4000ACFF" w:usb2="00000001" w:usb3="00000000" w:csb0="2000019F" w:csb1="00000000"/>
  </w:font>
  <w:font w:name="文泉驿正黑">
    <w:panose1 w:val="02000603000000000000"/>
    <w:charset w:val="86"/>
    <w:family w:val="script"/>
    <w:pitch w:val="variable"/>
    <w:sig w:usb0="900002BF" w:usb1="2BDF7DFB" w:usb2="00000036" w:usb3="00000000" w:csb0="603E000D" w:csb1="D2D7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261CFB5"/>
    <w:multiLevelType w:val="singleLevel"/>
    <w:tmpl w:val="F261CFB5"/>
    <w:lvl w:ilvl="0">
      <w:start w:val="2"/>
      <w:numFmt w:val="chineseCounting"/>
      <w:lvlRestart w:val="0"/>
      <w:suff w:val="nothing"/>
      <w:lvlText w:val="（%1）"/>
      <w:lvlJc w:val="left"/>
      <w:pPr/>
      <w:rPr>
        <w:rFonts w:hint="eastAsia"/>
      </w:rPr>
    </w:lvl>
  </w:abstractNum>
  <w:abstractNum w:abstractNumId="1">
    <w:nsid w:val="9A0116E7"/>
    <w:multiLevelType w:val="singleLevel"/>
    <w:tmpl w:val="9A0116E7"/>
    <w:lvl w:ilvl="0">
      <w:start w:val="1"/>
      <w:numFmt w:val="decimal"/>
      <w:lvlRestart w:val="0"/>
      <w:suff w:val="nothing"/>
      <w:lvlText w:val="%1、"/>
      <w:lvlJc w:val="left"/>
      <w:pPr/>
    </w:lvl>
  </w:abstractNum>
  <w:abstractNum w:abstractNumId="2">
    <w:nsid w:val="00000008"/>
    <w:multiLevelType w:val="singleLevel"/>
    <w:tmpl w:val="00000008"/>
    <w:lvl w:ilvl="0">
      <w:start w:val="1"/>
      <w:numFmt w:val="decimal"/>
      <w:lvlRestart w:val="0"/>
      <w:suff w:val="nothing"/>
      <w:lvlText w:val="%1．"/>
      <w:lvlJc w:val="left"/>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70"/>
  <w:bordersDoNotSurroundHeader w:val="0"/>
  <w:bordersDoNotSurroundFooter w:val="0"/>
  <w:defaultTabStop w:val="420"/>
  <w:drawingGridHorizontalSpacing w:val="18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doNotSuppressIndentation/>
    <w:splitPgBreakAndParaMark/>
    <w:autofitToFirstFixedWidthCell/>
    <w:compatSetting w:name="compatibilityMode" w:uri="http://schemas.microsoft.com/office/word" w:val="11"/>
  </w:compat>
  <w:docVars>
    <w:docVar w:name="commondata" w:val="eyJoZGlkIjoiYTE3YTA0YzUyOWI0NmFiNjdkYzcwZTI1ZjU4NzgwZGQifQ=="/>
  </w:docVars>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3"/>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正黑" w:eastAsia="黑体" w:hAnsi="文泉驿正黑"/>
      <w:b/>
      <w:bCs/>
      <w:sz w:val="32"/>
      <w:szCs w:val="32"/>
    </w:rPr>
  </w:style>
  <w:style w:type="character" w:customStyle="1" w:styleId="2Char">
    <w:name w:val="heading 2 Char"/>
    <w:basedOn w:val="10"/>
    <w:link w:val="2"/>
    <w:rPr>
      <w:rFonts w:ascii="文泉驿正黑" w:eastAsia="黑体" w:cs="Times New Roman" w:hAnsi="Calibri"/>
      <w:b/>
      <w:bCs/>
      <w:kern w:val="2"/>
      <w:sz w:val="32"/>
      <w:szCs w:val="32"/>
      <w:lang w:val="en-US" w:eastAsia="zh-CN" w:bidi="ar-SA"/>
    </w:rPr>
  </w:style>
  <w:style w:type="paragraph" w:styleId="3">
    <w:name w:val="heading 3"/>
    <w:qFormat/>
    <w:basedOn w:val="0"/>
    <w:next w:val="0"/>
    <w:link w:val="3Char"/>
    <w:pPr>
      <w:keepNext/>
      <w:keepLines/>
      <w:spacing w:before="260" w:beforeAutospacing="0" w:after="260" w:afterAutospacing="0" w:line="413" w:lineRule="auto"/>
      <w:outlineLvl w:val="2"/>
    </w:pPr>
    <w:rPr>
      <w:b/>
      <w:sz w:val="32"/>
    </w:rPr>
  </w:style>
  <w:style w:type="character" w:customStyle="1" w:styleId="3Char">
    <w:name w:val="heading 3 Char"/>
    <w:basedOn w:val="10"/>
    <w:link w:val="3"/>
    <w:rPr>
      <w:rFonts w:ascii="Calibri" w:eastAsia="宋体" w:cs="Times New Roman" w:hAnsi="Calibri"/>
      <w:b/>
      <w:kern w:val="2"/>
      <w:sz w:val="32"/>
      <w:szCs w:val="24"/>
      <w:lang w:val="en-US" w:eastAsia="zh-CN" w:bidi="ar-SA"/>
    </w:rPr>
  </w:style>
  <w:style w:type="character" w:default="1" w:styleId="10">
    <w:name w:val="Default Paragraph Font"/>
    <w:qFormat/>
  </w:style>
  <w:style w:type="paragraph" w:customStyle="1" w:styleId="15">
    <w:name w:val="正文缩进 + 首行缩进:  2 字符"/>
    <w:qFormat/>
    <w:basedOn w:val="0"/>
    <w:pPr>
      <w:spacing w:line="560" w:lineRule="exact"/>
      <w:ind w:firstLine="640"/>
    </w:pPr>
    <w:rPr>
      <w:rFonts w:eastAsia="仿宋_GB2312"/>
      <w:sz w:val="32"/>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1.png"/><Relationship Id="rId3" Type="http://schemas.openxmlformats.org/officeDocument/2006/relationships/image" Target="media/3.png"/><Relationship Id="rId4" Type="http://schemas.openxmlformats.org/officeDocument/2006/relationships/image" Target="media/5.png"/><Relationship Id="rId5" Type="http://schemas.openxmlformats.org/officeDocument/2006/relationships/image" Target="media/7.png"/><Relationship Id="rId6" Type="http://schemas.openxmlformats.org/officeDocument/2006/relationships/image" Target="media/9.png"/><Relationship Id="rId7" Type="http://schemas.openxmlformats.org/officeDocument/2006/relationships/image" Target="media/11.png"/><Relationship Id="rId8" Type="http://schemas.openxmlformats.org/officeDocument/2006/relationships/image" Target="media/13.png"/><Relationship Id="rId9" Type="http://schemas.openxmlformats.org/officeDocument/2006/relationships/image" Target="media/15.png"/><Relationship Id="rId10" Type="http://schemas.openxmlformats.org/officeDocument/2006/relationships/image" Target="media/17.png"/><Relationship Id="rId11" Type="http://schemas.openxmlformats.org/officeDocument/2006/relationships/image" Target="media/19.png"/><Relationship Id="rId12" Type="http://schemas.openxmlformats.org/officeDocument/2006/relationships/image" Target="media/21.png"/><Relationship Id="rId13" Type="http://schemas.openxmlformats.org/officeDocument/2006/relationships/styles" Target="styl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customXml" Target="../customXml/item1.xml"/><Relationship Id="rId1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ABE87117-E0AD-46B6-9038-603FF879218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14093463</TotalTime>
  <Application>Yozo_Office9.0.5233.101ZH.S1</Application>
  <Pages>17</Pages>
  <Words>0</Words>
  <Characters>3930</Characters>
  <Lines>0</Lines>
  <Paragraphs>117</Paragraphs>
  <CharactersWithSpaces>5240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lenovo</cp:lastModifiedBy>
  <cp:revision>1</cp:revision>
  <dcterms:created xsi:type="dcterms:W3CDTF">2023-01-18T12:57:00Z</dcterms:created>
  <dcterms:modified xsi:type="dcterms:W3CDTF">2025-04-01T09:31:01Z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ICV">
    <vt:lpwstr>F9F697A8C54C44DE81D1DC37DA4264CD</vt:lpwstr>
  </property>
  <property fmtid="{D5CDD505-2E9C-101B-9397-08002B2CF9AE}" pid="4" name="KSOTemplateDocerSaveRecord">
    <vt:lpwstr>eyJoZGlkIjoiYTE3YTA0YzUyOWI0NmFiNjdkYzcwZTI1ZjU4NzgwZGQiLCJ1c2VySWQiOiIxMDUwNDk2MTAyIn0=</vt:lpwstr>
  </property>
</Properties>
</file>