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bCs/>
          <w:sz w:val="44"/>
          <w:szCs w:val="44"/>
          <w:lang w:val="en-US" w:eastAsia="zh-CN"/>
        </w:rPr>
      </w:pPr>
      <w:r>
        <w:rPr>
          <w:rFonts w:ascii="方正小标宋简体" w:eastAsia="方正小标宋简体" w:cs="方正小标宋简体" w:hAnsi="方正小标宋简体" w:hint="eastAsia"/>
          <w:b/>
          <w:bCs/>
          <w:sz w:val="44"/>
          <w:szCs w:val="44"/>
        </w:rPr>
        <w:t>赤壁市</w:t>
      </w:r>
      <w:r>
        <w:rPr>
          <w:rFonts w:ascii="方正小标宋简体" w:eastAsia="方正小标宋简体" w:cs="方正小标宋简体" w:hAnsi="方正小标宋简体" w:hint="eastAsia"/>
          <w:b/>
          <w:bCs/>
          <w:sz w:val="44"/>
          <w:szCs w:val="44"/>
          <w:lang w:val="en-US" w:eastAsia="zh-CN"/>
        </w:rPr>
        <w:t>供销合作社联合社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lang w:eastAsia="zh-CN"/>
        </w:rPr>
        <w:t>2024年</w:t>
      </w:r>
      <w:r>
        <w:rPr>
          <w:rFonts w:ascii="方正小标宋简体" w:eastAsia="方正小标宋简体" w:cs="方正小标宋简体" w:hAnsi="方正小标宋简体" w:hint="eastAsia"/>
          <w:b/>
          <w:bCs/>
          <w:sz w:val="44"/>
          <w:szCs w:val="44"/>
          <w:lang w:eastAsia="zh-CN"/>
        </w:rPr>
        <w:t>度</w:t>
      </w:r>
      <w:r>
        <w:rPr>
          <w:rFonts w:ascii="方正小标宋简体" w:eastAsia="方正小标宋简体" w:cs="方正小标宋简体" w:hAnsi="方正小标宋简体" w:hint="eastAsia"/>
          <w:sz w:val="44"/>
          <w:szCs w:val="44"/>
        </w:rPr>
        <w:t>部门预算</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sz w:val="52"/>
          <w:szCs w:val="52"/>
          <w:lang w:val="en-US" w:eastAsia="zh-CN"/>
        </w:rPr>
      </w:pPr>
      <w:r>
        <w:rPr>
          <w:rFonts w:ascii="方正小标宋简体" w:eastAsia="方正小标宋简体" w:cs="方正小标宋简体" w:hAnsi="方正小标宋简体" w:hint="eastAsia"/>
          <w:sz w:val="44"/>
          <w:szCs w:val="44"/>
          <w:lang w:val="en-US" w:eastAsia="zh-CN"/>
        </w:rPr>
        <w:t>目  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eastAsia="黑体" w:cs="黑体" w:hAnsi="黑体" w:hint="eastAsia"/>
          <w:sz w:val="32"/>
          <w:szCs w:val="32"/>
        </w:rPr>
      </w:pP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第一部分  部门概况</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w:t>
      </w:r>
      <w:r>
        <w:rPr>
          <w:rFonts w:ascii="仿宋_GB2312" w:eastAsia="仿宋_GB2312" w:cs="仿宋_GB2312" w:hAnsi="仿宋_GB2312" w:hint="eastAsia"/>
          <w:sz w:val="32"/>
          <w:szCs w:val="32"/>
        </w:rPr>
        <w:t>主要职责及</w:t>
      </w:r>
      <w:r>
        <w:rPr>
          <w:rFonts w:ascii="仿宋_GB2312" w:eastAsia="仿宋_GB2312" w:cs="仿宋_GB2312" w:hAnsi="仿宋_GB2312" w:hint="eastAsia"/>
          <w:sz w:val="32"/>
          <w:szCs w:val="32"/>
          <w:lang w:eastAsia="zh-CN"/>
        </w:rPr>
        <w:t>机构设置</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rPr>
        <w:t>二、</w:t>
      </w:r>
      <w:r>
        <w:rPr>
          <w:rFonts w:ascii="仿宋_GB2312" w:eastAsia="仿宋_GB2312" w:cs="仿宋_GB2312" w:hAnsi="仿宋_GB2312" w:hint="eastAsia"/>
          <w:sz w:val="32"/>
          <w:szCs w:val="32"/>
          <w:lang w:eastAsia="zh-CN"/>
        </w:rPr>
        <w:t>人员情况</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三、年度</w:t>
      </w:r>
      <w:r>
        <w:rPr>
          <w:rFonts w:ascii="仿宋_GB2312" w:eastAsia="仿宋_GB2312" w:cs="仿宋_GB2312" w:hAnsi="仿宋_GB2312" w:hint="eastAsia"/>
          <w:sz w:val="32"/>
          <w:szCs w:val="32"/>
        </w:rPr>
        <w:t>主要工作任务</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eastAsia="zh-CN"/>
        </w:rPr>
        <w:t>四、部门预算单位构成</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Ansi="仿宋_GB2312" w:hint="eastAsia"/>
          <w:sz w:val="32"/>
          <w:szCs w:val="32"/>
        </w:rPr>
      </w:pPr>
      <w:r>
        <w:rPr>
          <w:rFonts w:ascii="黑体" w:eastAsia="黑体" w:cs="黑体" w:hAnsi="黑体" w:hint="eastAsia"/>
          <w:b/>
          <w:bCs/>
          <w:sz w:val="32"/>
          <w:szCs w:val="32"/>
          <w:lang w:val="en-US" w:eastAsia="zh-CN"/>
        </w:rPr>
        <w:t>第二部分  2024年部门预算编制情况及说明</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一、部门预算收支总体情况</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二、部门预算收入情况说明</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三、部门预算支出情况说明</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四、预算收支增减变化情况</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cs="仿宋_GB2312" w:hAnsi="仿宋_GB2312" w:hint="eastAsia"/>
          <w:sz w:val="32"/>
          <w:szCs w:val="32"/>
          <w:lang w:val="en-US" w:eastAsia="zh-CN"/>
        </w:rPr>
        <w:t>五、</w:t>
      </w:r>
      <w:r>
        <w:rPr>
          <w:rFonts w:ascii="仿宋_GB2312" w:eastAsia="仿宋_GB2312" w:cs="仿宋_GB2312" w:hAnsi="仿宋_GB2312" w:hint="eastAsia"/>
          <w:sz w:val="32"/>
          <w:szCs w:val="32"/>
          <w:lang w:val="en-US" w:eastAsia="zh-CN"/>
        </w:rPr>
        <w:t>政府性基金预算支出情况说明</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六、国有资本经营预算支出情况说明</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七、“三公”经费、会议费、培训费支出预算情况说明</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八、机关运行经费安排情况说明</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九、政府采购预算情况说明</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十、国有资产占用情况说明</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十一、绩效目标设置情况说明</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十二、政府购买服务情况说明</w:t>
      </w:r>
    </w:p>
    <w:p>
      <w:pPr>
        <w:keepNext w:val="0"/>
        <w:keepLines w:val="0"/>
        <w:pageBreakBefore w:val="0"/>
        <w:kinsoku/>
        <w:wordWrap/>
        <w:overflowPunct/>
        <w:topLinePunct w:val="0"/>
        <w:autoSpaceDE/>
        <w:autoSpaceDN/>
        <w:bidi w:val="0"/>
        <w:adjustRightInd/>
        <w:snapToGrid/>
        <w:spacing w:line="560" w:lineRule="exact"/>
        <w:ind w:left="0" w:firstLineChars="400" w:firstLine="128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十三、政府债务情况说明</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sz w:val="32"/>
          <w:szCs w:val="32"/>
        </w:rPr>
      </w:pPr>
      <w:r>
        <w:rPr>
          <w:rFonts w:ascii="黑体" w:eastAsia="黑体" w:cs="黑体" w:hAnsi="黑体" w:hint="eastAsia"/>
          <w:b/>
          <w:bCs/>
          <w:sz w:val="32"/>
          <w:szCs w:val="32"/>
          <w:lang w:val="en-US" w:eastAsia="zh-CN"/>
        </w:rPr>
        <w:t>第三部分  名词解释</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第四部分  2024年部门预算表</w:t>
      </w:r>
    </w:p>
    <w:p>
      <w:pPr>
        <w:keepNext w:val="0"/>
        <w:keepLines w:val="0"/>
        <w:pageBreakBefore w:val="0"/>
        <w:kinsoku/>
        <w:wordWrap/>
        <w:overflowPunct/>
        <w:topLinePunct w:val="0"/>
        <w:autoSpaceDE/>
        <w:autoSpaceDN/>
        <w:bidi w:val="0"/>
        <w:adjustRightInd/>
        <w:snapToGrid/>
        <w:spacing w:line="560" w:lineRule="exact"/>
        <w:textAlignment w:val="auto"/>
        <w:rPr>
          <w:rFonts w:ascii="黑体" w:eastAsia="黑体" w:cs="黑体" w:hAnsi="黑体" w:hint="eastAsia"/>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eastAsia="黑体" w:cs="黑体" w:hAnsi="黑体" w:hint="eastAsia"/>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第一部分  部门概况</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黑体" w:eastAsia="黑体" w:cs="黑体" w:hAnsi="黑体" w:hint="eastAsia"/>
          <w:b/>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仿宋_GB2312" w:hAnsi="仿宋_GB2312" w:hint="eastAsia"/>
          <w:sz w:val="32"/>
          <w:szCs w:val="32"/>
          <w:lang w:eastAsia="zh-CN"/>
        </w:rPr>
      </w:pPr>
      <w:r>
        <w:rPr>
          <w:rFonts w:ascii="黑体" w:eastAsia="黑体" w:cs="黑体" w:hAnsi="黑体" w:hint="eastAsia"/>
          <w:b/>
          <w:bCs/>
          <w:sz w:val="32"/>
          <w:szCs w:val="32"/>
          <w:lang w:eastAsia="zh-CN"/>
        </w:rPr>
        <w:t>一、主要职责及机构设置</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楷体_GB2312" w:eastAsia="楷体_GB2312" w:cs="楷体_GB2312" w:hAnsi="楷体_GB2312" w:hint="eastAsia"/>
          <w:b/>
          <w:bCs w:val="0"/>
          <w:kern w:val="2"/>
          <w:sz w:val="32"/>
          <w:szCs w:val="32"/>
          <w:lang w:val="en-US" w:eastAsia="zh-CN"/>
        </w:rPr>
      </w:pPr>
      <w:r>
        <w:rPr>
          <w:rFonts w:ascii="楷体_GB2312" w:eastAsia="楷体_GB2312" w:cs="楷体_GB2312" w:hAnsi="楷体_GB2312" w:hint="eastAsia"/>
          <w:b w:val="0"/>
          <w:bCs/>
          <w:kern w:val="2"/>
          <w:sz w:val="32"/>
          <w:szCs w:val="32"/>
          <w:lang w:val="en-US" w:eastAsia="zh-CN"/>
        </w:rPr>
        <w:t>（一）主要职责</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1、贯彻执行党中央、国务院及省、市有关农村经济工作的方针、政策和法规，深化综合改革，加快建设数字供销，以数字化转型提升农业农村现代化水平。具体研究制订并落实全市合作经济的发展战略和发展规划，指导全市供销社系统合作经济组织参与乡村振兴战略和改革发展。</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2、按照政府授权和委托，对化肥、农药、农膜等主要农业生产资料和防汛物资、再生资源、烟花爆竹等行业实行行业管理。对重要农产品的收购、调拨、储备等方面进行组织、协调和管理，对果蔬、茶叶、小龙虾等农产品生产销售进行指导。</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3、指导全市供销社系统各类合作经济组织的业务活动。加强业务技术培训和职业道德教育，积极参与乡村振兴建设，为农业、农村、农民提供综合服务。兴办村级综合服务社、“三农”服务中心、庄稼医院、村级基层社等服务组织，引导农民组建专业合作社，组织兴办合作经济龙头企业，参与农业社会化服务，完善体制机制，拓宽服务领域，加快成为服务农民生产生活的综合平台，成为党和政府密切联系农民群众的桥梁纽带，为推进乡村振兴贡献力量。拓展“三农”增收的渠道，推动全市供销事业和合作经济健康发展。</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4、协调与相关部门、社会组织的关系，充分利用好保护和扶持合作经济组织的有关政策。维护供销合作社系统内各类涉农合作经济组织的合法权益，协同有关部门组织指导供销社企业与各类合作经济组织之间的经济合作，促进合作经济的繁荣。</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5、会同应急、公安、市场监督、城管等部门管理全市烟花爆竹经营零售网点；负责系统内烟花爆竹的批发经营；协同做好烟花爆竹安全经营和相关地方的禁鞭管理。</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6、设立社有资产管理委员会，负责行使本级社社有资产出资人的职能，并按出资额依法享有资产受益、重大决策和选择管理者的权利，确保社有资产保值增值。</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7、设立监事会，负责监督、检查供销资产经营管理总公司、各类合作经济组织对党和国家方针、政策的执行情况和各项任务的完成情况，承担供销社及相关经济组织的审计、评价工作。</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8、承办政府和上级部门交办的其他事项。</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kern w:val="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Chars="200" w:firstLine="640"/>
        <w:textAlignment w:val="auto"/>
        <w:rPr>
          <w:rFonts w:ascii="楷体_GB2312" w:eastAsia="楷体_GB2312" w:cs="楷体_GB2312" w:hAnsi="楷体_GB2312" w:hint="eastAsia"/>
          <w:b w:val="0"/>
          <w:bCs/>
          <w:kern w:val="2"/>
          <w:sz w:val="32"/>
          <w:szCs w:val="32"/>
          <w:lang w:val="en-US" w:eastAsia="zh-CN"/>
        </w:rPr>
      </w:pPr>
      <w:r>
        <w:rPr>
          <w:rFonts w:ascii="楷体_GB2312" w:eastAsia="楷体_GB2312" w:cs="楷体_GB2312" w:hAnsi="楷体_GB2312" w:hint="eastAsia"/>
          <w:b w:val="0"/>
          <w:bCs/>
          <w:kern w:val="2"/>
          <w:sz w:val="32"/>
          <w:szCs w:val="32"/>
          <w:lang w:val="en-US" w:eastAsia="zh-CN"/>
        </w:rPr>
        <w:t>机构设置</w:t>
      </w:r>
    </w:p>
    <w:p>
      <w:pPr>
        <w:keepNext w:val="0"/>
        <w:keepLines w:val="0"/>
        <w:pageBreakBefore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办公室</w:t>
      </w:r>
    </w:p>
    <w:p>
      <w:pPr>
        <w:keepNext w:val="0"/>
        <w:keepLines w:val="0"/>
        <w:pageBreakBefore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bCs/>
          <w:kern w:val="2"/>
          <w:sz w:val="32"/>
          <w:szCs w:val="32"/>
          <w:lang w:val="en-US" w:eastAsia="zh-CN"/>
        </w:rPr>
      </w:pPr>
      <w:r>
        <w:rPr>
          <w:rFonts w:ascii="仿宋" w:eastAsia="仿宋" w:cs="仿宋" w:hAnsi="仿宋" w:hint="eastAsia"/>
          <w:bCs/>
          <w:kern w:val="2"/>
          <w:sz w:val="32"/>
          <w:szCs w:val="32"/>
          <w:lang w:val="en-US" w:eastAsia="zh-CN"/>
        </w:rPr>
        <w:t>人事教育股</w:t>
      </w:r>
    </w:p>
    <w:p>
      <w:pPr>
        <w:keepNext w:val="0"/>
        <w:keepLines w:val="0"/>
        <w:pageBreakBefore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bCs/>
          <w:kern w:val="2"/>
          <w:sz w:val="32"/>
          <w:szCs w:val="32"/>
          <w:lang w:val="en-US" w:eastAsia="zh-CN"/>
        </w:rPr>
      </w:pPr>
      <w:r>
        <w:rPr>
          <w:rFonts w:ascii="仿宋" w:eastAsia="仿宋" w:cs="仿宋" w:hAnsi="仿宋" w:hint="eastAsia"/>
          <w:bCs/>
          <w:kern w:val="2"/>
          <w:sz w:val="32"/>
          <w:szCs w:val="32"/>
          <w:lang w:val="en-US" w:eastAsia="zh-CN"/>
        </w:rPr>
        <w:t>财务资产股</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4、经济发展股</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5、合作指导股</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6、法制安全股</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二、人员情况</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sz w:val="32"/>
          <w:szCs w:val="32"/>
          <w:lang w:eastAsia="zh-CN"/>
        </w:rPr>
      </w:pPr>
      <w:r>
        <w:rPr>
          <w:rFonts w:ascii="仿宋" w:eastAsia="仿宋" w:cs="仿宋" w:hAnsi="仿宋" w:hint="eastAsia"/>
          <w:bCs/>
          <w:color w:val="auto"/>
          <w:sz w:val="32"/>
          <w:szCs w:val="32"/>
          <w:lang w:eastAsia="zh-CN"/>
        </w:rPr>
        <w:t>赤壁市供销合作社联合社</w:t>
      </w:r>
      <w:r>
        <w:rPr>
          <w:rFonts w:ascii="仿宋" w:eastAsia="仿宋" w:cs="仿宋" w:hAnsi="仿宋" w:hint="eastAsia"/>
          <w:color w:val="auto"/>
          <w:sz w:val="32"/>
          <w:szCs w:val="32"/>
          <w:lang w:val="en-US" w:eastAsia="zh-CN"/>
        </w:rPr>
        <w:t>核定行政编制21人，工勤编制0人。其中现有在岗有编人数13人，离休2人，退休人员28人，其他人员4人。</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黑体" w:eastAsia="黑体" w:cs="黑体" w:hAnsi="黑体"/>
          <w:b/>
          <w:bCs/>
          <w:sz w:val="32"/>
          <w:szCs w:val="32"/>
          <w:lang w:eastAsia="zh-CN"/>
        </w:rPr>
      </w:pPr>
      <w:r>
        <w:rPr>
          <w:rFonts w:ascii="黑体" w:eastAsia="黑体" w:cs="黑体" w:hAnsi="黑体" w:hint="eastAsia"/>
          <w:b/>
          <w:bCs/>
          <w:sz w:val="32"/>
          <w:szCs w:val="32"/>
          <w:lang w:eastAsia="zh-CN"/>
        </w:rPr>
        <w:t>三</w:t>
      </w:r>
      <w:r>
        <w:rPr>
          <w:rFonts w:ascii="黑体" w:eastAsia="黑体" w:cs="黑体" w:hAnsi="黑体"/>
          <w:b/>
          <w:bCs/>
          <w:sz w:val="32"/>
          <w:szCs w:val="32"/>
          <w:lang w:eastAsia="zh-CN"/>
        </w:rPr>
        <w:t>、</w:t>
      </w:r>
      <w:r>
        <w:rPr>
          <w:rFonts w:ascii="黑体" w:eastAsia="黑体" w:cs="黑体" w:hAnsi="黑体" w:hint="eastAsia"/>
          <w:b/>
          <w:bCs/>
          <w:sz w:val="32"/>
          <w:szCs w:val="32"/>
          <w:lang w:eastAsia="zh-CN"/>
        </w:rPr>
        <w:t>年度</w:t>
      </w:r>
      <w:r>
        <w:rPr>
          <w:rFonts w:ascii="黑体" w:eastAsia="黑体" w:cs="黑体" w:hAnsi="黑体"/>
          <w:b/>
          <w:bCs/>
          <w:sz w:val="32"/>
          <w:szCs w:val="32"/>
          <w:lang w:eastAsia="zh-CN"/>
        </w:rPr>
        <w:t>主要工作任务</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1、力争实现销售总额、利润总额同比增长10%。</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2、全力推进基层组织体系建设。</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3、持续深化供销综合改革，提升为农服务功能。</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4、做好招商引资和项目建设工作。</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5、健全再生资源回收网络</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6、推进县域流通服务网络建设。</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7、着力开展金融助农服务。</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8、探索社有资产保值增值。</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9、加强基层党组织建设和党风廉政建设。</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10、全面完成市委、市</w:t>
      </w:r>
      <w:r>
        <w:rPr>
          <w:rFonts w:ascii="仿宋" w:eastAsia="仿宋" w:cs="仿宋" w:hAnsi="仿宋"/>
          <w:bCs/>
          <w:sz w:val="32"/>
          <w:szCs w:val="32"/>
          <w:lang w:val="en-US" w:eastAsia="zh-CN"/>
        </w:rPr>
        <w:t>政府</w:t>
      </w:r>
      <w:bookmarkStart w:id="0" w:name="_GoBack"/>
      <w:bookmarkEnd w:id="0"/>
      <w:r>
        <w:rPr>
          <w:rFonts w:ascii="仿宋" w:eastAsia="仿宋" w:cs="仿宋" w:hAnsi="仿宋" w:hint="eastAsia"/>
          <w:bCs/>
          <w:sz w:val="32"/>
          <w:szCs w:val="32"/>
          <w:lang w:val="en-US" w:eastAsia="zh-CN"/>
        </w:rPr>
        <w:t>和上级市社交办的中心工作。</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Ansi="仿宋_GB2312" w:hint="eastAsia"/>
          <w:bCs/>
          <w:sz w:val="32"/>
          <w:szCs w:val="32"/>
          <w:lang w:val="en-US" w:eastAsia="zh-CN"/>
        </w:rPr>
      </w:pPr>
      <w:r>
        <w:rPr>
          <w:rFonts w:ascii="黑体" w:eastAsia="黑体" w:cs="黑体" w:hAnsi="黑体" w:hint="eastAsia"/>
          <w:b/>
          <w:bCs/>
          <w:sz w:val="32"/>
          <w:szCs w:val="32"/>
          <w:lang w:val="en-US" w:eastAsia="zh-CN"/>
        </w:rPr>
        <w:t>四、部门预算单位构成</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赤壁市供销合作社联合社预算单位由赤壁市供销合作社联合社本级构成无二级预算单位</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eastAsia="黑体" w:cs="黑体" w:hAnsi="黑体" w:hint="eastAsia"/>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第二部分  2024年部门预算编制情况及说明</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楷体_GB2312" w:eastAsia="楷体_GB2312" w:cs="楷体_GB2312" w:hAnsi="楷体_GB2312" w:hint="eastAsia"/>
          <w:b/>
          <w:bCs w:val="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楷体_GB2312" w:eastAsia="楷体_GB2312" w:cs="楷体_GB2312" w:hAnsi="楷体_GB2312" w:hint="eastAsia"/>
          <w:b/>
          <w:bCs w:val="0"/>
          <w:kern w:val="2"/>
          <w:sz w:val="32"/>
          <w:szCs w:val="32"/>
          <w:lang w:val="en-US" w:eastAsia="zh-CN"/>
        </w:rPr>
      </w:pPr>
      <w:r>
        <w:rPr>
          <w:rFonts w:ascii="黑体" w:eastAsia="黑体" w:cs="黑体" w:hAnsi="黑体" w:hint="eastAsia"/>
          <w:b/>
          <w:bCs/>
          <w:sz w:val="32"/>
          <w:szCs w:val="32"/>
          <w:lang w:val="en-US" w:eastAsia="zh-CN"/>
        </w:rPr>
        <w:t>一、部门预算收支总体情况</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bCs/>
          <w:sz w:val="32"/>
          <w:szCs w:val="32"/>
          <w:lang w:val="en-US" w:eastAsia="zh-CN"/>
        </w:rPr>
      </w:pPr>
      <w:r>
        <w:rPr>
          <w:rFonts w:ascii="仿宋" w:eastAsia="仿宋" w:cs="仿宋" w:hAnsi="仿宋"/>
          <w:bCs/>
          <w:sz w:val="32"/>
          <w:szCs w:val="32"/>
          <w:lang w:val="en-US" w:eastAsia="zh-CN"/>
        </w:rPr>
        <w:t>按照预算管理规定，赤壁市</w:t>
      </w:r>
      <w:r>
        <w:rPr>
          <w:rFonts w:ascii="仿宋" w:eastAsia="仿宋" w:cs="仿宋" w:hAnsi="仿宋" w:hint="eastAsia"/>
          <w:bCs/>
          <w:sz w:val="32"/>
          <w:szCs w:val="32"/>
          <w:lang w:val="en-US" w:eastAsia="zh-CN"/>
        </w:rPr>
        <w:t>供销合作社联合社2024年</w:t>
      </w:r>
      <w:r>
        <w:rPr>
          <w:rFonts w:ascii="仿宋" w:eastAsia="仿宋" w:cs="仿宋" w:hAnsi="仿宋"/>
          <w:bCs/>
          <w:sz w:val="32"/>
          <w:szCs w:val="32"/>
          <w:lang w:val="en-US" w:eastAsia="zh-CN"/>
        </w:rPr>
        <w:t>部门预算的编制实行综合预算制度，所有收入和支出均纳入部门预算管理。收入包括：</w:t>
      </w:r>
      <w:r>
        <w:rPr>
          <w:rFonts w:ascii="仿宋" w:eastAsia="仿宋" w:cs="仿宋" w:hAnsi="仿宋" w:hint="eastAsia"/>
          <w:bCs/>
          <w:sz w:val="32"/>
          <w:szCs w:val="32"/>
          <w:lang w:val="en-US" w:eastAsia="zh-CN"/>
        </w:rPr>
        <w:t>一般公共预算收入</w:t>
      </w:r>
      <w:r>
        <w:rPr>
          <w:rFonts w:ascii="仿宋" w:eastAsia="仿宋" w:cs="仿宋" w:hAnsi="仿宋"/>
          <w:bCs/>
          <w:sz w:val="32"/>
          <w:szCs w:val="32"/>
          <w:lang w:val="en-US" w:eastAsia="zh-CN"/>
        </w:rPr>
        <w:t>、</w:t>
      </w:r>
      <w:r>
        <w:rPr>
          <w:rFonts w:ascii="仿宋" w:eastAsia="仿宋" w:cs="仿宋" w:hAnsi="仿宋" w:hint="eastAsia"/>
          <w:bCs/>
          <w:sz w:val="32"/>
          <w:szCs w:val="32"/>
          <w:lang w:val="en-US" w:eastAsia="zh-CN"/>
        </w:rPr>
        <w:t>政府性基金预算收入、专户管理的事业收入、其他资金、上年结转资金</w:t>
      </w:r>
      <w:r>
        <w:rPr>
          <w:rFonts w:ascii="仿宋" w:eastAsia="仿宋" w:cs="仿宋" w:hAnsi="仿宋"/>
          <w:bCs/>
          <w:sz w:val="32"/>
          <w:szCs w:val="32"/>
          <w:lang w:val="en-US" w:eastAsia="zh-CN"/>
        </w:rPr>
        <w:t>；支出包括：社会保障和就业支出、医疗</w:t>
      </w:r>
      <w:r>
        <w:rPr>
          <w:rFonts w:ascii="仿宋" w:eastAsia="仿宋" w:cs="仿宋" w:hAnsi="仿宋" w:hint="eastAsia"/>
          <w:bCs/>
          <w:sz w:val="32"/>
          <w:szCs w:val="32"/>
          <w:lang w:val="en-US" w:eastAsia="zh-CN"/>
        </w:rPr>
        <w:t>健康</w:t>
      </w:r>
      <w:r>
        <w:rPr>
          <w:rFonts w:ascii="仿宋" w:eastAsia="仿宋" w:cs="仿宋" w:hAnsi="仿宋"/>
          <w:bCs/>
          <w:sz w:val="32"/>
          <w:szCs w:val="32"/>
          <w:lang w:val="en-US" w:eastAsia="zh-CN"/>
        </w:rPr>
        <w:t>支出</w:t>
      </w:r>
      <w:r>
        <w:rPr>
          <w:rFonts w:ascii="仿宋" w:eastAsia="仿宋" w:cs="仿宋" w:hAnsi="仿宋" w:hint="eastAsia"/>
          <w:bCs/>
          <w:sz w:val="32"/>
          <w:szCs w:val="32"/>
          <w:lang w:val="en-US" w:eastAsia="zh-CN"/>
        </w:rPr>
        <w:t>、商业服务业支出、住房保障支出等</w:t>
      </w:r>
      <w:r>
        <w:rPr>
          <w:rFonts w:ascii="仿宋" w:eastAsia="仿宋" w:cs="仿宋" w:hAnsi="仿宋"/>
          <w:bCs/>
          <w:sz w:val="32"/>
          <w:szCs w:val="32"/>
          <w:lang w:val="en-US" w:eastAsia="zh-CN"/>
        </w:rPr>
        <w:t>。赤壁市</w:t>
      </w:r>
      <w:r>
        <w:rPr>
          <w:rFonts w:ascii="仿宋" w:eastAsia="仿宋" w:cs="仿宋" w:hAnsi="仿宋" w:hint="eastAsia"/>
          <w:bCs/>
          <w:sz w:val="32"/>
          <w:szCs w:val="32"/>
          <w:lang w:val="en-US" w:eastAsia="zh-CN"/>
        </w:rPr>
        <w:t>供销合作社联合社2024年</w:t>
      </w:r>
      <w:r>
        <w:rPr>
          <w:rFonts w:ascii="仿宋" w:eastAsia="仿宋" w:cs="仿宋" w:hAnsi="仿宋"/>
          <w:bCs/>
          <w:sz w:val="32"/>
          <w:szCs w:val="32"/>
          <w:lang w:val="en-US" w:eastAsia="zh-CN"/>
        </w:rPr>
        <w:t>收支总预算</w:t>
      </w:r>
      <w:r>
        <w:rPr>
          <w:rFonts w:ascii="仿宋" w:eastAsia="仿宋" w:cs="仿宋" w:hAnsi="仿宋" w:hint="eastAsia"/>
          <w:bCs/>
          <w:sz w:val="32"/>
          <w:szCs w:val="32"/>
          <w:lang w:val="en-US" w:eastAsia="zh-CN"/>
        </w:rPr>
        <w:t>364.84</w:t>
      </w:r>
      <w:r>
        <w:rPr>
          <w:rFonts w:ascii="仿宋" w:eastAsia="仿宋" w:cs="仿宋" w:hAnsi="仿宋"/>
          <w:bCs/>
          <w:sz w:val="32"/>
          <w:szCs w:val="32"/>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二、部门预算收入情况说明</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sz w:val="32"/>
          <w:szCs w:val="32"/>
          <w:lang w:val="en-US" w:eastAsia="zh-CN"/>
        </w:rPr>
      </w:pPr>
      <w:r>
        <w:rPr>
          <w:rFonts w:ascii="仿宋" w:eastAsia="仿宋" w:cs="仿宋" w:hAnsi="仿宋" w:hint="eastAsia"/>
          <w:bCs/>
          <w:sz w:val="32"/>
          <w:szCs w:val="32"/>
          <w:lang w:val="en-US" w:eastAsia="zh-CN"/>
        </w:rPr>
        <w:t>赤壁市供销合作社联合社2024年收入预算364.84万元，其中:财政拨款收入364.84万元（含非税收入60万元），占100%；政府性基金预算收入0万元，占0%；</w:t>
      </w:r>
      <w:r>
        <w:rPr>
          <w:rFonts w:ascii="仿宋" w:eastAsia="仿宋" w:cs="仿宋" w:hAnsi="仿宋" w:hint="eastAsia"/>
          <w:bCs/>
          <w:sz w:val="32"/>
          <w:szCs w:val="32"/>
        </w:rPr>
        <w:t>专户管理的事业收入</w:t>
      </w:r>
      <w:r>
        <w:rPr>
          <w:rFonts w:ascii="仿宋" w:eastAsia="仿宋" w:cs="仿宋" w:hAnsi="仿宋" w:hint="eastAsia"/>
          <w:bCs/>
          <w:sz w:val="32"/>
          <w:szCs w:val="32"/>
          <w:lang w:val="en-US" w:eastAsia="zh-CN"/>
        </w:rPr>
        <w:t>0</w:t>
      </w:r>
      <w:r>
        <w:rPr>
          <w:rFonts w:ascii="仿宋" w:eastAsia="仿宋" w:cs="仿宋" w:hAnsi="仿宋" w:hint="eastAsia"/>
          <w:bCs/>
          <w:sz w:val="32"/>
          <w:szCs w:val="32"/>
        </w:rPr>
        <w:t>万元</w:t>
      </w:r>
      <w:r>
        <w:rPr>
          <w:rFonts w:ascii="仿宋" w:eastAsia="仿宋" w:cs="仿宋" w:hAnsi="仿宋" w:hint="eastAsia"/>
          <w:bCs/>
          <w:sz w:val="32"/>
          <w:szCs w:val="32"/>
          <w:lang w:eastAsia="zh-CN"/>
        </w:rPr>
        <w:t>，</w:t>
      </w:r>
      <w:r>
        <w:rPr>
          <w:rFonts w:ascii="仿宋" w:eastAsia="仿宋" w:cs="仿宋" w:hAnsi="仿宋" w:hint="eastAsia"/>
          <w:bCs/>
          <w:sz w:val="32"/>
          <w:szCs w:val="32"/>
          <w:lang w:val="en-US" w:eastAsia="zh-CN"/>
        </w:rPr>
        <w:t>占0%；其他资金0万元，占0%；上年结转0万元，占0%。</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三、部门预算支出情况说明</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赤壁市供销合作社联合社2024年支出预算364.84万元，其中:基本支出283.54万元，占77.72%；项目支出81.3万元，占22.28%。</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四、预算收支增减变化情况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赤壁市供销合作社联合社2024年收入预算总额为364.84万元，比上年</w:t>
      </w:r>
      <w:r>
        <w:rPr>
          <w:rFonts w:ascii="仿宋" w:eastAsia="仿宋" w:cs="仿宋" w:hAnsi="仿宋" w:hint="eastAsia"/>
          <w:bCs/>
          <w:sz w:val="32"/>
          <w:szCs w:val="32"/>
          <w:lang w:eastAsia="zh-CN"/>
        </w:rPr>
        <w:t>减少</w:t>
      </w:r>
      <w:r>
        <w:rPr>
          <w:rFonts w:ascii="仿宋" w:eastAsia="仿宋" w:cs="仿宋" w:hAnsi="仿宋" w:hint="eastAsia"/>
          <w:bCs/>
          <w:sz w:val="32"/>
          <w:szCs w:val="32"/>
          <w:lang w:val="en-US" w:eastAsia="zh-CN"/>
        </w:rPr>
        <w:t>3.13万元,</w:t>
      </w:r>
      <w:r>
        <w:rPr>
          <w:rFonts w:ascii="仿宋" w:eastAsia="仿宋" w:cs="仿宋" w:hAnsi="仿宋" w:hint="eastAsia"/>
          <w:bCs/>
          <w:sz w:val="32"/>
          <w:szCs w:val="32"/>
          <w:lang w:eastAsia="zh-CN"/>
        </w:rPr>
        <w:t>减少</w:t>
      </w:r>
      <w:r>
        <w:rPr>
          <w:rFonts w:ascii="仿宋" w:eastAsia="仿宋" w:cs="仿宋" w:hAnsi="仿宋" w:hint="eastAsia"/>
          <w:bCs/>
          <w:sz w:val="32"/>
          <w:szCs w:val="32"/>
          <w:lang w:val="en-US" w:eastAsia="zh-CN"/>
        </w:rPr>
        <w:t>0.86%，其中：财政拨款收入364.84万元（含非税收入60万元），政府性基金预算收入0万元，专户管理的事业收入0万元，其他资金   0万元，上年结转0万元。</w:t>
      </w:r>
      <w:r>
        <w:rPr>
          <w:rFonts w:ascii="仿宋" w:eastAsia="仿宋" w:cs="仿宋" w:hAnsi="仿宋" w:hint="eastAsia"/>
          <w:bCs/>
          <w:sz w:val="32"/>
          <w:szCs w:val="32"/>
          <w:lang w:eastAsia="zh-CN"/>
        </w:rPr>
        <w:t>减少</w:t>
      </w:r>
      <w:r>
        <w:rPr>
          <w:rFonts w:ascii="仿宋" w:eastAsia="仿宋" w:cs="仿宋" w:hAnsi="仿宋" w:hint="eastAsia"/>
          <w:bCs/>
          <w:sz w:val="32"/>
          <w:szCs w:val="32"/>
          <w:lang w:val="en-US" w:eastAsia="zh-CN"/>
        </w:rPr>
        <w:t>主要原因：一是压缩项目资金等变化因素。</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赤壁市供销合作社联合社2024年支出预算总额为364.84万元，比上年</w:t>
      </w:r>
      <w:r>
        <w:rPr>
          <w:rFonts w:ascii="仿宋" w:eastAsia="仿宋" w:cs="仿宋" w:hAnsi="仿宋" w:hint="eastAsia"/>
          <w:bCs/>
          <w:sz w:val="32"/>
          <w:szCs w:val="32"/>
          <w:lang w:eastAsia="zh-CN"/>
        </w:rPr>
        <w:t>减少</w:t>
      </w:r>
      <w:r>
        <w:rPr>
          <w:rFonts w:ascii="仿宋" w:eastAsia="仿宋" w:cs="仿宋" w:hAnsi="仿宋" w:hint="eastAsia"/>
          <w:bCs/>
          <w:sz w:val="32"/>
          <w:szCs w:val="32"/>
          <w:lang w:val="en-US" w:eastAsia="zh-CN"/>
        </w:rPr>
        <w:t>3.13万元,</w:t>
      </w:r>
      <w:r>
        <w:rPr>
          <w:rFonts w:ascii="仿宋" w:eastAsia="仿宋" w:cs="仿宋" w:hAnsi="仿宋" w:hint="eastAsia"/>
          <w:bCs/>
          <w:sz w:val="32"/>
          <w:szCs w:val="32"/>
          <w:lang w:eastAsia="zh-CN"/>
        </w:rPr>
        <w:t>减少</w:t>
      </w:r>
      <w:r>
        <w:rPr>
          <w:rFonts w:ascii="仿宋" w:eastAsia="仿宋" w:cs="仿宋" w:hAnsi="仿宋" w:hint="eastAsia"/>
          <w:bCs/>
          <w:sz w:val="32"/>
          <w:szCs w:val="32"/>
          <w:lang w:val="en-US" w:eastAsia="zh-CN"/>
        </w:rPr>
        <w:t>0.86%%，其中：基本支出283.54万元；项目支出81.3万元。</w:t>
      </w:r>
      <w:r>
        <w:rPr>
          <w:rFonts w:ascii="仿宋" w:eastAsia="仿宋" w:cs="仿宋" w:hAnsi="仿宋" w:hint="eastAsia"/>
          <w:bCs/>
          <w:sz w:val="32"/>
          <w:szCs w:val="32"/>
          <w:lang w:eastAsia="zh-CN"/>
        </w:rPr>
        <w:t>减少</w:t>
      </w:r>
      <w:r>
        <w:rPr>
          <w:rFonts w:ascii="仿宋" w:eastAsia="仿宋" w:cs="仿宋" w:hAnsi="仿宋" w:hint="eastAsia"/>
          <w:bCs/>
          <w:sz w:val="32"/>
          <w:szCs w:val="32"/>
          <w:lang w:val="en-US" w:eastAsia="zh-CN"/>
        </w:rPr>
        <w:t>主要原因：一是压缩项目资金等变化因素。</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五、政府性基金预算支出情况说明</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赤壁市供销合作社联合社2024年无政府性基金预算支出。</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六、国有资本经营预算支出情况说明</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赤壁市供销合作社联合社2024年无国有资本经营预算支出。</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七、“三公”经费、会议费、培训费支出预算情况说明</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本预算反映部门年度“三公”经费预算情况。赤壁市供销合作社联合社本年“三公”经费预算支出中，因公出国（境）费支出0万元，占“三公”经费的0%；公务用车购置及运行维护费支出0万元，占“三公”经费的0%；公务接待费支出  2.42万元，占“三公”经费的100%。具体情况如下：</w:t>
      </w:r>
    </w:p>
    <w:p>
      <w:pPr>
        <w:keepNext w:val="0"/>
        <w:keepLines w:val="0"/>
        <w:pageBreakBefore w:val="0"/>
        <w:numPr>
          <w:ilvl w:val="0"/>
          <w:numId w:val="3"/>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因公出国（境）费预算支出0万元，比上年预算增加（减少）0万元，主要原因是我单位无因公出国（境）需要。</w:t>
      </w:r>
    </w:p>
    <w:p>
      <w:pPr>
        <w:keepNext w:val="0"/>
        <w:keepLines w:val="0"/>
        <w:pageBreakBefore w:val="0"/>
        <w:numPr>
          <w:ilvl w:val="0"/>
          <w:numId w:val="3"/>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公务用车购置及运行维护费预算支出0万元，比上年预算增加（减少）0万元。其中：</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（1）公务用车购置费预算支出0万元，比上年预算增加（减少）0万元，主要原因是我单位无公务车辆。</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（2）公务用车运行维护费预算支出0万元，与上年度增加（减少）0万元。</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3．公务接待费预算支出2.42万元，与上年度增加（减少）0万元。</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bCs/>
          <w:sz w:val="32"/>
          <w:szCs w:val="32"/>
          <w:lang w:val="en-US" w:eastAsia="zh-CN"/>
        </w:rPr>
      </w:pPr>
      <w:r>
        <w:rPr>
          <w:rFonts w:ascii="仿宋" w:eastAsia="仿宋" w:cs="仿宋" w:hAnsi="仿宋" w:hint="eastAsia"/>
          <w:bCs/>
          <w:sz w:val="32"/>
          <w:szCs w:val="32"/>
          <w:lang w:val="en-US" w:eastAsia="zh-CN"/>
        </w:rPr>
        <w:t>赤壁市供销合作社联合社2024年度一般公共预算拨款安排的会议费预算支出0.36万元，比上年预算增加（减少）   0万元，主要原因是根据本年工作安排，无其他特殊原因变动，该金额应该的足够的。</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赤壁市供销合作社联合社2024年度一般公共预算拨款安排的培训费预算支出0.39万元，比上年预算增加0.39   万元，主要原因是根据去年的培训情况，已经今年的培训计划来看，我社还是需要下达培训费。</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Cs/>
          <w:color w:val="auto"/>
          <w:szCs w:val="32"/>
        </w:rPr>
      </w:pPr>
      <w:r>
        <w:rPr>
          <w:rFonts w:ascii="黑体" w:eastAsia="黑体" w:cs="黑体" w:hAnsi="黑体" w:hint="eastAsia"/>
          <w:b/>
          <w:bCs w:val="0"/>
          <w:kern w:val="2"/>
          <w:sz w:val="32"/>
          <w:szCs w:val="32"/>
          <w:lang w:val="en-US" w:eastAsia="zh-CN"/>
        </w:rPr>
        <w:t>八、机关运行经费安排情况说明</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 w:eastAsia="仿宋" w:cs="仿宋" w:hAnsi="仿宋"/>
          <w:bCs/>
          <w:sz w:val="32"/>
          <w:szCs w:val="32"/>
          <w:lang w:val="en-US" w:eastAsia="zh-CN"/>
        </w:rPr>
      </w:pPr>
      <w:r>
        <w:rPr>
          <w:rFonts w:ascii="仿宋" w:eastAsia="仿宋" w:cs="仿宋" w:hAnsi="仿宋" w:hint="eastAsia"/>
          <w:bCs/>
          <w:sz w:val="32"/>
          <w:szCs w:val="32"/>
          <w:lang w:val="en-US" w:eastAsia="zh-CN"/>
        </w:rPr>
        <w:t>赤壁市供销合作社联合社2024年机关运行经费预算   24.99万元，其中：办公费0.96万元、印刷费0.13万元、水电费0.7万元、邮电费3万元、差旅费1万元、因公出国(境)费用0万元、维修(护)费0.28万元、会议费0.36万元、培训费0.39万元、公务接待费0.17万元、委托业务费0.56万元、工会会费2.64万元、福利费2.33万元、公务用车运行维护费0万元、其他交通费用11.87万元、其他商品和服务支出0.6万元、办公设备购置费0万元。占预算总额的6.85%，比上年增加1.24万元,增加4.96%。增加原因：与去年相比我单位今年多一名在职人员，故核定的运行经费多一人的费用。</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val="0"/>
          <w:kern w:val="2"/>
          <w:sz w:val="32"/>
          <w:szCs w:val="32"/>
          <w:lang w:val="en-US" w:eastAsia="zh-CN"/>
        </w:rPr>
      </w:pPr>
      <w:r>
        <w:rPr>
          <w:rFonts w:ascii="黑体" w:eastAsia="黑体" w:cs="黑体" w:hAnsi="黑体" w:hint="eastAsia"/>
          <w:b/>
          <w:bCs w:val="0"/>
          <w:kern w:val="2"/>
          <w:sz w:val="32"/>
          <w:szCs w:val="32"/>
          <w:lang w:val="en-US" w:eastAsia="zh-CN"/>
        </w:rPr>
        <w:t>九、政府采购安排情况说明</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eastAsia="zh-CN"/>
        </w:rPr>
      </w:pPr>
      <w:r>
        <w:rPr>
          <w:rFonts w:ascii="仿宋" w:eastAsia="仿宋" w:cs="仿宋" w:hAnsi="仿宋" w:hint="eastAsia"/>
          <w:bCs/>
          <w:sz w:val="32"/>
          <w:szCs w:val="32"/>
          <w:lang w:val="en-US" w:eastAsia="zh-CN"/>
        </w:rPr>
        <w:t>赤壁市供销合作社联合社</w:t>
      </w:r>
      <w:r>
        <w:rPr>
          <w:rFonts w:ascii="仿宋" w:eastAsia="仿宋" w:cs="仿宋" w:hAnsi="仿宋" w:hint="eastAsia"/>
          <w:bCs/>
          <w:sz w:val="32"/>
          <w:szCs w:val="32"/>
          <w:lang w:eastAsia="zh-CN"/>
        </w:rPr>
        <w:t>2024年政府采购预算</w:t>
      </w:r>
      <w:r>
        <w:rPr>
          <w:rFonts w:ascii="仿宋" w:eastAsia="仿宋" w:cs="仿宋" w:hAnsi="仿宋" w:hint="eastAsia"/>
          <w:bCs/>
          <w:sz w:val="32"/>
          <w:szCs w:val="32"/>
          <w:lang w:val="en-US" w:eastAsia="zh-CN"/>
        </w:rPr>
        <w:t>3.65</w:t>
      </w:r>
      <w:r>
        <w:rPr>
          <w:rFonts w:ascii="仿宋" w:eastAsia="仿宋" w:cs="仿宋" w:hAnsi="仿宋" w:hint="eastAsia"/>
          <w:bCs/>
          <w:sz w:val="32"/>
          <w:szCs w:val="32"/>
          <w:lang w:eastAsia="zh-CN"/>
        </w:rPr>
        <w:t>万元，其中货物类采购预算</w:t>
      </w:r>
      <w:r>
        <w:rPr>
          <w:rFonts w:ascii="仿宋" w:eastAsia="仿宋" w:cs="仿宋" w:hAnsi="仿宋" w:hint="eastAsia"/>
          <w:bCs/>
          <w:sz w:val="32"/>
          <w:szCs w:val="32"/>
          <w:lang w:val="en-US" w:eastAsia="zh-CN"/>
        </w:rPr>
        <w:t>3.65</w:t>
      </w:r>
      <w:r>
        <w:rPr>
          <w:rFonts w:ascii="仿宋" w:eastAsia="仿宋" w:cs="仿宋" w:hAnsi="仿宋" w:hint="eastAsia"/>
          <w:bCs/>
          <w:sz w:val="32"/>
          <w:szCs w:val="32"/>
          <w:lang w:eastAsia="zh-CN"/>
        </w:rPr>
        <w:t>万元，工程类采购预算</w:t>
      </w:r>
      <w:r>
        <w:rPr>
          <w:rFonts w:ascii="仿宋" w:eastAsia="仿宋" w:cs="仿宋" w:hAnsi="仿宋" w:hint="eastAsia"/>
          <w:bCs/>
          <w:sz w:val="32"/>
          <w:szCs w:val="32"/>
          <w:lang w:val="en-US" w:eastAsia="zh-CN"/>
        </w:rPr>
        <w:t>0</w:t>
      </w:r>
      <w:r>
        <w:rPr>
          <w:rFonts w:ascii="仿宋" w:eastAsia="仿宋" w:cs="仿宋" w:hAnsi="仿宋" w:hint="eastAsia"/>
          <w:bCs/>
          <w:sz w:val="32"/>
          <w:szCs w:val="32"/>
          <w:lang w:eastAsia="zh-CN"/>
        </w:rPr>
        <w:t>万元，服务类采购预算</w:t>
      </w:r>
      <w:r>
        <w:rPr>
          <w:rFonts w:ascii="仿宋" w:eastAsia="仿宋" w:cs="仿宋" w:hAnsi="仿宋" w:hint="eastAsia"/>
          <w:bCs/>
          <w:sz w:val="32"/>
          <w:szCs w:val="32"/>
          <w:lang w:val="en-US" w:eastAsia="zh-CN"/>
        </w:rPr>
        <w:t>0</w:t>
      </w:r>
      <w:r>
        <w:rPr>
          <w:rFonts w:ascii="仿宋" w:eastAsia="仿宋" w:cs="仿宋" w:hAnsi="仿宋" w:hint="eastAsia"/>
          <w:bCs/>
          <w:sz w:val="32"/>
          <w:szCs w:val="32"/>
          <w:lang w:eastAsia="zh-CN"/>
        </w:rPr>
        <w:t>万元。比上年</w:t>
      </w:r>
      <w:r>
        <w:rPr>
          <w:rFonts w:ascii="仿宋" w:eastAsia="仿宋" w:cs="仿宋" w:hAnsi="仿宋" w:hint="eastAsia"/>
          <w:bCs/>
          <w:sz w:val="32"/>
          <w:szCs w:val="32"/>
          <w:lang w:val="en-US" w:eastAsia="zh-CN"/>
        </w:rPr>
        <w:t>减少6.55</w:t>
      </w:r>
      <w:r>
        <w:rPr>
          <w:rFonts w:ascii="仿宋" w:eastAsia="仿宋" w:cs="仿宋" w:hAnsi="仿宋" w:hint="eastAsia"/>
          <w:bCs/>
          <w:sz w:val="32"/>
          <w:szCs w:val="32"/>
          <w:lang w:eastAsia="zh-CN"/>
        </w:rPr>
        <w:t>万元,</w:t>
      </w:r>
      <w:r>
        <w:rPr>
          <w:rFonts w:ascii="仿宋" w:eastAsia="仿宋" w:cs="仿宋" w:hAnsi="仿宋" w:hint="eastAsia"/>
          <w:bCs/>
          <w:sz w:val="32"/>
          <w:szCs w:val="32"/>
          <w:lang w:val="en-US" w:eastAsia="zh-CN"/>
        </w:rPr>
        <w:t>减少35.78</w:t>
      </w:r>
      <w:r>
        <w:rPr>
          <w:rFonts w:ascii="仿宋" w:eastAsia="仿宋" w:cs="仿宋" w:hAnsi="仿宋" w:hint="eastAsia"/>
          <w:bCs/>
          <w:sz w:val="32"/>
          <w:szCs w:val="32"/>
          <w:lang w:eastAsia="zh-CN"/>
        </w:rPr>
        <w:t>%。</w:t>
      </w:r>
      <w:r>
        <w:rPr>
          <w:rFonts w:ascii="仿宋" w:eastAsia="仿宋" w:cs="仿宋" w:hAnsi="仿宋" w:hint="eastAsia"/>
          <w:bCs/>
          <w:sz w:val="32"/>
          <w:szCs w:val="32"/>
          <w:lang w:val="en-US" w:eastAsia="zh-CN"/>
        </w:rPr>
        <w:t>减少</w:t>
      </w:r>
      <w:r>
        <w:rPr>
          <w:rFonts w:ascii="仿宋" w:eastAsia="仿宋" w:cs="仿宋" w:hAnsi="仿宋" w:hint="eastAsia"/>
          <w:bCs/>
          <w:sz w:val="32"/>
          <w:szCs w:val="32"/>
          <w:lang w:eastAsia="zh-CN"/>
        </w:rPr>
        <w:t>原因：本着勤俭节约的原则，能不购买的电子产品尽量先不购买。</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val="0"/>
          <w:kern w:val="2"/>
          <w:sz w:val="32"/>
          <w:szCs w:val="32"/>
          <w:lang w:val="en-US" w:eastAsia="zh-CN"/>
        </w:rPr>
      </w:pPr>
      <w:r>
        <w:rPr>
          <w:rFonts w:ascii="黑体" w:eastAsia="黑体" w:cs="黑体" w:hAnsi="黑体" w:hint="eastAsia"/>
          <w:b/>
          <w:bCs w:val="0"/>
          <w:kern w:val="2"/>
          <w:sz w:val="32"/>
          <w:szCs w:val="32"/>
          <w:lang w:val="en-US" w:eastAsia="zh-CN"/>
        </w:rPr>
        <w:t>十、国有资产占用情况说明</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cs="仿宋_GB2312" w:hAnsi="仿宋_GB2312" w:hint="eastAsia"/>
          <w:color w:val="auto"/>
          <w:szCs w:val="32"/>
          <w:lang w:eastAsia="zh-CN"/>
        </w:rPr>
      </w:pPr>
      <w:r>
        <w:rPr>
          <w:rFonts w:ascii="仿宋" w:eastAsia="仿宋" w:cs="仿宋" w:hAnsi="仿宋" w:hint="eastAsia"/>
          <w:bCs/>
          <w:sz w:val="32"/>
          <w:szCs w:val="32"/>
          <w:lang w:val="en-US" w:eastAsia="zh-CN"/>
        </w:rPr>
        <w:t>赤壁市供销合作社联合社2024年管理、维护、使用房屋建筑面积合计300平方米，其中：办公用房300平方米，专用房屋0平方米。部门机动车辆（实有数）0辆，其中：保留公务用车0辆，执法执勤用车0辆，特种专业技术用车0辆。单位价值50万元以上通用设备0台（套），单价100万元以上专用设备0台（套）。增减变化情况：无</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val="0"/>
          <w:kern w:val="2"/>
          <w:sz w:val="32"/>
          <w:szCs w:val="32"/>
          <w:lang w:val="en-US" w:eastAsia="zh-CN"/>
        </w:rPr>
      </w:pPr>
      <w:r>
        <w:rPr>
          <w:rFonts w:ascii="黑体" w:eastAsia="黑体" w:cs="黑体" w:hAnsi="黑体" w:hint="eastAsia"/>
          <w:b/>
          <w:bCs w:val="0"/>
          <w:kern w:val="2"/>
          <w:sz w:val="32"/>
          <w:szCs w:val="32"/>
          <w:lang w:val="en-US" w:eastAsia="zh-CN"/>
        </w:rPr>
        <w:t>十一、绩效目标设置情况说明</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赤壁市供销合作社联合社2024年共1个项目实行绩效目标管理，涉及财政性资金合计50万元。</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部门预算绩效开展情况：根据预算绩效管理要求，我单位对本年度本部门整体支出和为农服务工作经费开展了绩效评价。</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仿宋_GB2312" w:cs="仿宋_GB2312" w:hAnsi="仿宋_GB2312" w:hint="eastAsia"/>
          <w:color w:val="auto"/>
          <w:kern w:val="2"/>
          <w:sz w:val="32"/>
          <w:szCs w:val="32"/>
          <w:lang w:val="en-US" w:eastAsia="zh-CN"/>
        </w:rPr>
      </w:pPr>
      <w:r>
        <w:rPr>
          <w:rFonts w:ascii="仿宋" w:eastAsia="仿宋" w:cs="仿宋" w:hAnsi="仿宋" w:hint="eastAsia"/>
          <w:bCs/>
          <w:sz w:val="32"/>
          <w:szCs w:val="32"/>
          <w:lang w:val="en-US" w:eastAsia="zh-CN"/>
        </w:rPr>
        <w:t>重点项目预算的绩效目标: 为农服务工作经费50万元，其中：三社一院建设经费20万元、农资储备与保供30万元。主要一是用于对三社一院的建设和升级改造；二是用于农资储备资金补贴。</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val="0"/>
          <w:kern w:val="2"/>
          <w:sz w:val="32"/>
          <w:szCs w:val="32"/>
          <w:lang w:val="en-US" w:eastAsia="zh-CN"/>
        </w:rPr>
      </w:pPr>
      <w:r>
        <w:rPr>
          <w:rFonts w:ascii="黑体" w:eastAsia="黑体" w:cs="黑体" w:hAnsi="黑体" w:hint="eastAsia"/>
          <w:b/>
          <w:bCs w:val="0"/>
          <w:kern w:val="2"/>
          <w:sz w:val="32"/>
          <w:szCs w:val="32"/>
          <w:lang w:val="en-US" w:eastAsia="zh-CN"/>
        </w:rPr>
        <w:t>十二、政府购买服务情况说明</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color w:val="auto"/>
          <w:szCs w:val="32"/>
          <w:lang w:eastAsia="zh-CN"/>
        </w:rPr>
      </w:pPr>
      <w:r>
        <w:rPr>
          <w:rFonts w:ascii="仿宋" w:eastAsia="仿宋" w:cs="仿宋" w:hAnsi="仿宋" w:hint="eastAsia"/>
          <w:color w:val="auto"/>
          <w:szCs w:val="32"/>
        </w:rPr>
        <w:t>根据现行政府购买服务指导目录，</w:t>
      </w:r>
      <w:r>
        <w:rPr>
          <w:rFonts w:ascii="仿宋" w:eastAsia="仿宋" w:cs="仿宋" w:hAnsi="仿宋" w:hint="eastAsia"/>
          <w:bCs/>
          <w:sz w:val="32"/>
          <w:szCs w:val="32"/>
          <w:lang w:val="en-US" w:eastAsia="zh-CN"/>
        </w:rPr>
        <w:t>赤壁市供销合作社联合社2024年</w:t>
      </w:r>
      <w:r>
        <w:rPr>
          <w:rFonts w:ascii="仿宋" w:eastAsia="仿宋" w:cs="仿宋" w:hAnsi="仿宋" w:hint="eastAsia"/>
          <w:color w:val="auto"/>
          <w:szCs w:val="32"/>
        </w:rPr>
        <w:t>政府购买服务支出合计</w:t>
      </w:r>
      <w:r>
        <w:rPr>
          <w:rFonts w:ascii="仿宋" w:eastAsia="仿宋" w:cs="仿宋" w:hAnsi="仿宋" w:hint="eastAsia"/>
          <w:color w:val="auto"/>
          <w:szCs w:val="32"/>
          <w:lang w:val="en-US" w:eastAsia="zh-CN"/>
        </w:rPr>
        <w:t>0</w:t>
      </w:r>
      <w:r>
        <w:rPr>
          <w:rFonts w:ascii="仿宋" w:eastAsia="仿宋" w:cs="仿宋" w:hAnsi="仿宋" w:hint="eastAsia"/>
          <w:color w:val="auto"/>
          <w:szCs w:val="32"/>
        </w:rPr>
        <w:t>万元，购买的服务内容主要有：</w:t>
      </w:r>
      <w:r>
        <w:rPr>
          <w:rFonts w:ascii="仿宋" w:eastAsia="仿宋" w:cs="仿宋" w:hAnsi="仿宋" w:hint="eastAsia"/>
          <w:color w:val="auto"/>
          <w:szCs w:val="32"/>
          <w:lang w:eastAsia="zh-CN"/>
        </w:rPr>
        <w:t>无</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val="0"/>
          <w:kern w:val="2"/>
          <w:sz w:val="32"/>
          <w:szCs w:val="32"/>
          <w:lang w:val="en-US" w:eastAsia="zh-CN"/>
        </w:rPr>
      </w:pPr>
      <w:r>
        <w:rPr>
          <w:rFonts w:ascii="黑体" w:eastAsia="黑体" w:cs="黑体" w:hAnsi="黑体" w:hint="eastAsia"/>
          <w:b/>
          <w:bCs w:val="0"/>
          <w:kern w:val="2"/>
          <w:sz w:val="32"/>
          <w:szCs w:val="32"/>
          <w:lang w:val="en-US" w:eastAsia="zh-CN"/>
        </w:rPr>
        <w:t>十三、政府债务情况说明</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cs="仿宋_GB2312" w:hAnsi="仿宋_GB2312" w:hint="eastAsia"/>
          <w:color w:val="auto"/>
          <w:szCs w:val="32"/>
          <w:lang w:eastAsia="zh-CN"/>
        </w:rPr>
      </w:pPr>
      <w:r>
        <w:rPr>
          <w:rFonts w:ascii="仿宋" w:eastAsia="仿宋" w:cs="仿宋" w:hAnsi="仿宋" w:hint="eastAsia"/>
          <w:bCs/>
          <w:sz w:val="32"/>
          <w:szCs w:val="32"/>
          <w:lang w:val="en-US" w:eastAsia="zh-CN"/>
        </w:rPr>
        <w:t>赤壁市供销合作社联合社2024年无新增</w:t>
      </w:r>
      <w:r>
        <w:rPr>
          <w:rFonts w:ascii="仿宋" w:eastAsia="仿宋" w:cs="仿宋" w:hAnsi="仿宋" w:hint="eastAsia"/>
          <w:color w:val="auto"/>
          <w:szCs w:val="32"/>
        </w:rPr>
        <w:t>政府债务情况</w:t>
      </w:r>
      <w:r>
        <w:rPr>
          <w:rFonts w:ascii="仿宋" w:eastAsia="仿宋" w:cs="仿宋" w:hAnsi="仿宋" w:hint="eastAsia"/>
          <w:color w:val="auto"/>
          <w:szCs w:val="32"/>
          <w:lang w:eastAsia="zh-CN"/>
        </w:rPr>
        <w:t>。</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cs="仿宋_GB2312" w:hAnsi="仿宋_GB2312" w:hint="eastAsia"/>
          <w:color w:val="auto"/>
          <w:szCs w:val="32"/>
          <w:lang w:eastAsia="zh-CN"/>
        </w:rPr>
      </w:pPr>
    </w:p>
    <w:p>
      <w:pPr>
        <w:pStyle w:val="15"/>
        <w:keepNext w:val="0"/>
        <w:keepLines w:val="0"/>
        <w:pageBreakBefore w:val="0"/>
        <w:tabs>
          <w:tab w:val="left" w:pos="7920"/>
        </w:tabs>
        <w:kinsoku/>
        <w:wordWrap/>
        <w:overflowPunct/>
        <w:topLinePunct w:val="0"/>
        <w:autoSpaceDE/>
        <w:autoSpaceDN/>
        <w:bidi w:val="0"/>
        <w:adjustRightInd/>
        <w:snapToGrid/>
        <w:spacing w:line="560" w:lineRule="exact"/>
        <w:ind w:left="0" w:firstLine="0"/>
        <w:jc w:val="center"/>
        <w:textAlignment w:val="auto"/>
        <w:rPr>
          <w:rFonts w:ascii="黑体" w:eastAsia="黑体" w:cs="黑体" w:hAnsi="黑体" w:hint="eastAsia"/>
          <w:b/>
          <w:bCs/>
          <w:szCs w:val="32"/>
          <w:lang w:eastAsia="zh-CN"/>
        </w:rPr>
      </w:pPr>
      <w:r>
        <w:rPr>
          <w:rFonts w:ascii="黑体" w:eastAsia="黑体" w:cs="黑体" w:hAnsi="黑体" w:hint="eastAsia"/>
          <w:b/>
          <w:bCs/>
          <w:szCs w:val="32"/>
          <w:lang w:eastAsia="zh-CN"/>
        </w:rPr>
        <w:t>第三部分</w:t>
      </w:r>
      <w:r>
        <w:rPr>
          <w:rFonts w:ascii="黑体" w:eastAsia="黑体" w:cs="黑体" w:hAnsi="黑体" w:hint="eastAsia"/>
          <w:b/>
          <w:bCs/>
          <w:szCs w:val="32"/>
          <w:lang w:val="en-US" w:eastAsia="zh-CN"/>
        </w:rPr>
        <w:t xml:space="preserve">  </w:t>
      </w:r>
      <w:r>
        <w:rPr>
          <w:rFonts w:ascii="黑体" w:eastAsia="黑体" w:cs="黑体" w:hAnsi="黑体" w:hint="eastAsia"/>
          <w:b/>
          <w:bCs/>
          <w:szCs w:val="32"/>
          <w:lang w:eastAsia="zh-CN"/>
        </w:rPr>
        <w:t>名词解释</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楷体_GB2312" w:eastAsia="楷体_GB2312" w:cs="楷体_GB2312" w:hAnsi="楷体_GB2312" w:hint="eastAsia"/>
          <w:b/>
          <w:bCs/>
          <w:szCs w:val="32"/>
          <w:lang w:eastAsia="zh-CN"/>
        </w:rPr>
      </w:pP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（一）财政拨款收入：</w:t>
      </w:r>
      <w:r>
        <w:rPr>
          <w:rFonts w:ascii="仿宋_GB2312" w:cs="仿宋_GB2312" w:hAnsi="仿宋_GB2312" w:hint="eastAsia"/>
          <w:szCs w:val="32"/>
          <w:lang w:eastAsia="zh-CN"/>
        </w:rPr>
        <w:t>指市本级财政当年拨付的资金。</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（二）上级补助收入：</w:t>
      </w:r>
      <w:r>
        <w:rPr>
          <w:rFonts w:ascii="仿宋_GB2312" w:cs="仿宋_GB2312" w:hAnsi="仿宋_GB2312" w:hint="eastAsia"/>
          <w:szCs w:val="32"/>
          <w:lang w:eastAsia="zh-CN"/>
        </w:rPr>
        <w:t>指除上述“财政拨款收入”等以外的上级财政部门交办任务相应安排的资金。</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（三）基本支出：</w:t>
      </w:r>
      <w:r>
        <w:rPr>
          <w:rFonts w:ascii="仿宋_GB2312" w:cs="仿宋_GB2312" w:hAnsi="仿宋_GB2312" w:hint="eastAsia"/>
          <w:szCs w:val="32"/>
          <w:lang w:eastAsia="zh-CN"/>
        </w:rPr>
        <w:t>指为保障机构正常运转、完成日常工作任务而发生的人员支出（包括基本工资、津贴补贴等）和公用支出（包括办公费、水电费、邮电费、交通费、会议费、差旅费等）。</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（四）项目支出：</w:t>
      </w:r>
      <w:r>
        <w:rPr>
          <w:rFonts w:ascii="仿宋_GB2312" w:cs="仿宋_GB2312" w:hAnsi="仿宋_GB2312" w:hint="eastAsia"/>
          <w:szCs w:val="32"/>
          <w:lang w:eastAsia="zh-CN"/>
        </w:rPr>
        <w:t>指在基本支出之外为完成特定行政任务和事业发展目标所发生的支出。</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（五）“三公”经费：</w:t>
      </w:r>
      <w:r>
        <w:rPr>
          <w:rFonts w:ascii="仿宋_GB2312" w:cs="仿宋_GB2312" w:hAnsi="仿宋_GB2312" w:hint="eastAsia"/>
          <w:szCs w:val="32"/>
          <w:lang w:eastAsia="zh-CN"/>
        </w:rPr>
        <w:t>按照有关规定，“三公”经费包括因公出国（境）费用、公务接待费、公务用车购置费及运行费。</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仿宋_GB2312" w:cs="仿宋_GB2312" w:hAnsi="仿宋_GB2312" w:hint="eastAsia"/>
          <w:szCs w:val="32"/>
          <w:lang w:val="en-US" w:eastAsia="zh-CN"/>
        </w:rPr>
        <w:t>1.</w:t>
      </w:r>
      <w:r>
        <w:rPr>
          <w:rFonts w:ascii="仿宋_GB2312" w:cs="仿宋_GB2312" w:hAnsi="仿宋_GB2312" w:hint="eastAsia"/>
          <w:szCs w:val="32"/>
          <w:lang w:eastAsia="zh-CN"/>
        </w:rPr>
        <w:t>因公出国(境)费：反映公务出国（境）的住宿费、旅费、伙食补助费、杂费、培训费等支出。</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仿宋_GB2312" w:cs="仿宋_GB2312" w:hAnsi="仿宋_GB2312" w:hint="eastAsia"/>
          <w:szCs w:val="32"/>
          <w:lang w:val="en-US" w:eastAsia="zh-CN"/>
        </w:rPr>
        <w:t>2.</w:t>
      </w:r>
      <w:r>
        <w:rPr>
          <w:rFonts w:ascii="仿宋_GB2312" w:cs="仿宋_GB2312" w:hAnsi="仿宋_GB2312" w:hint="eastAsia"/>
          <w:szCs w:val="32"/>
          <w:lang w:eastAsia="zh-CN"/>
        </w:rPr>
        <w:t>公务用车购置费及运行费：反映公务用车购置费及租用费、燃料费、维修费、过路过桥费、保险费等支出。</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仿宋_GB2312" w:cs="仿宋_GB2312" w:hAnsi="仿宋_GB2312" w:hint="eastAsia"/>
          <w:szCs w:val="32"/>
          <w:lang w:val="en-US" w:eastAsia="zh-CN"/>
        </w:rPr>
        <w:t>3.</w:t>
      </w:r>
      <w:r>
        <w:rPr>
          <w:rFonts w:ascii="仿宋_GB2312" w:cs="仿宋_GB2312" w:hAnsi="仿宋_GB2312" w:hint="eastAsia"/>
          <w:szCs w:val="32"/>
          <w:lang w:eastAsia="zh-CN"/>
        </w:rPr>
        <w:t>公务接待费：反映按规定开支的各类公务接待支出。</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（六）公务用车：</w:t>
      </w:r>
      <w:r>
        <w:rPr>
          <w:rFonts w:ascii="仿宋_GB2312" w:cs="仿宋_GB2312" w:hAnsi="仿宋_GB2312" w:hint="eastAsia"/>
          <w:szCs w:val="32"/>
          <w:lang w:eastAsia="zh-CN"/>
        </w:rPr>
        <w:t>指单位用于履行公务的车辆，包括领导干部专车、一般公务用车和执法执勤用车。</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（七）机关运行经费：</w:t>
      </w:r>
      <w:r>
        <w:rPr>
          <w:rFonts w:ascii="仿宋_GB2312" w:cs="仿宋_GB2312" w:hAnsi="仿宋_GB2312" w:hint="eastAsia"/>
          <w:szCs w:val="32"/>
          <w:lang w:eastAsia="zh-CN"/>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keepNext w:val="0"/>
        <w:keepLines w:val="0"/>
        <w:pageBreakBefore w:val="0"/>
        <w:tabs>
          <w:tab w:val="left" w:pos="7920"/>
        </w:tabs>
        <w:kinsoku/>
        <w:wordWrap/>
        <w:overflowPunct/>
        <w:topLinePunct w:val="0"/>
        <w:autoSpaceDE/>
        <w:autoSpaceDN/>
        <w:bidi w:val="0"/>
        <w:adjustRightInd/>
        <w:snapToGrid/>
        <w:spacing w:line="560" w:lineRule="exact"/>
        <w:ind w:left="0" w:firstLine="0"/>
        <w:jc w:val="both"/>
        <w:textAlignment w:val="auto"/>
        <w:rPr>
          <w:rFonts w:ascii="黑体" w:eastAsia="黑体" w:cs="黑体" w:hAnsi="黑体" w:hint="eastAsia"/>
          <w:b/>
          <w:bCs/>
          <w:szCs w:val="32"/>
          <w:lang w:eastAsia="zh-CN"/>
        </w:rPr>
      </w:pPr>
    </w:p>
    <w:p>
      <w:pPr>
        <w:pStyle w:val="15"/>
        <w:keepNext w:val="0"/>
        <w:keepLines w:val="0"/>
        <w:pageBreakBefore w:val="0"/>
        <w:tabs>
          <w:tab w:val="left" w:pos="7920"/>
        </w:tabs>
        <w:kinsoku/>
        <w:wordWrap/>
        <w:overflowPunct/>
        <w:topLinePunct w:val="0"/>
        <w:autoSpaceDE/>
        <w:autoSpaceDN/>
        <w:bidi w:val="0"/>
        <w:adjustRightInd/>
        <w:snapToGrid/>
        <w:spacing w:line="560" w:lineRule="exact"/>
        <w:ind w:left="0" w:firstLine="0"/>
        <w:jc w:val="center"/>
        <w:textAlignment w:val="auto"/>
        <w:rPr>
          <w:rFonts w:ascii="黑体" w:eastAsia="黑体" w:cs="黑体" w:hAnsi="黑体" w:hint="eastAsia"/>
          <w:b/>
          <w:bCs/>
          <w:szCs w:val="32"/>
        </w:rPr>
      </w:pPr>
      <w:r>
        <w:rPr>
          <w:rFonts w:ascii="黑体" w:eastAsia="黑体" w:cs="黑体" w:hAnsi="黑体" w:hint="eastAsia"/>
          <w:b/>
          <w:bCs/>
          <w:szCs w:val="32"/>
          <w:lang w:eastAsia="zh-CN"/>
        </w:rPr>
        <w:t>第四部分</w:t>
      </w:r>
      <w:r>
        <w:rPr>
          <w:rFonts w:ascii="黑体" w:eastAsia="黑体" w:cs="黑体" w:hAnsi="黑体" w:hint="eastAsia"/>
          <w:b/>
          <w:bCs/>
          <w:szCs w:val="32"/>
          <w:lang w:val="en-US" w:eastAsia="zh-CN"/>
        </w:rPr>
        <w:t xml:space="preserve">  2024年部门预算表</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eastAsia="仿宋_GB2312" w:cs="仿宋_GB2312" w:hAnsi="仿宋_GB2312" w:hint="eastAsia"/>
          <w:sz w:val="32"/>
          <w:szCs w:val="32"/>
          <w:lang w:val="en-US" w:eastAsia="zh-CN"/>
        </w:rPr>
      </w:pPr>
    </w:p>
    <w:p>
      <w:pPr>
        <w:rPr>
          <w:rFonts w:eastAsia="宋体" w:hint="eastAsia"/>
          <w:lang w:eastAsia="zh-CN"/>
        </w:rPr>
      </w:pPr>
      <w:r>
        <w:rPr>
          <w:rFonts w:eastAsia="宋体" w:hint="eastAsia"/>
          <w:lang w:eastAsia="zh-CN"/>
        </w:rPr>
        <w:drawing>
          <wp:inline distT="0" distB="0" distL="85725" distR="85725">
            <wp:extent cx="4953000" cy="6372225"/>
            <wp:effectExtent l="0" t="0" r="0" b="0"/>
            <wp:docPr id="2" name="图片 1" descr="01部门收支预算总体情况表"/>
            <wp:cNvGraphicFramePr>
              <a:graphicFrameLocks noChangeAspect="1"/>
            </wp:cNvGraphicFramePr>
            <a:graphic>
              <a:graphicData uri="http://schemas.openxmlformats.org/drawingml/2006/picture">
                <pic:pic>
                  <pic:nvPicPr>
                    <pic:cNvPr id="2" name="图片 2"/>
                    <pic:cNvPicPr/>
                  </pic:nvPicPr>
                  <pic:blipFill>
                    <a:blip r:embed="rId2"/>
                    <a:stretch>
                      <a:fillRect/>
                    </a:stretch>
                  </pic:blipFill>
                  <pic:spPr>
                    <a:xfrm rot="0">
                      <a:off x="0" y="0"/>
                      <a:ext cx="4953000" cy="6372225"/>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5274231" cy="3001810"/>
            <wp:effectExtent l="0" t="0" r="0" b="0"/>
            <wp:docPr id="3" name="图片 2" descr="02部门收入预算总表"/>
            <wp:cNvGraphicFramePr>
              <a:graphicFrameLocks noChangeAspect="1"/>
            </wp:cNvGraphicFramePr>
            <a:graphic>
              <a:graphicData uri="http://schemas.openxmlformats.org/drawingml/2006/picture">
                <pic:pic>
                  <pic:nvPicPr>
                    <pic:cNvPr id="4" name="图片 4"/>
                    <pic:cNvPicPr/>
                  </pic:nvPicPr>
                  <pic:blipFill>
                    <a:blip r:embed="rId3"/>
                    <a:stretch>
                      <a:fillRect/>
                    </a:stretch>
                  </pic:blipFill>
                  <pic:spPr>
                    <a:xfrm rot="0">
                      <a:off x="0" y="0"/>
                      <a:ext cx="5274231" cy="3001810"/>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5273011" cy="3875941"/>
            <wp:effectExtent l="0" t="0" r="0" b="0"/>
            <wp:docPr id="4" name="图片 3" descr="03部门支出预算总表"/>
            <wp:cNvGraphicFramePr>
              <a:graphicFrameLocks noChangeAspect="1"/>
            </wp:cNvGraphicFramePr>
            <a:graphic>
              <a:graphicData uri="http://schemas.openxmlformats.org/drawingml/2006/picture">
                <pic:pic>
                  <pic:nvPicPr>
                    <pic:cNvPr id="6" name="图片 6"/>
                    <pic:cNvPicPr/>
                  </pic:nvPicPr>
                  <pic:blipFill>
                    <a:blip r:embed="rId4"/>
                    <a:stretch>
                      <a:fillRect/>
                    </a:stretch>
                  </pic:blipFill>
                  <pic:spPr>
                    <a:xfrm rot="0">
                      <a:off x="0" y="0"/>
                      <a:ext cx="5273011" cy="3875941"/>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4905375" cy="6210300"/>
            <wp:effectExtent l="0" t="0" r="0" b="0"/>
            <wp:docPr id="5" name="图片 4" descr="04财拨收支预算总体情况表"/>
            <wp:cNvGraphicFramePr>
              <a:graphicFrameLocks noChangeAspect="1"/>
            </wp:cNvGraphicFramePr>
            <a:graphic>
              <a:graphicData uri="http://schemas.openxmlformats.org/drawingml/2006/picture">
                <pic:pic>
                  <pic:nvPicPr>
                    <pic:cNvPr id="8" name="图片 8"/>
                    <pic:cNvPicPr/>
                  </pic:nvPicPr>
                  <pic:blipFill>
                    <a:blip r:embed="rId5"/>
                    <a:stretch>
                      <a:fillRect/>
                    </a:stretch>
                  </pic:blipFill>
                  <pic:spPr>
                    <a:xfrm rot="0">
                      <a:off x="0" y="0"/>
                      <a:ext cx="4905375" cy="6210300"/>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5272839" cy="4060669"/>
            <wp:effectExtent l="0" t="0" r="0" b="0"/>
            <wp:docPr id="6" name="图片 5" descr="05一般公共预算支出情况表"/>
            <wp:cNvGraphicFramePr>
              <a:graphicFrameLocks noChangeAspect="1"/>
            </wp:cNvGraphicFramePr>
            <a:graphic>
              <a:graphicData uri="http://schemas.openxmlformats.org/drawingml/2006/picture">
                <pic:pic>
                  <pic:nvPicPr>
                    <pic:cNvPr id="10" name="图片 10"/>
                    <pic:cNvPicPr/>
                  </pic:nvPicPr>
                  <pic:blipFill>
                    <a:blip r:embed="rId6"/>
                    <a:stretch>
                      <a:fillRect/>
                    </a:stretch>
                  </pic:blipFill>
                  <pic:spPr>
                    <a:xfrm rot="0">
                      <a:off x="0" y="0"/>
                      <a:ext cx="5272839" cy="4060669"/>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4810125" cy="6153150"/>
            <wp:effectExtent l="0" t="0" r="0" b="0"/>
            <wp:docPr id="7" name="图片 6" descr="06一般公共预算基本支出情况表"/>
            <wp:cNvGraphicFramePr>
              <a:graphicFrameLocks noChangeAspect="1"/>
            </wp:cNvGraphicFramePr>
            <a:graphic>
              <a:graphicData uri="http://schemas.openxmlformats.org/drawingml/2006/picture">
                <pic:pic>
                  <pic:nvPicPr>
                    <pic:cNvPr id="12" name="图片 12"/>
                    <pic:cNvPicPr/>
                  </pic:nvPicPr>
                  <pic:blipFill>
                    <a:blip r:embed="rId7"/>
                    <a:stretch>
                      <a:fillRect/>
                    </a:stretch>
                  </pic:blipFill>
                  <pic:spPr>
                    <a:xfrm rot="0">
                      <a:off x="0" y="0"/>
                      <a:ext cx="4810125" cy="6153150"/>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5272837" cy="3131724"/>
            <wp:effectExtent l="0" t="0" r="0" b="0"/>
            <wp:docPr id="8" name="图片 7" descr="07一般公共预算“三公”经费情况表"/>
            <wp:cNvGraphicFramePr>
              <a:graphicFrameLocks noChangeAspect="1"/>
            </wp:cNvGraphicFramePr>
            <a:graphic>
              <a:graphicData uri="http://schemas.openxmlformats.org/drawingml/2006/picture">
                <pic:pic>
                  <pic:nvPicPr>
                    <pic:cNvPr id="14" name="图片 14"/>
                    <pic:cNvPicPr/>
                  </pic:nvPicPr>
                  <pic:blipFill>
                    <a:blip r:embed="rId8"/>
                    <a:stretch>
                      <a:fillRect/>
                    </a:stretch>
                  </pic:blipFill>
                  <pic:spPr>
                    <a:xfrm rot="0">
                      <a:off x="0" y="0"/>
                      <a:ext cx="5272837" cy="3131724"/>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5264149" cy="1276325"/>
            <wp:effectExtent l="0" t="0" r="0" b="0"/>
            <wp:docPr id="9" name="图片 8" descr="08政府性基金预算支出情况表"/>
            <wp:cNvGraphicFramePr>
              <a:graphicFrameLocks noChangeAspect="1"/>
            </wp:cNvGraphicFramePr>
            <a:graphic>
              <a:graphicData uri="http://schemas.openxmlformats.org/drawingml/2006/picture">
                <pic:pic>
                  <pic:nvPicPr>
                    <pic:cNvPr id="16" name="图片 16"/>
                    <pic:cNvPicPr/>
                  </pic:nvPicPr>
                  <pic:blipFill>
                    <a:blip r:embed="rId9"/>
                    <a:stretch>
                      <a:fillRect/>
                    </a:stretch>
                  </pic:blipFill>
                  <pic:spPr>
                    <a:xfrm rot="0">
                      <a:off x="0" y="0"/>
                      <a:ext cx="5264149" cy="1276325"/>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5262296" cy="1473819"/>
            <wp:effectExtent l="0" t="0" r="0" b="0"/>
            <wp:docPr id="10" name="图片 9" descr="09国有资本经营预算支出情况表"/>
            <wp:cNvGraphicFramePr>
              <a:graphicFrameLocks noChangeAspect="1"/>
            </wp:cNvGraphicFramePr>
            <a:graphic>
              <a:graphicData uri="http://schemas.openxmlformats.org/drawingml/2006/picture">
                <pic:pic>
                  <pic:nvPicPr>
                    <pic:cNvPr id="18" name="图片 18"/>
                    <pic:cNvPicPr/>
                  </pic:nvPicPr>
                  <pic:blipFill>
                    <a:blip r:embed="rId10"/>
                    <a:stretch>
                      <a:fillRect/>
                    </a:stretch>
                  </pic:blipFill>
                  <pic:spPr>
                    <a:xfrm rot="0">
                      <a:off x="0" y="0"/>
                      <a:ext cx="5262296" cy="1473819"/>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5266672" cy="1479461"/>
            <wp:effectExtent l="0" t="0" r="0" b="0"/>
            <wp:docPr id="11" name="图片 10" descr="10政府采购预算表"/>
            <wp:cNvGraphicFramePr>
              <a:graphicFrameLocks noChangeAspect="1"/>
            </wp:cNvGraphicFramePr>
            <a:graphic>
              <a:graphicData uri="http://schemas.openxmlformats.org/drawingml/2006/picture">
                <pic:pic>
                  <pic:nvPicPr>
                    <pic:cNvPr id="20" name="图片 20"/>
                    <pic:cNvPicPr/>
                  </pic:nvPicPr>
                  <pic:blipFill>
                    <a:blip r:embed="rId11"/>
                    <a:stretch>
                      <a:fillRect/>
                    </a:stretch>
                  </pic:blipFill>
                  <pic:spPr>
                    <a:xfrm rot="0">
                      <a:off x="0" y="0"/>
                      <a:ext cx="5266672" cy="1479461"/>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4924425" cy="6305550"/>
            <wp:effectExtent l="0" t="0" r="0" b="0"/>
            <wp:docPr id="12" name="图片 11" descr="11部门整体绩效目标申报表1"/>
            <wp:cNvGraphicFramePr>
              <a:graphicFrameLocks noChangeAspect="1"/>
            </wp:cNvGraphicFramePr>
            <a:graphic>
              <a:graphicData uri="http://schemas.openxmlformats.org/drawingml/2006/picture">
                <pic:pic>
                  <pic:nvPicPr>
                    <pic:cNvPr id="22" name="图片 22"/>
                    <pic:cNvPicPr/>
                  </pic:nvPicPr>
                  <pic:blipFill>
                    <a:blip r:embed="rId12"/>
                    <a:stretch>
                      <a:fillRect/>
                    </a:stretch>
                  </pic:blipFill>
                  <pic:spPr>
                    <a:xfrm rot="0">
                      <a:off x="0" y="0"/>
                      <a:ext cx="4924425" cy="6305550"/>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4667250" cy="6296025"/>
            <wp:effectExtent l="0" t="0" r="0" b="0"/>
            <wp:docPr id="13" name="图片 12" descr="11部门整体绩效目标申报表2"/>
            <wp:cNvGraphicFramePr>
              <a:graphicFrameLocks noChangeAspect="1"/>
            </wp:cNvGraphicFramePr>
            <a:graphic>
              <a:graphicData uri="http://schemas.openxmlformats.org/drawingml/2006/picture">
                <pic:pic>
                  <pic:nvPicPr>
                    <pic:cNvPr id="24" name="图片 24"/>
                    <pic:cNvPicPr/>
                  </pic:nvPicPr>
                  <pic:blipFill>
                    <a:blip r:embed="rId13"/>
                    <a:stretch>
                      <a:fillRect/>
                    </a:stretch>
                  </pic:blipFill>
                  <pic:spPr>
                    <a:xfrm rot="0">
                      <a:off x="0" y="0"/>
                      <a:ext cx="4667250" cy="6296025"/>
                    </a:xfrm>
                    <a:prstGeom prst="rect"/>
                    <a:noFill/>
                    <a:ln w="9525" cmpd="sng" cap="flat">
                      <a:noFill/>
                      <a:prstDash val="solid"/>
                      <a:miter/>
                    </a:ln>
                  </pic:spPr>
                </pic:pic>
              </a:graphicData>
            </a:graphic>
          </wp:inline>
        </w:drawing>
      </w:r>
      <w:r>
        <w:rPr>
          <w:rFonts w:eastAsia="宋体" w:hint="eastAsia"/>
          <w:lang w:eastAsia="zh-CN"/>
        </w:rPr>
        <w:drawing>
          <wp:inline distT="0" distB="0" distL="85725" distR="85725">
            <wp:extent cx="5270287" cy="951290"/>
            <wp:effectExtent l="0" t="0" r="0" b="0"/>
            <wp:docPr id="14" name="图片 13" descr="11部门整体绩效目标申报表3"/>
            <wp:cNvGraphicFramePr>
              <a:graphicFrameLocks noChangeAspect="1"/>
            </wp:cNvGraphicFramePr>
            <a:graphic>
              <a:graphicData uri="http://schemas.openxmlformats.org/drawingml/2006/picture">
                <pic:pic>
                  <pic:nvPicPr>
                    <pic:cNvPr id="26" name="图片 26"/>
                    <pic:cNvPicPr/>
                  </pic:nvPicPr>
                  <pic:blipFill>
                    <a:blip r:embed="rId14"/>
                    <a:stretch>
                      <a:fillRect/>
                    </a:stretch>
                  </pic:blipFill>
                  <pic:spPr>
                    <a:xfrm rot="0">
                      <a:off x="0" y="0"/>
                      <a:ext cx="5270287" cy="951290"/>
                    </a:xfrm>
                    <a:prstGeom prst="rect"/>
                    <a:noFill/>
                    <a:ln w="9525" cmpd="sng" cap="flat">
                      <a:noFill/>
                      <a:prstDash val="solid"/>
                      <a:miter/>
                    </a:ln>
                  </pic:spPr>
                </pic:pic>
              </a:graphicData>
            </a:graphic>
          </wp:inline>
        </w:drawing>
      </w:r>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楷体_GB2312">
    <w:altName w:val="楷体"/>
    <w:panose1 w:val="02010609030101010101"/>
    <w:charset w:val="86"/>
    <w:family w:val="auto"/>
    <w:pitch w:val="variable"/>
    <w:sig w:usb0="00000000" w:usb1="00000000" w:usb2="00000000" w:usb3="00000000" w:csb0="00040000" w:csb1="00000000"/>
  </w:font>
  <w:font w:name="仿宋">
    <w:panose1 w:val="02010609060101010101"/>
    <w:charset w:val="86"/>
    <w:family w:val="auto"/>
    <w:pitch w:val="variable"/>
    <w:sig w:usb0="800002BF" w:usb1="38CF7CFA" w:usb2="00000016" w:usb3="00000000" w:csb0="00040001" w:csb1="00000000"/>
  </w:font>
  <w:font w:name="宋体">
    <w:altName w:val="仿宋"/>
    <w:panose1 w:val="02010600030101010101"/>
    <w:charset w:val="86"/>
    <w:family w:val="auto"/>
    <w:pitch w:val="variable"/>
    <w:sig w:usb0="00000003" w:usb1="288F0000" w:usb2="00000006" w:usb3="00000000" w:csb0="00040001" w:csb1="00000000"/>
  </w:font>
  <w:font w:name="Times New Roman">
    <w:altName w:val="DejaVu Sans"/>
    <w:panose1 w:val="02020603050405020304"/>
    <w:charset w:val="00"/>
    <w:family w:val="auto"/>
    <w:pitch w:val="variable"/>
    <w:sig w:usb0="E0002AFF" w:usb1="C0007841" w:usb2="00000009" w:usb3="00000000" w:csb0="400001FF" w:csb1="FFFF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文泉驿正黑">
    <w:panose1 w:val="02000603000000000000"/>
    <w:charset w:val="86"/>
    <w:family w:val="script"/>
    <w:pitch w:val="variable"/>
    <w:sig w:usb0="900002BF" w:usb1="2BDF7DFB" w:usb2="00000036" w:usb3="00000000" w:csb0="603E000D" w:csb1="D2D7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261CFB5"/>
    <w:multiLevelType w:val="singleLevel"/>
    <w:tmpl w:val="F261CFB5"/>
    <w:lvl w:ilvl="0">
      <w:start w:val="2"/>
      <w:numFmt w:val="chineseCounting"/>
      <w:lvlRestart w:val="0"/>
      <w:suff w:val="nothing"/>
      <w:lvlText w:val="（%1）"/>
      <w:lvlJc w:val="left"/>
      <w:pPr/>
      <w:rPr>
        <w:rFonts w:hint="eastAsia"/>
      </w:rPr>
    </w:lvl>
  </w:abstractNum>
  <w:abstractNum w:abstractNumId="1">
    <w:nsid w:val="9A0116E7"/>
    <w:multiLevelType w:val="singleLevel"/>
    <w:tmpl w:val="9A0116E7"/>
    <w:lvl w:ilvl="0">
      <w:start w:val="1"/>
      <w:numFmt w:val="decimal"/>
      <w:lvlRestart w:val="0"/>
      <w:suff w:val="nothing"/>
      <w:lvlText w:val="%1、"/>
      <w:lvlJc w:val="left"/>
      <w:pPr/>
    </w:lvl>
  </w:abstractNum>
  <w:abstractNum w:abstractNumId="2">
    <w:nsid w:val="00000008"/>
    <w:multiLevelType w:val="singleLevel"/>
    <w:tmpl w:val="00000008"/>
    <w:lvl w:ilvl="0">
      <w:start w:val="1"/>
      <w:numFmt w:val="decimal"/>
      <w:lvlRestart w:val="0"/>
      <w:suff w:val="nothing"/>
      <w:lvlText w:val="%1．"/>
      <w:lvlJc w:val="left"/>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val="0"/>
  <w:bordersDoNotSurroundFooter w:val="0"/>
  <w:defaultTabStop w:val="420"/>
  <w:drawingGridHorizontalSpacing w:val="18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w:docVars>
    <w:docVar w:name="commondata" w:val="eyJoZGlkIjoiYTE3YTA0YzUyOWI0NmFiNjdkYzcwZTI1ZjU4NzgwZGQ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正黑" w:eastAsia="黑体" w:hAnsi="文泉驿正黑"/>
      <w:b/>
      <w:bCs/>
      <w:sz w:val="32"/>
      <w:szCs w:val="32"/>
    </w:rPr>
  </w:style>
  <w:style w:type="character" w:customStyle="1" w:styleId="2Char">
    <w:name w:val="heading 2 Char"/>
    <w:basedOn w:val="10"/>
    <w:link w:val="2"/>
    <w:rPr>
      <w:rFonts w:ascii="文泉驿正黑"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customStyle="1" w:styleId="15">
    <w:name w:val="正文缩进 + 首行缩进:  2 字符"/>
    <w:qFormat/>
    <w:basedOn w:val="0"/>
    <w:pPr>
      <w:spacing w:line="560" w:lineRule="exact"/>
      <w:ind w:firstLine="640"/>
    </w:pPr>
    <w:rPr>
      <w:rFonts w:eastAsia="仿宋_GB2312"/>
      <w:sz w:val="32"/>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1.png"/><Relationship Id="rId3" Type="http://schemas.openxmlformats.org/officeDocument/2006/relationships/image" Target="media/3.png"/><Relationship Id="rId4" Type="http://schemas.openxmlformats.org/officeDocument/2006/relationships/image" Target="media/5.png"/><Relationship Id="rId5" Type="http://schemas.openxmlformats.org/officeDocument/2006/relationships/image" Target="media/7.png"/><Relationship Id="rId6" Type="http://schemas.openxmlformats.org/officeDocument/2006/relationships/image" Target="media/9.png"/><Relationship Id="rId7" Type="http://schemas.openxmlformats.org/officeDocument/2006/relationships/image" Target="media/11.png"/><Relationship Id="rId8" Type="http://schemas.openxmlformats.org/officeDocument/2006/relationships/image" Target="media/13.png"/><Relationship Id="rId9" Type="http://schemas.openxmlformats.org/officeDocument/2006/relationships/image" Target="media/15.png"/><Relationship Id="rId10" Type="http://schemas.openxmlformats.org/officeDocument/2006/relationships/image" Target="media/17.png"/><Relationship Id="rId11" Type="http://schemas.openxmlformats.org/officeDocument/2006/relationships/image" Target="media/19.png"/><Relationship Id="rId12" Type="http://schemas.openxmlformats.org/officeDocument/2006/relationships/image" Target="media/21.png"/><Relationship Id="rId13" Type="http://schemas.openxmlformats.org/officeDocument/2006/relationships/image" Target="media/23.png"/><Relationship Id="rId14" Type="http://schemas.openxmlformats.org/officeDocument/2006/relationships/image" Target="media/25.png"/><Relationship Id="rId15" Type="http://schemas.openxmlformats.org/officeDocument/2006/relationships/styles" Target="style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customXml" Target="../customXml/item1.xml"/><Relationship Id="rId1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8059662-2CE5-4285-94C4-E50D85B4FA6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14149625</TotalTime>
  <Application>Yozo_Office9.0.5233.101ZH.S1</Application>
  <Pages>18</Pages>
  <Words>0</Words>
  <Characters>3310</Characters>
  <Lines>0</Lines>
  <Paragraphs>122</Paragraphs>
  <CharactersWithSpaces>4414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1</cp:revision>
  <dcterms:created xsi:type="dcterms:W3CDTF">2023-01-18T12:57:00Z</dcterms:created>
  <dcterms:modified xsi:type="dcterms:W3CDTF">2025-03-12T01:33:08Z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F9F697A8C54C44DE81D1DC37DA4264CD</vt:lpwstr>
  </property>
</Properties>
</file>